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BB95"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CHAPTER ONE: INTRODUCTION</w:t>
      </w:r>
    </w:p>
    <w:p w14:paraId="0E52104F" w14:textId="77777777" w:rsidR="00774EDC" w:rsidRPr="00774EDC" w:rsidRDefault="00774EDC" w:rsidP="00774EDC">
      <w:pPr>
        <w:rPr>
          <w:rFonts w:ascii="Times New Roman" w:hAnsi="Times New Roman" w:cs="Times New Roman"/>
        </w:rPr>
      </w:pPr>
    </w:p>
    <w:p w14:paraId="7D485D9E"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1.1 Background of the Study</w:t>
      </w:r>
    </w:p>
    <w:p w14:paraId="5C3C7C12" w14:textId="77777777" w:rsidR="00774EDC" w:rsidRPr="00774EDC" w:rsidRDefault="00774EDC" w:rsidP="00774EDC">
      <w:pPr>
        <w:rPr>
          <w:rFonts w:ascii="Times New Roman" w:hAnsi="Times New Roman" w:cs="Times New Roman"/>
        </w:rPr>
      </w:pPr>
    </w:p>
    <w:p w14:paraId="17709A2E"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Energy prices occupy a central position in the functioning of modern economies. Fuel — in its various forms, including petrol, diesel, and liquefied petroleum gas (LPG) — serves as a foundational input for transportation, manufacturing, agriculture, and household energy consumption. As a result, fluctuations in fuel prices transmit rapidly across the broader economy, affecting the cost of living, inflation, business operating costs, and ultimately the welfare of ordinary citizens (Hamilton, 2009). The ability to anticipate such price movements, even to a limited extent, is therefore of considerable practical and policy value.</w:t>
      </w:r>
    </w:p>
    <w:p w14:paraId="55D78FCE" w14:textId="77777777" w:rsidR="00774EDC" w:rsidRPr="00774EDC" w:rsidRDefault="00774EDC" w:rsidP="00774EDC">
      <w:pPr>
        <w:rPr>
          <w:rFonts w:ascii="Times New Roman" w:hAnsi="Times New Roman" w:cs="Times New Roman"/>
        </w:rPr>
      </w:pPr>
    </w:p>
    <w:p w14:paraId="49B4BB69"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At the global level, fuel price dynamics are largely governed by crude oil markets. International crude oil prices — particularly Brent crude, the global benchmark — have historically exhibited high volatility driven by geopolitical tensions, supply decisions by the Organisation of Petroleum Exporting Countries (OPEC), global demand cycles, and macroeconomic shocks (Kilian, 2009). This volatility has motivated a substantial body of research into fuel and energy price forecasting, employing a wide range of time series and econometric methods, including Autoregressive Integrated Moving Average (ARIMA) models, Vector Autoregression (VAR), and machine learning techniques (</w:t>
      </w:r>
      <w:proofErr w:type="spellStart"/>
      <w:r w:rsidRPr="00774EDC">
        <w:rPr>
          <w:rFonts w:ascii="Times New Roman" w:hAnsi="Times New Roman" w:cs="Times New Roman"/>
        </w:rPr>
        <w:t>Jammazi</w:t>
      </w:r>
      <w:proofErr w:type="spellEnd"/>
      <w:r w:rsidRPr="00774EDC">
        <w:rPr>
          <w:rFonts w:ascii="Times New Roman" w:hAnsi="Times New Roman" w:cs="Times New Roman"/>
        </w:rPr>
        <w:t xml:space="preserve"> &amp; Aloui, 2012; Baumeister &amp; Kilian, 2014).</w:t>
      </w:r>
    </w:p>
    <w:p w14:paraId="3586825D" w14:textId="77777777" w:rsidR="00774EDC" w:rsidRPr="00774EDC" w:rsidRDefault="00774EDC" w:rsidP="00774EDC">
      <w:pPr>
        <w:rPr>
          <w:rFonts w:ascii="Times New Roman" w:hAnsi="Times New Roman" w:cs="Times New Roman"/>
        </w:rPr>
      </w:pPr>
    </w:p>
    <w:p w14:paraId="0443EDC0"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In Sub-Saharan Africa, the consequences of fuel price volatility are particularly acute. Unlike advanced economies with diversified energy sources and established price stabilisation mechanisms, many African countries are heavily dependent on imported petroleum products. This structural dependence means that international crude oil price shocks are transmitted directly into domestic fuel prices, often with little buffer. Additionally, the depreciation of local currencies against the United States dollar — the currency in which crude oil is traded internationally — amplifies the domestic price impact of global oil market movements (Alom et al., 2013). For these economies, external price shocks are not merely cyclical disruptions but can precipitate broader macroeconomic instability, including inflationary pressures that erode household purchasing power.</w:t>
      </w:r>
    </w:p>
    <w:p w14:paraId="3D04888F" w14:textId="77777777" w:rsidR="00774EDC" w:rsidRPr="00774EDC" w:rsidRDefault="00774EDC" w:rsidP="00774EDC">
      <w:pPr>
        <w:rPr>
          <w:rFonts w:ascii="Times New Roman" w:hAnsi="Times New Roman" w:cs="Times New Roman"/>
        </w:rPr>
      </w:pPr>
    </w:p>
    <w:p w14:paraId="71F7BD6C"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 xml:space="preserve">Ghana presents a particularly instructive case within this regional context. As a net importer of refined petroleum products, Ghana's domestic fuel prices are highly sensitive to movements in both international crude oil prices and the Ghana cedi–US dollar exchange rate. The National Petroleum Authority (NPA), which regulates the downstream petroleum sector, adjusts ex-pump prices of petrol, diesel, and LPG on a bi-weekly basis using a price </w:t>
      </w:r>
      <w:r w:rsidRPr="00774EDC">
        <w:rPr>
          <w:rFonts w:ascii="Times New Roman" w:hAnsi="Times New Roman" w:cs="Times New Roman"/>
        </w:rPr>
        <w:lastRenderedPageBreak/>
        <w:t>build-up formula that explicitly incorporates international benchmark prices and the prevailing exchange rate (National Petroleum Authority [NPA], 2023). Consequently, the sustained depreciation of the cedi — which lost 29.9% of its value against the US dollar in 2022 alone — combined with global crude oil price surges following the Russia-Ukraine conflict, drove domestic fuel prices to historic highs, placing severe strain on households and businesses alike (Bank of Ghana, 2023).</w:t>
      </w:r>
    </w:p>
    <w:p w14:paraId="482AD284" w14:textId="77777777" w:rsidR="00774EDC" w:rsidRPr="00774EDC" w:rsidRDefault="00774EDC" w:rsidP="00774EDC">
      <w:pPr>
        <w:rPr>
          <w:rFonts w:ascii="Times New Roman" w:hAnsi="Times New Roman" w:cs="Times New Roman"/>
        </w:rPr>
      </w:pPr>
    </w:p>
    <w:p w14:paraId="2DDAFC94"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The relationship between fuel prices and inflation in Ghana further complicates this picture. Rising fuel prices increase production and distribution costs across nearly all sectors of the economy, contributing to broader inflationary pressures through cost pass-through channels (Addae &amp; Ackah, 2017). At the same time, exchange rate depreciation and imported input costs amplify this transmission, as Ghana's dependence on imported petroleum means that currency weakness directly raises the domestic cost of fuel (Bawa et al., 2016). Broader inflationary conditions in turn influence consumer demand and policy responses in ways that feed back into energy markets (Kilian, 2009). This bidirectional relationship means that inflation cannot be treated as a simple unidirectional predictor of fuel prices; rather, it must be examined as part of a dynamic system in which fuel prices, inflation, exchange rates, and crude oil prices interact simultaneously over time (Hamilton, 2009).</w:t>
      </w:r>
    </w:p>
    <w:p w14:paraId="45187F73" w14:textId="77777777" w:rsidR="00774EDC" w:rsidRPr="00774EDC" w:rsidRDefault="00774EDC" w:rsidP="00774EDC">
      <w:pPr>
        <w:rPr>
          <w:rFonts w:ascii="Times New Roman" w:hAnsi="Times New Roman" w:cs="Times New Roman"/>
        </w:rPr>
      </w:pPr>
    </w:p>
    <w:p w14:paraId="57DE35C5"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Despite the clear economic significance of fuel price dynamics in Ghana, the empirical literature on forecasting domestic fuel prices in the Ghanaian context remains limited. Most existing forecasting studies in the sub-region focus on general commodity prices or inflation indices rather than sector-specific fuel price series (Alom et al., 2013; Baumeister &amp; Kilian, 2014). Furthermore, few studies have explicitly examined how external shocks — particularly exchange rate volatility, international crude oil price movements, and inflationary dynamics — affect the accuracy of time series forecasts for domestic fuel prices in Ghana. This gap is consequential: forecast models that ignore these external drivers may perform adequately under stable global conditions but deteriorate precisely when accurate forecasts are most needed — during periods of economic turbulence.</w:t>
      </w:r>
    </w:p>
    <w:p w14:paraId="02C19BFD" w14:textId="77777777" w:rsidR="00774EDC" w:rsidRPr="00774EDC" w:rsidRDefault="00774EDC" w:rsidP="00774EDC">
      <w:pPr>
        <w:rPr>
          <w:rFonts w:ascii="Times New Roman" w:hAnsi="Times New Roman" w:cs="Times New Roman"/>
        </w:rPr>
      </w:pPr>
    </w:p>
    <w:p w14:paraId="5889EF15"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This study therefore seeks to address this gap by developing and evaluating time series forecasting models for petrol, diesel, and LPG prices in Ghana, with explicit attention to the role of exchange rate shocks, crude oil price movements, and inflationary dynamics in influencing forecast performance. By doing so, the study contributes both to the methodological literature on energy price forecasting and to the evidence base available to Ghanaian policymakers and consumers for anticipating fuel price movements.</w:t>
      </w:r>
    </w:p>
    <w:p w14:paraId="3EA5DEFC" w14:textId="77777777" w:rsidR="00774EDC" w:rsidRPr="00774EDC" w:rsidRDefault="00774EDC" w:rsidP="00774EDC">
      <w:pPr>
        <w:rPr>
          <w:rFonts w:ascii="Times New Roman" w:hAnsi="Times New Roman" w:cs="Times New Roman"/>
        </w:rPr>
      </w:pPr>
    </w:p>
    <w:p w14:paraId="7C6838AB" w14:textId="77777777" w:rsidR="00774EDC" w:rsidRPr="00774EDC" w:rsidRDefault="00774EDC" w:rsidP="00774EDC">
      <w:pPr>
        <w:rPr>
          <w:rFonts w:ascii="Times New Roman" w:hAnsi="Times New Roman" w:cs="Times New Roman"/>
        </w:rPr>
      </w:pPr>
    </w:p>
    <w:p w14:paraId="4552F121"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1.2 Problem Statement</w:t>
      </w:r>
    </w:p>
    <w:p w14:paraId="19F96651" w14:textId="77777777" w:rsidR="00774EDC" w:rsidRPr="00774EDC" w:rsidRDefault="00774EDC" w:rsidP="00774EDC">
      <w:pPr>
        <w:rPr>
          <w:rFonts w:ascii="Times New Roman" w:hAnsi="Times New Roman" w:cs="Times New Roman"/>
        </w:rPr>
      </w:pPr>
    </w:p>
    <w:p w14:paraId="0FD6F769"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Fuel prices in Ghana have exhibited persistent and often sharp volatility over the past decade, driven by a confluence of external and domestic factors including fluctuations in international crude oil prices, the progressive depreciation of the Ghana cedi against the US dollar, and rising inflationary pressures. The scale of this volatility has been particularly acute in recent years: between the end of 2021 and the end of 2022 alone, retail petrol prices rose from GH¢6.66 to GH¢16.58 per litre — an increase of approximately 149% — while diesel prices surged from GH¢6.67 to GH¢19.61 per litre, representing an increase of approximately 194% (Bank of Ghana, 2023). These price movements coincided with a 29.9% depreciation of the Ghana cedi against the US dollar in 2022 (Bank of Ghana, 2023) and a surge in headline inflation to 54.1% by December of that year (Ghana Statistical Service, 2023). The consequences for Ghanaian households, businesses, and public institutions have been severe, as fuel costs directly influence transportation fares, food prices, industrial production costs, and public sector operational expenditures. The ability to forecast fuel price movements with reasonable accuracy — even over a short horizon of one to six months ahead — would therefore provide consumers, businesses, and policymakers with critical advance information for planning and decision-making.</w:t>
      </w:r>
    </w:p>
    <w:p w14:paraId="44DE43A5" w14:textId="77777777" w:rsidR="00774EDC" w:rsidRPr="00774EDC" w:rsidRDefault="00774EDC" w:rsidP="00774EDC">
      <w:pPr>
        <w:rPr>
          <w:rFonts w:ascii="Times New Roman" w:hAnsi="Times New Roman" w:cs="Times New Roman"/>
        </w:rPr>
      </w:pPr>
    </w:p>
    <w:p w14:paraId="1DD5FC3E"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A distinctive feature of Ghana's fuel pricing environment is the operation of the Unified Pricing Formula (UPF), administered by the National Petroleum Authority, which determines ex-pump prices through a structured build-up of international product costs, exchange rate adjustments, taxes, levies, and margins payable to Bulk Distribution Companies (</w:t>
      </w:r>
      <w:proofErr w:type="spellStart"/>
      <w:r w:rsidRPr="00774EDC">
        <w:rPr>
          <w:rFonts w:ascii="Times New Roman" w:hAnsi="Times New Roman" w:cs="Times New Roman"/>
        </w:rPr>
        <w:t>BDCs</w:t>
      </w:r>
      <w:proofErr w:type="spellEnd"/>
      <w:r w:rsidRPr="00774EDC">
        <w:rPr>
          <w:rFonts w:ascii="Times New Roman" w:hAnsi="Times New Roman" w:cs="Times New Roman"/>
        </w:rPr>
        <w:t>) and Oil Marketing Companies (OMCs) (National Petroleum Authority [NPA], 2023). This institutional mechanism means that domestic fuel prices are not freely market-determined but are instead administratively set based on external benchmarks — a feature that distinguishes Ghana's fuel price dynamics from those modelled in the broader energy forecasting literature and that must be explicitly accounted for in any forecasting framework applied to the Ghanaian context.</w:t>
      </w:r>
    </w:p>
    <w:p w14:paraId="353A8E32" w14:textId="77777777" w:rsidR="00774EDC" w:rsidRPr="00774EDC" w:rsidRDefault="00774EDC" w:rsidP="00774EDC">
      <w:pPr>
        <w:rPr>
          <w:rFonts w:ascii="Times New Roman" w:hAnsi="Times New Roman" w:cs="Times New Roman"/>
        </w:rPr>
      </w:pPr>
    </w:p>
    <w:p w14:paraId="226DEC6F"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However, despite the economic importance of fuel price stability in Ghana, the forecasting of domestic petroleum product prices remains an underexplored area in the empirical literature. Existing studies on energy price forecasting in Africa have largely focused on crude oil prices at the international level (Alom et al., 2013; Baumeister &amp; Kilian, 2014) or on general inflation and commodity price dynamics within Ghana (Addae &amp; Ackah, 2017; Bawa et al., 2016), rather than on the retail prices of specific petroleum products — petrol, diesel, and LPG — as regulated and consumed domestically. This represents a significant gap, as international crude oil price forecasts do not directly translate into actionable predictions of domestic ex-pump prices, which are additionally shaped by exchange rate movements, import costs, taxes, and regulatory adjustments.</w:t>
      </w:r>
    </w:p>
    <w:p w14:paraId="6E1410C0" w14:textId="77777777" w:rsidR="00774EDC" w:rsidRPr="00774EDC" w:rsidRDefault="00774EDC" w:rsidP="00774EDC">
      <w:pPr>
        <w:rPr>
          <w:rFonts w:ascii="Times New Roman" w:hAnsi="Times New Roman" w:cs="Times New Roman"/>
        </w:rPr>
      </w:pPr>
    </w:p>
    <w:p w14:paraId="12D378F5"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lastRenderedPageBreak/>
        <w:t>Furthermore, the few forecasting studies that do address fuel or energy prices in sub-Saharan African contexts have predominantly employed univariate time series models such as ARIMA, which capture internal price dynamics but do not account for the influence of external macroeconomic shocks (</w:t>
      </w:r>
      <w:proofErr w:type="spellStart"/>
      <w:r w:rsidRPr="00774EDC">
        <w:rPr>
          <w:rFonts w:ascii="Times New Roman" w:hAnsi="Times New Roman" w:cs="Times New Roman"/>
        </w:rPr>
        <w:t>Jammazi</w:t>
      </w:r>
      <w:proofErr w:type="spellEnd"/>
      <w:r w:rsidRPr="00774EDC">
        <w:rPr>
          <w:rFonts w:ascii="Times New Roman" w:hAnsi="Times New Roman" w:cs="Times New Roman"/>
        </w:rPr>
        <w:t xml:space="preserve"> &amp; Aloui, 2012). In the Ghanaian context, where domestic fuel prices are structurally linked to both the international crude oil market and the cedi–dollar exchange rate, univariate models may produce systematically biased forecasts during periods of external turbulence — precisely the periods when accurate forecasts are most consequential. The absence of studies that rigorously compare univariate and multivariate forecasting approaches for Ghana-specific fuel price series, while explicitly testing the effect of external shocks on forecast accuracy, constitutes a clear methodological gap in the literature.</w:t>
      </w:r>
    </w:p>
    <w:p w14:paraId="55D4155C" w14:textId="77777777" w:rsidR="00774EDC" w:rsidRPr="00774EDC" w:rsidRDefault="00774EDC" w:rsidP="00774EDC">
      <w:pPr>
        <w:rPr>
          <w:rFonts w:ascii="Times New Roman" w:hAnsi="Times New Roman" w:cs="Times New Roman"/>
        </w:rPr>
      </w:pPr>
    </w:p>
    <w:p w14:paraId="444459C4"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This study therefore seeks to fill this gap by developing, comparing, and evaluating univariate and multivariate time series models — including ARIMA, ARIMAX, and VAR — for forecasting the retail prices of petrol, diesel, and LPG in Ghana using monthly data sourced from the National Petroleum Authority and the Bank of Ghana, and by assessing the extent to which the incorporation of exchange rate shocks, crude oil price movements, and inflationary dynamics improves forecast accuracy over the study period.</w:t>
      </w:r>
    </w:p>
    <w:p w14:paraId="0D348AE6" w14:textId="77777777" w:rsidR="00774EDC" w:rsidRPr="00774EDC" w:rsidRDefault="00774EDC" w:rsidP="00774EDC">
      <w:pPr>
        <w:rPr>
          <w:rFonts w:ascii="Times New Roman" w:hAnsi="Times New Roman" w:cs="Times New Roman"/>
        </w:rPr>
      </w:pPr>
    </w:p>
    <w:p w14:paraId="33C1531A" w14:textId="77777777" w:rsidR="00774EDC" w:rsidRPr="00774EDC" w:rsidRDefault="00774EDC" w:rsidP="00774EDC">
      <w:pPr>
        <w:rPr>
          <w:rFonts w:ascii="Times New Roman" w:hAnsi="Times New Roman" w:cs="Times New Roman"/>
        </w:rPr>
      </w:pPr>
    </w:p>
    <w:p w14:paraId="1A9DD31B"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1.3 Objectives</w:t>
      </w:r>
    </w:p>
    <w:p w14:paraId="33B8714D" w14:textId="77777777" w:rsidR="00774EDC" w:rsidRPr="00774EDC" w:rsidRDefault="00774EDC" w:rsidP="00774EDC">
      <w:pPr>
        <w:rPr>
          <w:rFonts w:ascii="Times New Roman" w:hAnsi="Times New Roman" w:cs="Times New Roman"/>
        </w:rPr>
      </w:pPr>
    </w:p>
    <w:p w14:paraId="45DF5D2E"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Main Objective</w:t>
      </w:r>
    </w:p>
    <w:p w14:paraId="25068F1F" w14:textId="77777777" w:rsidR="00774EDC" w:rsidRPr="00774EDC" w:rsidRDefault="00774EDC" w:rsidP="00774EDC">
      <w:pPr>
        <w:rPr>
          <w:rFonts w:ascii="Times New Roman" w:hAnsi="Times New Roman" w:cs="Times New Roman"/>
        </w:rPr>
      </w:pPr>
    </w:p>
    <w:p w14:paraId="07AD50D6"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To evaluate the forecasting accuracy of ARIMA, ARIMAX, and VAR models in predicting fuel prices in Ghana over a 1–</w:t>
      </w:r>
      <w:proofErr w:type="gramStart"/>
      <w:r w:rsidRPr="00774EDC">
        <w:rPr>
          <w:rFonts w:ascii="Times New Roman" w:hAnsi="Times New Roman" w:cs="Times New Roman"/>
        </w:rPr>
        <w:t>6 month</w:t>
      </w:r>
      <w:proofErr w:type="gramEnd"/>
      <w:r w:rsidRPr="00774EDC">
        <w:rPr>
          <w:rFonts w:ascii="Times New Roman" w:hAnsi="Times New Roman" w:cs="Times New Roman"/>
        </w:rPr>
        <w:t xml:space="preserve"> horizon, with emphasis on the role of external shocks in determining model performance.</w:t>
      </w:r>
    </w:p>
    <w:p w14:paraId="1F02DA8A" w14:textId="77777777" w:rsidR="00774EDC" w:rsidRPr="00774EDC" w:rsidRDefault="00774EDC" w:rsidP="00774EDC">
      <w:pPr>
        <w:rPr>
          <w:rFonts w:ascii="Times New Roman" w:hAnsi="Times New Roman" w:cs="Times New Roman"/>
        </w:rPr>
      </w:pPr>
    </w:p>
    <w:p w14:paraId="4B86ADD5"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Specific Objectives</w:t>
      </w:r>
    </w:p>
    <w:p w14:paraId="08C7AC15" w14:textId="77777777" w:rsidR="00774EDC" w:rsidRPr="00774EDC" w:rsidRDefault="00774EDC" w:rsidP="00774EDC">
      <w:pPr>
        <w:rPr>
          <w:rFonts w:ascii="Times New Roman" w:hAnsi="Times New Roman" w:cs="Times New Roman"/>
        </w:rPr>
      </w:pPr>
    </w:p>
    <w:p w14:paraId="6F216416"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1. To analyse the statistical properties and trends of petrol, diesel, and LPG prices in Ghana over the period 2013–2023.</w:t>
      </w:r>
    </w:p>
    <w:p w14:paraId="6F09A49D" w14:textId="77777777" w:rsidR="00774EDC" w:rsidRPr="00774EDC" w:rsidRDefault="00774EDC" w:rsidP="00774EDC">
      <w:pPr>
        <w:rPr>
          <w:rFonts w:ascii="Times New Roman" w:hAnsi="Times New Roman" w:cs="Times New Roman"/>
        </w:rPr>
      </w:pPr>
    </w:p>
    <w:p w14:paraId="5FFD085B"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2. To develop ARIMA, ARIMAX, and VAR models for forecasting fuel prices, incorporating exchange rate (GHS/USD), Brent crude oil prices, and inflation (CPI) as relevant external variables.</w:t>
      </w:r>
    </w:p>
    <w:p w14:paraId="09366580" w14:textId="77777777" w:rsidR="00774EDC" w:rsidRPr="00774EDC" w:rsidRDefault="00774EDC" w:rsidP="00774EDC">
      <w:pPr>
        <w:rPr>
          <w:rFonts w:ascii="Times New Roman" w:hAnsi="Times New Roman" w:cs="Times New Roman"/>
        </w:rPr>
      </w:pPr>
    </w:p>
    <w:p w14:paraId="06E09C32"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3. To assess the influence of exchange rate and Brent crude oil shocks on fuel price movements in Ghana using Granger causality tests.</w:t>
      </w:r>
    </w:p>
    <w:p w14:paraId="71D4E295" w14:textId="77777777" w:rsidR="00774EDC" w:rsidRPr="00774EDC" w:rsidRDefault="00774EDC" w:rsidP="00774EDC">
      <w:pPr>
        <w:rPr>
          <w:rFonts w:ascii="Times New Roman" w:hAnsi="Times New Roman" w:cs="Times New Roman"/>
        </w:rPr>
      </w:pPr>
    </w:p>
    <w:p w14:paraId="0F0565B8"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4. To compare the forecasting accuracy of the three models across 1–</w:t>
      </w:r>
      <w:proofErr w:type="gramStart"/>
      <w:r w:rsidRPr="00774EDC">
        <w:rPr>
          <w:rFonts w:ascii="Times New Roman" w:hAnsi="Times New Roman" w:cs="Times New Roman"/>
        </w:rPr>
        <w:t>6 month</w:t>
      </w:r>
      <w:proofErr w:type="gramEnd"/>
      <w:r w:rsidRPr="00774EDC">
        <w:rPr>
          <w:rFonts w:ascii="Times New Roman" w:hAnsi="Times New Roman" w:cs="Times New Roman"/>
        </w:rPr>
        <w:t xml:space="preserve"> forecast horizons using RMSE, MAE, MAPE, and the Diebold-Mariano test.</w:t>
      </w:r>
    </w:p>
    <w:p w14:paraId="5D1BF36C" w14:textId="77777777" w:rsidR="00774EDC" w:rsidRPr="00774EDC" w:rsidRDefault="00774EDC" w:rsidP="00774EDC">
      <w:pPr>
        <w:rPr>
          <w:rFonts w:ascii="Times New Roman" w:hAnsi="Times New Roman" w:cs="Times New Roman"/>
        </w:rPr>
      </w:pPr>
    </w:p>
    <w:p w14:paraId="14565D30"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5. To evaluate the practical utility of the models in providing 1–</w:t>
      </w:r>
      <w:proofErr w:type="gramStart"/>
      <w:r w:rsidRPr="00774EDC">
        <w:rPr>
          <w:rFonts w:ascii="Times New Roman" w:hAnsi="Times New Roman" w:cs="Times New Roman"/>
        </w:rPr>
        <w:t>6 month</w:t>
      </w:r>
      <w:proofErr w:type="gramEnd"/>
      <w:r w:rsidRPr="00774EDC">
        <w:rPr>
          <w:rFonts w:ascii="Times New Roman" w:hAnsi="Times New Roman" w:cs="Times New Roman"/>
        </w:rPr>
        <w:t xml:space="preserve"> advance warning of fuel price changes to consumers and policymakers in Ghana.</w:t>
      </w:r>
    </w:p>
    <w:p w14:paraId="5041C3F1" w14:textId="77777777" w:rsidR="00774EDC" w:rsidRPr="00774EDC" w:rsidRDefault="00774EDC" w:rsidP="00774EDC">
      <w:pPr>
        <w:rPr>
          <w:rFonts w:ascii="Times New Roman" w:hAnsi="Times New Roman" w:cs="Times New Roman"/>
        </w:rPr>
      </w:pPr>
    </w:p>
    <w:p w14:paraId="0606D5A9" w14:textId="77777777" w:rsidR="00774EDC" w:rsidRPr="00774EDC" w:rsidRDefault="00774EDC" w:rsidP="00774EDC">
      <w:pPr>
        <w:rPr>
          <w:rFonts w:ascii="Times New Roman" w:hAnsi="Times New Roman" w:cs="Times New Roman"/>
        </w:rPr>
      </w:pPr>
    </w:p>
    <w:p w14:paraId="4F3F7774"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1.4 Significance of the Study</w:t>
      </w:r>
    </w:p>
    <w:p w14:paraId="50D68CC8" w14:textId="77777777" w:rsidR="00774EDC" w:rsidRPr="00774EDC" w:rsidRDefault="00774EDC" w:rsidP="00774EDC">
      <w:pPr>
        <w:rPr>
          <w:rFonts w:ascii="Times New Roman" w:hAnsi="Times New Roman" w:cs="Times New Roman"/>
        </w:rPr>
      </w:pPr>
    </w:p>
    <w:p w14:paraId="51E3C739"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The findings of this study are expected to be of relevance to a range of stakeholders, including policymakers, consumers, regulatory bodies, and the academic community. Specifically, the study offers the following contributions:</w:t>
      </w:r>
    </w:p>
    <w:p w14:paraId="2A5EA522" w14:textId="77777777" w:rsidR="00774EDC" w:rsidRPr="00774EDC" w:rsidRDefault="00774EDC" w:rsidP="00774EDC">
      <w:pPr>
        <w:rPr>
          <w:rFonts w:ascii="Times New Roman" w:hAnsi="Times New Roman" w:cs="Times New Roman"/>
        </w:rPr>
      </w:pPr>
    </w:p>
    <w:p w14:paraId="0BF1D183"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Policymakers and Government Agencies: The forecasting models developed in this study provide an empirical tool to support proactive fiscal and energy policy decisions. By anticipating fuel price movements, government agencies can design timely interventions to cushion the economy against the adverse effects of price volatility.</w:t>
      </w:r>
    </w:p>
    <w:p w14:paraId="56FF3EFE" w14:textId="77777777" w:rsidR="00774EDC" w:rsidRPr="00774EDC" w:rsidRDefault="00774EDC" w:rsidP="00774EDC">
      <w:pPr>
        <w:rPr>
          <w:rFonts w:ascii="Times New Roman" w:hAnsi="Times New Roman" w:cs="Times New Roman"/>
        </w:rPr>
      </w:pPr>
    </w:p>
    <w:p w14:paraId="19207D27"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The National Petroleum Authority (NPA): As the regulatory body responsible for fuel pricing in Ghana, the NPA stands to benefit directly from accurate short-term forecasts. Such forecasts can inform adjustments to the Unified Pricing Formula and support more transparent and data-driven pricing decisions.</w:t>
      </w:r>
    </w:p>
    <w:p w14:paraId="0E6E03B5" w14:textId="77777777" w:rsidR="00774EDC" w:rsidRPr="00774EDC" w:rsidRDefault="00774EDC" w:rsidP="00774EDC">
      <w:pPr>
        <w:rPr>
          <w:rFonts w:ascii="Times New Roman" w:hAnsi="Times New Roman" w:cs="Times New Roman"/>
        </w:rPr>
      </w:pPr>
    </w:p>
    <w:p w14:paraId="2D90F59F"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 xml:space="preserve">Consumers and Households: </w:t>
      </w:r>
      <w:proofErr w:type="gramStart"/>
      <w:r w:rsidRPr="00774EDC">
        <w:rPr>
          <w:rFonts w:ascii="Times New Roman" w:hAnsi="Times New Roman" w:cs="Times New Roman"/>
        </w:rPr>
        <w:t>Advance warning</w:t>
      </w:r>
      <w:proofErr w:type="gramEnd"/>
      <w:r w:rsidRPr="00774EDC">
        <w:rPr>
          <w:rFonts w:ascii="Times New Roman" w:hAnsi="Times New Roman" w:cs="Times New Roman"/>
        </w:rPr>
        <w:t xml:space="preserve"> of fuel price changes enables households and businesses to plan expenditure more effectively, particularly in a context where fuel costs directly influence the prices of goods, transportation, and essential services.</w:t>
      </w:r>
    </w:p>
    <w:p w14:paraId="2D2B9773" w14:textId="77777777" w:rsidR="00774EDC" w:rsidRPr="00774EDC" w:rsidRDefault="00774EDC" w:rsidP="00774EDC">
      <w:pPr>
        <w:rPr>
          <w:rFonts w:ascii="Times New Roman" w:hAnsi="Times New Roman" w:cs="Times New Roman"/>
        </w:rPr>
      </w:pPr>
    </w:p>
    <w:p w14:paraId="7C5DE393"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 xml:space="preserve">Researchers and Academics: This study contributes to the growing body of literature on time series forecasting in developing economies. The comparative framework — applying ARIMA, ARIMAX, and VAR models within a single Ghanaian context — provides a </w:t>
      </w:r>
      <w:r w:rsidRPr="00774EDC">
        <w:rPr>
          <w:rFonts w:ascii="Times New Roman" w:hAnsi="Times New Roman" w:cs="Times New Roman"/>
        </w:rPr>
        <w:lastRenderedPageBreak/>
        <w:t>methodological reference for future studies on commodity price forecasting in Sub-Saharan Africa.</w:t>
      </w:r>
    </w:p>
    <w:p w14:paraId="38F08593" w14:textId="77777777" w:rsidR="00774EDC" w:rsidRPr="00774EDC" w:rsidRDefault="00774EDC" w:rsidP="00774EDC">
      <w:pPr>
        <w:rPr>
          <w:rFonts w:ascii="Times New Roman" w:hAnsi="Times New Roman" w:cs="Times New Roman"/>
        </w:rPr>
      </w:pPr>
    </w:p>
    <w:p w14:paraId="7E4125F3"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Bulk Distribution Companies (</w:t>
      </w:r>
      <w:proofErr w:type="spellStart"/>
      <w:r w:rsidRPr="00774EDC">
        <w:rPr>
          <w:rFonts w:ascii="Times New Roman" w:hAnsi="Times New Roman" w:cs="Times New Roman"/>
        </w:rPr>
        <w:t>BDCs</w:t>
      </w:r>
      <w:proofErr w:type="spellEnd"/>
      <w:r w:rsidRPr="00774EDC">
        <w:rPr>
          <w:rFonts w:ascii="Times New Roman" w:hAnsi="Times New Roman" w:cs="Times New Roman"/>
        </w:rPr>
        <w:t>): Fuel distributors can leverage price forecasts to optimise procurement, inventory management, and pricing strategies, reducing exposure to supply-side shocks.</w:t>
      </w:r>
    </w:p>
    <w:p w14:paraId="2459DB68" w14:textId="77777777" w:rsidR="00774EDC" w:rsidRPr="00774EDC" w:rsidRDefault="00774EDC" w:rsidP="00774EDC">
      <w:pPr>
        <w:rPr>
          <w:rFonts w:ascii="Times New Roman" w:hAnsi="Times New Roman" w:cs="Times New Roman"/>
        </w:rPr>
      </w:pPr>
    </w:p>
    <w:p w14:paraId="2642EFA3" w14:textId="77777777" w:rsidR="00774EDC" w:rsidRPr="00774EDC" w:rsidRDefault="00774EDC" w:rsidP="00774EDC">
      <w:pPr>
        <w:rPr>
          <w:rFonts w:ascii="Times New Roman" w:hAnsi="Times New Roman" w:cs="Times New Roman"/>
        </w:rPr>
      </w:pPr>
    </w:p>
    <w:p w14:paraId="70F0054C"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1.5 Methodology Overview</w:t>
      </w:r>
    </w:p>
    <w:p w14:paraId="43082095" w14:textId="77777777" w:rsidR="00774EDC" w:rsidRPr="00774EDC" w:rsidRDefault="00774EDC" w:rsidP="00774EDC">
      <w:pPr>
        <w:rPr>
          <w:rFonts w:ascii="Times New Roman" w:hAnsi="Times New Roman" w:cs="Times New Roman"/>
        </w:rPr>
      </w:pPr>
    </w:p>
    <w:p w14:paraId="29D6C43B"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This study relies on secondary data obtained from four primary sources. Monthly fuel price data for petrol, diesel, and LPG were sourced from the National Petroleum Authority (NPA) of Ghana. Exchange rate data (GHS/USD) were obtained from the Bank of Ghana, while Brent crude oil price data were retrieved from the U.S. Energy Information Administration (EIA). Inflation data, measured by the Consumer Price Index (CPI), were sourced from the Ghana Statistical Service (GSS). The study covers a monthly time series spanning from January 2013 to December 2023, yielding 132 observations per variable.</w:t>
      </w:r>
    </w:p>
    <w:p w14:paraId="2F32C594" w14:textId="77777777" w:rsidR="00774EDC" w:rsidRPr="00774EDC" w:rsidRDefault="00774EDC" w:rsidP="00774EDC">
      <w:pPr>
        <w:rPr>
          <w:rFonts w:ascii="Times New Roman" w:hAnsi="Times New Roman" w:cs="Times New Roman"/>
        </w:rPr>
      </w:pPr>
    </w:p>
    <w:p w14:paraId="49D296CE"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Three time series models were employed to forecast fuel prices. First, an Autoregressive Integrated Moving Average (ARIMA) model was fitted to each fuel price series as a univariate baseline model. Second, an ARIMAX model was developed by incorporating exchange rate and Brent crude oil prices as external regressors to capture the influence of external shocks on fuel prices. Third, a Vector Autoregression (VAR) model was estimated to jointly model fuel prices alongside exchange rate, Brent crude oil prices, and inflation (CPI), allowing for dynamic interactions among all variables. Prior to model estimation, stationarity tests — including the Augmented Dickey-Fuller (ADF) test — were conducted on all series. Model performance was evaluated using the Root Mean Square Error (RMSE), Mean Absolute Error (MAE), and Mean Absolute Percentage Error (MAPE).</w:t>
      </w:r>
    </w:p>
    <w:p w14:paraId="2EF04716" w14:textId="77777777" w:rsidR="00774EDC" w:rsidRPr="00774EDC" w:rsidRDefault="00774EDC" w:rsidP="00774EDC">
      <w:pPr>
        <w:rPr>
          <w:rFonts w:ascii="Times New Roman" w:hAnsi="Times New Roman" w:cs="Times New Roman"/>
        </w:rPr>
      </w:pPr>
    </w:p>
    <w:p w14:paraId="52E3E032"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 xml:space="preserve">All data processing, model estimation, and forecast evaluation were carried out using Python (version 3.12.5). Key libraries employed include </w:t>
      </w:r>
      <w:proofErr w:type="spellStart"/>
      <w:r w:rsidRPr="00774EDC">
        <w:rPr>
          <w:rFonts w:ascii="Times New Roman" w:hAnsi="Times New Roman" w:cs="Times New Roman"/>
        </w:rPr>
        <w:t>statsmodels</w:t>
      </w:r>
      <w:proofErr w:type="spellEnd"/>
      <w:r w:rsidRPr="00774EDC">
        <w:rPr>
          <w:rFonts w:ascii="Times New Roman" w:hAnsi="Times New Roman" w:cs="Times New Roman"/>
        </w:rPr>
        <w:t xml:space="preserve"> (Seabold &amp; </w:t>
      </w:r>
      <w:proofErr w:type="spellStart"/>
      <w:r w:rsidRPr="00774EDC">
        <w:rPr>
          <w:rFonts w:ascii="Times New Roman" w:hAnsi="Times New Roman" w:cs="Times New Roman"/>
        </w:rPr>
        <w:t>Perktold</w:t>
      </w:r>
      <w:proofErr w:type="spellEnd"/>
      <w:r w:rsidRPr="00774EDC">
        <w:rPr>
          <w:rFonts w:ascii="Times New Roman" w:hAnsi="Times New Roman" w:cs="Times New Roman"/>
        </w:rPr>
        <w:t xml:space="preserve">, 2010) for ARIMA, ARIMAX, and VAR model estimation, pandas (McKinney, 2010) for data manipulation, and matplotlib (Hunter, 2007) and seaborn (Waskom, 2021) for graphical visualisation. Model diagnostic tests and forecast accuracy metrics were computed using built-in functions within the </w:t>
      </w:r>
      <w:proofErr w:type="spellStart"/>
      <w:r w:rsidRPr="00774EDC">
        <w:rPr>
          <w:rFonts w:ascii="Times New Roman" w:hAnsi="Times New Roman" w:cs="Times New Roman"/>
        </w:rPr>
        <w:t>statsmodels</w:t>
      </w:r>
      <w:proofErr w:type="spellEnd"/>
      <w:r w:rsidRPr="00774EDC">
        <w:rPr>
          <w:rFonts w:ascii="Times New Roman" w:hAnsi="Times New Roman" w:cs="Times New Roman"/>
        </w:rPr>
        <w:t xml:space="preserve"> and scikit-learn (Pedregosa et al., 2011) libraries.</w:t>
      </w:r>
    </w:p>
    <w:p w14:paraId="0B1CC9C4" w14:textId="77777777" w:rsidR="00774EDC" w:rsidRPr="00774EDC" w:rsidRDefault="00774EDC" w:rsidP="00774EDC">
      <w:pPr>
        <w:rPr>
          <w:rFonts w:ascii="Times New Roman" w:hAnsi="Times New Roman" w:cs="Times New Roman"/>
        </w:rPr>
      </w:pPr>
    </w:p>
    <w:p w14:paraId="6A751162" w14:textId="77777777" w:rsidR="00774EDC" w:rsidRPr="00774EDC" w:rsidRDefault="00774EDC" w:rsidP="00774EDC">
      <w:pPr>
        <w:rPr>
          <w:rFonts w:ascii="Times New Roman" w:hAnsi="Times New Roman" w:cs="Times New Roman"/>
        </w:rPr>
      </w:pPr>
    </w:p>
    <w:p w14:paraId="2828CABF"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lastRenderedPageBreak/>
        <w:t>1.6 Organisation of the Study</w:t>
      </w:r>
    </w:p>
    <w:p w14:paraId="3FF6DBAD" w14:textId="77777777" w:rsidR="00774EDC" w:rsidRPr="00774EDC" w:rsidRDefault="00774EDC" w:rsidP="00774EDC">
      <w:pPr>
        <w:rPr>
          <w:rFonts w:ascii="Times New Roman" w:hAnsi="Times New Roman" w:cs="Times New Roman"/>
        </w:rPr>
      </w:pPr>
    </w:p>
    <w:p w14:paraId="7C5650F6"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This study is organised into five chapters. Chapter One introduces the study by presenting the background of the study, problem statement, objectives, significance, a brief overview of the methodology, and the organisation of the study. Chapter Two presents a review of relevant literature, covering theoretical frameworks and empirical studies related to fuel price dynamics, time series forecasting, and the application of ARIMA, ARIMAX, and VAR models in commodity price forecasting. Chapter Three details the methodology adopted for the study, including the data sources, variable descriptions, model specifications, stationarity testing procedures, and forecast evaluation criteria. Chapter Four presents and discusses the results of the data analysis, including descriptive statistics, model estimation outputs, forecast performance, and a comparative evaluation of the three models. Chapter Five provides a summary of the key findings, conclusions drawn from the study, and recommendations for policymakers, regulatory bodies, and future researchers.</w:t>
      </w:r>
    </w:p>
    <w:p w14:paraId="166CFAC2" w14:textId="77777777" w:rsidR="00774EDC" w:rsidRPr="00774EDC" w:rsidRDefault="00774EDC" w:rsidP="00774EDC">
      <w:pPr>
        <w:rPr>
          <w:rFonts w:ascii="Times New Roman" w:hAnsi="Times New Roman" w:cs="Times New Roman"/>
        </w:rPr>
      </w:pPr>
    </w:p>
    <w:p w14:paraId="6DDCB506" w14:textId="77777777" w:rsidR="00774EDC" w:rsidRPr="00774EDC" w:rsidRDefault="00774EDC" w:rsidP="00774EDC">
      <w:pPr>
        <w:rPr>
          <w:rFonts w:ascii="Times New Roman" w:hAnsi="Times New Roman" w:cs="Times New Roman"/>
        </w:rPr>
      </w:pPr>
    </w:p>
    <w:p w14:paraId="47198B22"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REFERENCES</w:t>
      </w:r>
    </w:p>
    <w:p w14:paraId="39FB7D2E" w14:textId="77777777" w:rsidR="00774EDC" w:rsidRPr="00774EDC" w:rsidRDefault="00774EDC" w:rsidP="00774EDC">
      <w:pPr>
        <w:rPr>
          <w:rFonts w:ascii="Times New Roman" w:hAnsi="Times New Roman" w:cs="Times New Roman"/>
        </w:rPr>
      </w:pPr>
    </w:p>
    <w:p w14:paraId="7FFE21C7"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Addae, E., &amp; Ackah, I. (2017). Inflation dynamics in pre and post deregulation era in Ghana: Do petroleum prices have any influence? MPRA Paper 77496. University Library of Munich. https://mpra.ub.uni-muenchen.de/77496/</w:t>
      </w:r>
    </w:p>
    <w:p w14:paraId="5362C7DA" w14:textId="77777777" w:rsidR="00774EDC" w:rsidRPr="00774EDC" w:rsidRDefault="00774EDC" w:rsidP="00774EDC">
      <w:pPr>
        <w:rPr>
          <w:rFonts w:ascii="Times New Roman" w:hAnsi="Times New Roman" w:cs="Times New Roman"/>
        </w:rPr>
      </w:pPr>
    </w:p>
    <w:p w14:paraId="0F99DA14"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Alom, F., Ward, B. D., &amp; Hu, B. (2013). Macroeconomic effects of world oil and food price shocks in Asia and Pacific economies: Application of SVAR models. OPEC Energy Review, 37(3), 327–372. https://doi.org/10.1111/opec.12015</w:t>
      </w:r>
    </w:p>
    <w:p w14:paraId="1C4FE99D" w14:textId="77777777" w:rsidR="00774EDC" w:rsidRPr="00774EDC" w:rsidRDefault="00774EDC" w:rsidP="00774EDC">
      <w:pPr>
        <w:rPr>
          <w:rFonts w:ascii="Times New Roman" w:hAnsi="Times New Roman" w:cs="Times New Roman"/>
        </w:rPr>
      </w:pPr>
    </w:p>
    <w:p w14:paraId="40C1F64A"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Bank of Ghana. (2023). Annual report 2022. Bank of Ghana. https://www.bog.gov.gh/wp-content/uploads/2023/07/Annual-Report-2022.pdf</w:t>
      </w:r>
    </w:p>
    <w:p w14:paraId="6C124EF2" w14:textId="77777777" w:rsidR="00774EDC" w:rsidRPr="00774EDC" w:rsidRDefault="00774EDC" w:rsidP="00774EDC">
      <w:pPr>
        <w:rPr>
          <w:rFonts w:ascii="Times New Roman" w:hAnsi="Times New Roman" w:cs="Times New Roman"/>
        </w:rPr>
      </w:pPr>
    </w:p>
    <w:p w14:paraId="156B807E"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Baumeister, C., &amp; Kilian, L. (2014). What central bankers need to know about forecasting oil prices. International Economic Review, 55(3), 869–889. https://doi.org/10.1111/iere.12074</w:t>
      </w:r>
    </w:p>
    <w:p w14:paraId="582D2EE0" w14:textId="77777777" w:rsidR="00774EDC" w:rsidRPr="00774EDC" w:rsidRDefault="00774EDC" w:rsidP="00774EDC">
      <w:pPr>
        <w:rPr>
          <w:rFonts w:ascii="Times New Roman" w:hAnsi="Times New Roman" w:cs="Times New Roman"/>
        </w:rPr>
      </w:pPr>
    </w:p>
    <w:p w14:paraId="586C1DB1"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Bawa, S., Abdullahi, I. S., &amp; Ibrahim, A. (2016). Analysis of inflation dynamics in Nigeria (1981–2015). CBN Journal of Applied Statistics, 7(1b), 255–276. https://dc.cbn.gov.ng/jas/vol7/iss1/12</w:t>
      </w:r>
    </w:p>
    <w:p w14:paraId="46BBF2BB" w14:textId="77777777" w:rsidR="00774EDC" w:rsidRPr="00774EDC" w:rsidRDefault="00774EDC" w:rsidP="00774EDC">
      <w:pPr>
        <w:rPr>
          <w:rFonts w:ascii="Times New Roman" w:hAnsi="Times New Roman" w:cs="Times New Roman"/>
        </w:rPr>
      </w:pPr>
    </w:p>
    <w:p w14:paraId="335BCB33"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Ghana Statistical Service. (2023). Consumer price index: December 2022 report. Author. https://statsghana.gov.gh</w:t>
      </w:r>
    </w:p>
    <w:p w14:paraId="638F2024" w14:textId="77777777" w:rsidR="00774EDC" w:rsidRPr="00774EDC" w:rsidRDefault="00774EDC" w:rsidP="00774EDC">
      <w:pPr>
        <w:rPr>
          <w:rFonts w:ascii="Times New Roman" w:hAnsi="Times New Roman" w:cs="Times New Roman"/>
        </w:rPr>
      </w:pPr>
    </w:p>
    <w:p w14:paraId="04D10343"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Hamilton, J. D. (2009). Causes and consequences of the oil shock of 2007–08. Brookings Papers on Economic Activity, Spring 2009, 215–261. https://www.brookings.edu/bpea-articles/causes-and-consequences-of-the-oil-shock-of-2007-08</w:t>
      </w:r>
    </w:p>
    <w:p w14:paraId="6176D051" w14:textId="77777777" w:rsidR="00774EDC" w:rsidRPr="00774EDC" w:rsidRDefault="00774EDC" w:rsidP="00774EDC">
      <w:pPr>
        <w:rPr>
          <w:rFonts w:ascii="Times New Roman" w:hAnsi="Times New Roman" w:cs="Times New Roman"/>
        </w:rPr>
      </w:pPr>
    </w:p>
    <w:p w14:paraId="2622AF5C"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Hunter, J. D. (2007). Matplotlib: A 2D graphics environment. Computing in Science &amp; Engineering, 9(3), 90–95. https://doi.org/10.1109/MCSE.2007.55</w:t>
      </w:r>
    </w:p>
    <w:p w14:paraId="1BAE2089" w14:textId="77777777" w:rsidR="00774EDC" w:rsidRPr="00774EDC" w:rsidRDefault="00774EDC" w:rsidP="00774EDC">
      <w:pPr>
        <w:rPr>
          <w:rFonts w:ascii="Times New Roman" w:hAnsi="Times New Roman" w:cs="Times New Roman"/>
        </w:rPr>
      </w:pPr>
    </w:p>
    <w:p w14:paraId="0222DF85"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 xml:space="preserve">Jammazi, R., &amp; Aloui, C. (2012). Crude oil price forecasting: Experimental evidence from wavelet decomposition and neural network </w:t>
      </w:r>
      <w:proofErr w:type="spellStart"/>
      <w:r w:rsidRPr="00774EDC">
        <w:rPr>
          <w:rFonts w:ascii="Times New Roman" w:hAnsi="Times New Roman" w:cs="Times New Roman"/>
        </w:rPr>
        <w:t>modeling</w:t>
      </w:r>
      <w:proofErr w:type="spellEnd"/>
      <w:r w:rsidRPr="00774EDC">
        <w:rPr>
          <w:rFonts w:ascii="Times New Roman" w:hAnsi="Times New Roman" w:cs="Times New Roman"/>
        </w:rPr>
        <w:t>. Energy Economics, 34(3), 828–841. https://doi.org/10.1016/j.eneco.2011.07.018</w:t>
      </w:r>
    </w:p>
    <w:p w14:paraId="0EE5AA31" w14:textId="77777777" w:rsidR="00774EDC" w:rsidRPr="00774EDC" w:rsidRDefault="00774EDC" w:rsidP="00774EDC">
      <w:pPr>
        <w:rPr>
          <w:rFonts w:ascii="Times New Roman" w:hAnsi="Times New Roman" w:cs="Times New Roman"/>
        </w:rPr>
      </w:pPr>
    </w:p>
    <w:p w14:paraId="1BBEC81D"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Kilian, L. (2009). Not all oil price shocks are alike: Disentangling demand and supply shocks in the crude oil market. American Economic Review, 99(3), 1053–1069. https://doi.org/10.1257/aer.99.3.1053</w:t>
      </w:r>
    </w:p>
    <w:p w14:paraId="010FAE65" w14:textId="77777777" w:rsidR="00774EDC" w:rsidRPr="00774EDC" w:rsidRDefault="00774EDC" w:rsidP="00774EDC">
      <w:pPr>
        <w:rPr>
          <w:rFonts w:ascii="Times New Roman" w:hAnsi="Times New Roman" w:cs="Times New Roman"/>
        </w:rPr>
      </w:pPr>
    </w:p>
    <w:p w14:paraId="51A21276"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McKinney, W. (2010). Data structures for statistical computing in Python. In Proceedings of the 9th Python in Science Conference (pp. 51–56).</w:t>
      </w:r>
    </w:p>
    <w:p w14:paraId="51AB146E" w14:textId="77777777" w:rsidR="00774EDC" w:rsidRPr="00774EDC" w:rsidRDefault="00774EDC" w:rsidP="00774EDC">
      <w:pPr>
        <w:rPr>
          <w:rFonts w:ascii="Times New Roman" w:hAnsi="Times New Roman" w:cs="Times New Roman"/>
        </w:rPr>
      </w:pPr>
    </w:p>
    <w:p w14:paraId="2B3BA3EB"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National Petroleum Authority. (2023). Petroleum pricing formula regulations (L.I. 2186). National Petroleum Authority. https://npa.gov.gh/wp-content/uploads/2023/09/Petroleum-Pricing-Formula-Regulations-LI-2186-1.pdf</w:t>
      </w:r>
    </w:p>
    <w:p w14:paraId="2A0C2DB0" w14:textId="77777777" w:rsidR="00774EDC" w:rsidRPr="00774EDC" w:rsidRDefault="00774EDC" w:rsidP="00774EDC">
      <w:pPr>
        <w:rPr>
          <w:rFonts w:ascii="Times New Roman" w:hAnsi="Times New Roman" w:cs="Times New Roman"/>
        </w:rPr>
      </w:pPr>
    </w:p>
    <w:p w14:paraId="30417F12"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 xml:space="preserve">Pedregosa, F., </w:t>
      </w:r>
      <w:proofErr w:type="spellStart"/>
      <w:r w:rsidRPr="00774EDC">
        <w:rPr>
          <w:rFonts w:ascii="Times New Roman" w:hAnsi="Times New Roman" w:cs="Times New Roman"/>
        </w:rPr>
        <w:t>Varoquaux</w:t>
      </w:r>
      <w:proofErr w:type="spellEnd"/>
      <w:r w:rsidRPr="00774EDC">
        <w:rPr>
          <w:rFonts w:ascii="Times New Roman" w:hAnsi="Times New Roman" w:cs="Times New Roman"/>
        </w:rPr>
        <w:t xml:space="preserve">, G., </w:t>
      </w:r>
      <w:proofErr w:type="spellStart"/>
      <w:r w:rsidRPr="00774EDC">
        <w:rPr>
          <w:rFonts w:ascii="Times New Roman" w:hAnsi="Times New Roman" w:cs="Times New Roman"/>
        </w:rPr>
        <w:t>Gramfort</w:t>
      </w:r>
      <w:proofErr w:type="spellEnd"/>
      <w:r w:rsidRPr="00774EDC">
        <w:rPr>
          <w:rFonts w:ascii="Times New Roman" w:hAnsi="Times New Roman" w:cs="Times New Roman"/>
        </w:rPr>
        <w:t xml:space="preserve">, A., Michel, V., Thirion, B., Grisel, O., Blondel, M., </w:t>
      </w:r>
      <w:proofErr w:type="spellStart"/>
      <w:r w:rsidRPr="00774EDC">
        <w:rPr>
          <w:rFonts w:ascii="Times New Roman" w:hAnsi="Times New Roman" w:cs="Times New Roman"/>
        </w:rPr>
        <w:t>Prettenhofer</w:t>
      </w:r>
      <w:proofErr w:type="spellEnd"/>
      <w:r w:rsidRPr="00774EDC">
        <w:rPr>
          <w:rFonts w:ascii="Times New Roman" w:hAnsi="Times New Roman" w:cs="Times New Roman"/>
        </w:rPr>
        <w:t xml:space="preserve">, P., Weiss, R., Dubourg, V., Vanderplas, J., Passos, A., </w:t>
      </w:r>
      <w:proofErr w:type="spellStart"/>
      <w:r w:rsidRPr="00774EDC">
        <w:rPr>
          <w:rFonts w:ascii="Times New Roman" w:hAnsi="Times New Roman" w:cs="Times New Roman"/>
        </w:rPr>
        <w:t>Cournapeau</w:t>
      </w:r>
      <w:proofErr w:type="spellEnd"/>
      <w:r w:rsidRPr="00774EDC">
        <w:rPr>
          <w:rFonts w:ascii="Times New Roman" w:hAnsi="Times New Roman" w:cs="Times New Roman"/>
        </w:rPr>
        <w:t>, D., Brucher, M., Perrot, M., &amp; Duchesnay, E. (2011). Scikit-learn: Machine learning in Python. Journal of Machine Learning Research, 12, 2825–2830.</w:t>
      </w:r>
    </w:p>
    <w:p w14:paraId="5BB4AFFA" w14:textId="77777777" w:rsidR="00774EDC" w:rsidRPr="00774EDC" w:rsidRDefault="00774EDC" w:rsidP="00774EDC">
      <w:pPr>
        <w:rPr>
          <w:rFonts w:ascii="Times New Roman" w:hAnsi="Times New Roman" w:cs="Times New Roman"/>
        </w:rPr>
      </w:pPr>
    </w:p>
    <w:p w14:paraId="3DCFECE0"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 xml:space="preserve">Seabold, S., &amp; </w:t>
      </w:r>
      <w:proofErr w:type="spellStart"/>
      <w:r w:rsidRPr="00774EDC">
        <w:rPr>
          <w:rFonts w:ascii="Times New Roman" w:hAnsi="Times New Roman" w:cs="Times New Roman"/>
        </w:rPr>
        <w:t>Perktold</w:t>
      </w:r>
      <w:proofErr w:type="spellEnd"/>
      <w:r w:rsidRPr="00774EDC">
        <w:rPr>
          <w:rFonts w:ascii="Times New Roman" w:hAnsi="Times New Roman" w:cs="Times New Roman"/>
        </w:rPr>
        <w:t xml:space="preserve">, J. (2010). </w:t>
      </w:r>
      <w:proofErr w:type="spellStart"/>
      <w:r w:rsidRPr="00774EDC">
        <w:rPr>
          <w:rFonts w:ascii="Times New Roman" w:hAnsi="Times New Roman" w:cs="Times New Roman"/>
        </w:rPr>
        <w:t>Statsmodels</w:t>
      </w:r>
      <w:proofErr w:type="spellEnd"/>
      <w:r w:rsidRPr="00774EDC">
        <w:rPr>
          <w:rFonts w:ascii="Times New Roman" w:hAnsi="Times New Roman" w:cs="Times New Roman"/>
        </w:rPr>
        <w:t xml:space="preserve">: Econometric and statistical </w:t>
      </w:r>
      <w:proofErr w:type="spellStart"/>
      <w:r w:rsidRPr="00774EDC">
        <w:rPr>
          <w:rFonts w:ascii="Times New Roman" w:hAnsi="Times New Roman" w:cs="Times New Roman"/>
        </w:rPr>
        <w:t>modeling</w:t>
      </w:r>
      <w:proofErr w:type="spellEnd"/>
      <w:r w:rsidRPr="00774EDC">
        <w:rPr>
          <w:rFonts w:ascii="Times New Roman" w:hAnsi="Times New Roman" w:cs="Times New Roman"/>
        </w:rPr>
        <w:t xml:space="preserve"> with Python. In Proceedings of the 9th Python in Science Conference (pp. 57–61).</w:t>
      </w:r>
    </w:p>
    <w:p w14:paraId="6CBF2C28" w14:textId="77777777" w:rsidR="00774EDC" w:rsidRPr="00774EDC" w:rsidRDefault="00774EDC" w:rsidP="00774EDC">
      <w:pPr>
        <w:rPr>
          <w:rFonts w:ascii="Times New Roman" w:hAnsi="Times New Roman" w:cs="Times New Roman"/>
        </w:rPr>
      </w:pPr>
    </w:p>
    <w:p w14:paraId="7D0DF21D"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lastRenderedPageBreak/>
        <w:t>U.S. Energy Information Administration. (2023). Europe Brent spot price FOB [Data set]. U.S. Energy Information Administration. https://www.eia.gov/dnav/pet/hist/LeafHandler.ashx?n=PET&amp;s=RBRTE&amp;f=M</w:t>
      </w:r>
    </w:p>
    <w:p w14:paraId="1B0E3ED8" w14:textId="77777777" w:rsidR="00774EDC" w:rsidRPr="00774EDC" w:rsidRDefault="00774EDC" w:rsidP="00774EDC">
      <w:pPr>
        <w:rPr>
          <w:rFonts w:ascii="Times New Roman" w:hAnsi="Times New Roman" w:cs="Times New Roman"/>
        </w:rPr>
      </w:pPr>
    </w:p>
    <w:p w14:paraId="0C8DA523" w14:textId="77777777" w:rsidR="00774EDC" w:rsidRPr="00774EDC" w:rsidRDefault="00774EDC" w:rsidP="00774EDC">
      <w:pPr>
        <w:rPr>
          <w:rFonts w:ascii="Times New Roman" w:hAnsi="Times New Roman" w:cs="Times New Roman"/>
        </w:rPr>
      </w:pPr>
      <w:r w:rsidRPr="00774EDC">
        <w:rPr>
          <w:rFonts w:ascii="Times New Roman" w:hAnsi="Times New Roman" w:cs="Times New Roman"/>
        </w:rPr>
        <w:t xml:space="preserve">Waskom, M. L. (2021). Seaborn: Statistical data visualization. Journal of </w:t>
      </w:r>
      <w:proofErr w:type="gramStart"/>
      <w:r w:rsidRPr="00774EDC">
        <w:rPr>
          <w:rFonts w:ascii="Times New Roman" w:hAnsi="Times New Roman" w:cs="Times New Roman"/>
        </w:rPr>
        <w:t>Open Source</w:t>
      </w:r>
      <w:proofErr w:type="gramEnd"/>
      <w:r w:rsidRPr="00774EDC">
        <w:rPr>
          <w:rFonts w:ascii="Times New Roman" w:hAnsi="Times New Roman" w:cs="Times New Roman"/>
        </w:rPr>
        <w:t xml:space="preserve"> Software, 6(60), 3021. https://doi.org/10.21105/joss.03021</w:t>
      </w:r>
    </w:p>
    <w:p w14:paraId="3104D9D3" w14:textId="77777777" w:rsidR="00774EDC" w:rsidRPr="00774EDC" w:rsidRDefault="00774EDC" w:rsidP="00774EDC">
      <w:pPr>
        <w:rPr>
          <w:rFonts w:ascii="Times New Roman" w:hAnsi="Times New Roman" w:cs="Times New Roman"/>
        </w:rPr>
      </w:pPr>
    </w:p>
    <w:p w14:paraId="222550A4" w14:textId="77777777" w:rsidR="00774EDC" w:rsidRPr="00774EDC" w:rsidRDefault="00774EDC" w:rsidP="00774EDC">
      <w:pPr>
        <w:rPr>
          <w:rFonts w:ascii="Times New Roman" w:hAnsi="Times New Roman" w:cs="Times New Roman"/>
        </w:rPr>
      </w:pPr>
    </w:p>
    <w:p w14:paraId="0C936704" w14:textId="163AD462" w:rsidR="00774EDC" w:rsidRPr="00774EDC" w:rsidRDefault="00774EDC" w:rsidP="00774EDC">
      <w:pPr>
        <w:rPr>
          <w:rFonts w:ascii="Times New Roman" w:hAnsi="Times New Roman" w:cs="Times New Roman"/>
        </w:rPr>
      </w:pPr>
    </w:p>
    <w:sectPr w:rsidR="00774EDC" w:rsidRPr="00774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DDB"/>
    <w:multiLevelType w:val="multilevel"/>
    <w:tmpl w:val="691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2DFE"/>
    <w:multiLevelType w:val="multilevel"/>
    <w:tmpl w:val="304A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167AD"/>
    <w:multiLevelType w:val="multilevel"/>
    <w:tmpl w:val="320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60BDA"/>
    <w:multiLevelType w:val="multilevel"/>
    <w:tmpl w:val="96B0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898999">
    <w:abstractNumId w:val="3"/>
  </w:num>
  <w:num w:numId="2" w16cid:durableId="1900094933">
    <w:abstractNumId w:val="2"/>
  </w:num>
  <w:num w:numId="3" w16cid:durableId="1765958862">
    <w:abstractNumId w:val="0"/>
  </w:num>
  <w:num w:numId="4" w16cid:durableId="759955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48"/>
    <w:rsid w:val="000C56F3"/>
    <w:rsid w:val="00122548"/>
    <w:rsid w:val="001E3AB1"/>
    <w:rsid w:val="00353CFE"/>
    <w:rsid w:val="00521DF8"/>
    <w:rsid w:val="005C045F"/>
    <w:rsid w:val="006437C4"/>
    <w:rsid w:val="00686C89"/>
    <w:rsid w:val="006F30AF"/>
    <w:rsid w:val="00774EDC"/>
    <w:rsid w:val="007B74BF"/>
    <w:rsid w:val="00917FBB"/>
    <w:rsid w:val="00935FF0"/>
    <w:rsid w:val="00A931AC"/>
    <w:rsid w:val="00AE20F9"/>
    <w:rsid w:val="00B019DD"/>
    <w:rsid w:val="00B45F96"/>
    <w:rsid w:val="00B93194"/>
    <w:rsid w:val="00B9414B"/>
    <w:rsid w:val="00BA512D"/>
    <w:rsid w:val="00BF3BB8"/>
    <w:rsid w:val="00C34D8D"/>
    <w:rsid w:val="00C42104"/>
    <w:rsid w:val="00D13C10"/>
    <w:rsid w:val="00D560EC"/>
    <w:rsid w:val="00D83A5B"/>
    <w:rsid w:val="00EC4984"/>
    <w:rsid w:val="00F7112B"/>
    <w:rsid w:val="00FB1C0A"/>
    <w:rsid w:val="00FF7EA6"/>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9F70"/>
  <w15:chartTrackingRefBased/>
  <w15:docId w15:val="{F4511BED-FC73-43BC-A984-5EBBF45A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48"/>
    <w:rPr>
      <w:rFonts w:eastAsiaTheme="majorEastAsia" w:cstheme="majorBidi"/>
      <w:color w:val="272727" w:themeColor="text1" w:themeTint="D8"/>
    </w:rPr>
  </w:style>
  <w:style w:type="paragraph" w:styleId="Title">
    <w:name w:val="Title"/>
    <w:basedOn w:val="Normal"/>
    <w:next w:val="Normal"/>
    <w:link w:val="TitleChar"/>
    <w:uiPriority w:val="10"/>
    <w:qFormat/>
    <w:rsid w:val="00122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48"/>
    <w:pPr>
      <w:spacing w:before="160"/>
      <w:jc w:val="center"/>
    </w:pPr>
    <w:rPr>
      <w:i/>
      <w:iCs/>
      <w:color w:val="404040" w:themeColor="text1" w:themeTint="BF"/>
    </w:rPr>
  </w:style>
  <w:style w:type="character" w:customStyle="1" w:styleId="QuoteChar">
    <w:name w:val="Quote Char"/>
    <w:basedOn w:val="DefaultParagraphFont"/>
    <w:link w:val="Quote"/>
    <w:uiPriority w:val="29"/>
    <w:rsid w:val="00122548"/>
    <w:rPr>
      <w:i/>
      <w:iCs/>
      <w:color w:val="404040" w:themeColor="text1" w:themeTint="BF"/>
    </w:rPr>
  </w:style>
  <w:style w:type="paragraph" w:styleId="ListParagraph">
    <w:name w:val="List Paragraph"/>
    <w:basedOn w:val="Normal"/>
    <w:uiPriority w:val="34"/>
    <w:qFormat/>
    <w:rsid w:val="00122548"/>
    <w:pPr>
      <w:ind w:left="720"/>
      <w:contextualSpacing/>
    </w:pPr>
  </w:style>
  <w:style w:type="character" w:styleId="IntenseEmphasis">
    <w:name w:val="Intense Emphasis"/>
    <w:basedOn w:val="DefaultParagraphFont"/>
    <w:uiPriority w:val="21"/>
    <w:qFormat/>
    <w:rsid w:val="00122548"/>
    <w:rPr>
      <w:i/>
      <w:iCs/>
      <w:color w:val="0F4761" w:themeColor="accent1" w:themeShade="BF"/>
    </w:rPr>
  </w:style>
  <w:style w:type="paragraph" w:styleId="IntenseQuote">
    <w:name w:val="Intense Quote"/>
    <w:basedOn w:val="Normal"/>
    <w:next w:val="Normal"/>
    <w:link w:val="IntenseQuoteChar"/>
    <w:uiPriority w:val="30"/>
    <w:qFormat/>
    <w:rsid w:val="00122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548"/>
    <w:rPr>
      <w:i/>
      <w:iCs/>
      <w:color w:val="0F4761" w:themeColor="accent1" w:themeShade="BF"/>
    </w:rPr>
  </w:style>
  <w:style w:type="character" w:styleId="IntenseReference">
    <w:name w:val="Intense Reference"/>
    <w:basedOn w:val="DefaultParagraphFont"/>
    <w:uiPriority w:val="32"/>
    <w:qFormat/>
    <w:rsid w:val="00122548"/>
    <w:rPr>
      <w:b/>
      <w:bCs/>
      <w:smallCaps/>
      <w:color w:val="0F4761" w:themeColor="accent1" w:themeShade="BF"/>
      <w:spacing w:val="5"/>
    </w:rPr>
  </w:style>
  <w:style w:type="paragraph" w:styleId="NormalWeb">
    <w:name w:val="Normal (Web)"/>
    <w:basedOn w:val="Normal"/>
    <w:uiPriority w:val="99"/>
    <w:semiHidden/>
    <w:unhideWhenUsed/>
    <w:rsid w:val="00AE20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79401FCA20B48BC2D5BC3B4486ECB" ma:contentTypeVersion="10" ma:contentTypeDescription="Create a new document." ma:contentTypeScope="" ma:versionID="70af42405b8a534e5b54171e7be91a3d">
  <xsd:schema xmlns:xsd="http://www.w3.org/2001/XMLSchema" xmlns:xs="http://www.w3.org/2001/XMLSchema" xmlns:p="http://schemas.microsoft.com/office/2006/metadata/properties" xmlns:ns3="919c896f-2556-40fa-a2e5-a327a5cfdc9b" targetNamespace="http://schemas.microsoft.com/office/2006/metadata/properties" ma:root="true" ma:fieldsID="4271f00df38a4456bc8ee7a19ba00849" ns3:_="">
    <xsd:import namespace="919c896f-2556-40fa-a2e5-a327a5cfdc9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9c896f-2556-40fa-a2e5-a327a5cfdc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392C20-DE12-4B8A-B1B1-BC4E0A96A4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9c896f-2556-40fa-a2e5-a327a5cfd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667BEA-8480-46C5-AE16-7FDBEAF6475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11A9490-CDDD-44CC-B042-3560735403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8796</TotalTime>
  <Pages>9</Pages>
  <Words>2843</Words>
  <Characters>16209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Emmanuel Paddy</dc:creator>
  <cp:keywords/>
  <dc:description/>
  <cp:lastModifiedBy>Adams Emmanuel Paddy</cp:lastModifiedBy>
  <cp:revision>7</cp:revision>
  <dcterms:created xsi:type="dcterms:W3CDTF">2026-05-05T09:58:00Z</dcterms:created>
  <dcterms:modified xsi:type="dcterms:W3CDTF">2026-06-19T10:09:00Z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db45a2f2-db53-498b-bc8a-1a363da63c00</vt:lpwstr>
  </property>
  <property fmtid="{D5CDD505-2E9C-101B-9397-08002B2CF9AE}" pid="3" name="ContentTypeId">
    <vt:lpwstr>0x01010069A79401FCA20B48BC2D5BC3B4486ECB</vt:lpwstr>
  </property>
</Properties>
</file>