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14:ligatures w14:val="standardContextual"/>
        </w:rPr>
        <w:id w:val="543872063"/>
        <w:docPartObj>
          <w:docPartGallery w:val="Cover Pages"/>
          <w:docPartUnique/>
        </w:docPartObj>
      </w:sdtPr>
      <w:sdtContent>
        <w:p w14:paraId="59B90EBC" w14:textId="44B9350F" w:rsidR="00004A5A" w:rsidRPr="00A6659B" w:rsidRDefault="00004A5A" w:rsidP="00F86E7C">
          <w:pPr>
            <w:pStyle w:val="NoSpacing"/>
            <w:spacing w:line="276" w:lineRule="auto"/>
            <w:rPr>
              <w:rFonts w:ascii="Times New Roman" w:hAnsi="Times New Roman" w:cs="Times New Roman"/>
            </w:rPr>
          </w:pPr>
          <w:r w:rsidRPr="00A6659B">
            <w:rPr>
              <w:rFonts w:ascii="Times New Roman" w:hAnsi="Times New Roman" w:cs="Times New Roman"/>
              <w:noProof/>
            </w:rPr>
            <mc:AlternateContent>
              <mc:Choice Requires="wpg">
                <w:drawing>
                  <wp:anchor distT="0" distB="0" distL="114300" distR="114300" simplePos="0" relativeHeight="251661312" behindDoc="1" locked="0" layoutInCell="1" allowOverlap="1" wp14:anchorId="2B773444" wp14:editId="171CD2BF">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7399E48" w14:textId="77777777" w:rsidR="00004A5A" w:rsidRDefault="00004A5A">
                                      <w:pPr>
                                        <w:pStyle w:val="NoSpacing"/>
                                        <w:jc w:val="right"/>
                                        <w:rPr>
                                          <w:color w:val="FFFFFF" w:themeColor="background1"/>
                                          <w:sz w:val="28"/>
                                          <w:szCs w:val="28"/>
                                        </w:rPr>
                                      </w:pPr>
                                      <w:r>
                                        <w:rPr>
                                          <w:color w:val="FFFFFF" w:themeColor="background1"/>
                                          <w:sz w:val="28"/>
                                          <w:szCs w:val="28"/>
                                        </w:rPr>
                                        <w:t>[Date]</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2B773444" id="Group 26" o:spid="_x0000_s1026" style="position:absolute;margin-left:0;margin-top:0;width:172.8pt;height:718.55pt;z-index:-251655168;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7399E48" w14:textId="77777777" w:rsidR="00004A5A" w:rsidRDefault="00004A5A">
                                <w:pPr>
                                  <w:pStyle w:val="NoSpacing"/>
                                  <w:jc w:val="right"/>
                                  <w:rPr>
                                    <w:color w:val="FFFFFF" w:themeColor="background1"/>
                                    <w:sz w:val="28"/>
                                    <w:szCs w:val="28"/>
                                  </w:rPr>
                                </w:pPr>
                                <w:r>
                                  <w:rPr>
                                    <w:color w:val="FFFFFF" w:themeColor="background1"/>
                                    <w:sz w:val="28"/>
                                    <w:szCs w:val="28"/>
                                  </w:rPr>
                                  <w:t>[Date]</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A6659B">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47CDAC26" wp14:editId="38520193">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1EEB2FB" w14:textId="0E7FF452" w:rsidR="00004A5A" w:rsidRDefault="00000000">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04A5A">
                                      <w:rPr>
                                        <w:color w:val="156082" w:themeColor="accent1"/>
                                        <w:sz w:val="26"/>
                                        <w:szCs w:val="26"/>
                                      </w:rPr>
                                      <w:t>Adams Emmanuel Paddy</w:t>
                                    </w:r>
                                  </w:sdtContent>
                                </w:sdt>
                              </w:p>
                              <w:p w14:paraId="6D5535C6" w14:textId="77777777" w:rsidR="00004A5A"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004A5A">
                                      <w:rPr>
                                        <w:caps/>
                                        <w:color w:val="595959" w:themeColor="text1" w:themeTint="A6"/>
                                        <w:sz w:val="20"/>
                                        <w:szCs w:val="20"/>
                                      </w:rPr>
                                      <w:t>[company name]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7CDAC26" id="_x0000_t202" coordsize="21600,21600" o:spt="202" path="m,l,21600r21600,l21600,xe">
                    <v:stroke joinstyle="miter"/>
                    <v:path gradientshapeok="t" o:connecttype="rect"/>
                  </v:shapetype>
                  <v:shape id="Text Box 28" o:spid="_x0000_s1055" type="#_x0000_t202" style="position:absolute;margin-left:0;margin-top:0;width:4in;height:28.8pt;z-index:251663360;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71EEB2FB" w14:textId="0E7FF452" w:rsidR="00004A5A" w:rsidRDefault="00000000">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04A5A">
                                <w:rPr>
                                  <w:color w:val="156082" w:themeColor="accent1"/>
                                  <w:sz w:val="26"/>
                                  <w:szCs w:val="26"/>
                                </w:rPr>
                                <w:t>Adams Emmanuel Paddy</w:t>
                              </w:r>
                            </w:sdtContent>
                          </w:sdt>
                        </w:p>
                        <w:p w14:paraId="6D5535C6" w14:textId="77777777" w:rsidR="00004A5A" w:rsidRDefault="00000000">
                          <w:pPr>
                            <w:pStyle w:val="NoSpacing"/>
                            <w:rPr>
                              <w:color w:val="595959" w:themeColor="text1" w:themeTint="A6"/>
                              <w:sz w:val="20"/>
                              <w:szCs w:val="20"/>
                            </w:rPr>
                          </w:pPr>
                          <w:sdt>
                            <w:sdtPr>
                              <w:rPr>
                                <w:caps/>
                                <w:color w:val="595959" w:themeColor="text1" w:themeTint="A6"/>
                                <w:sz w:val="20"/>
                                <w:szCs w:val="20"/>
                              </w:rPr>
                              <w:alias w:val="Company"/>
                              <w:tag w:val=""/>
                              <w:id w:val="1558814826"/>
                              <w:showingPlcHdr/>
                              <w:dataBinding w:prefixMappings="xmlns:ns0='http://schemas.openxmlformats.org/officeDocument/2006/extended-properties' " w:xpath="/ns0:Properties[1]/ns0:Company[1]" w:storeItemID="{6668398D-A668-4E3E-A5EB-62B293D839F1}"/>
                              <w:text/>
                            </w:sdtPr>
                            <w:sdtContent>
                              <w:r w:rsidR="00004A5A">
                                <w:rPr>
                                  <w:caps/>
                                  <w:color w:val="595959" w:themeColor="text1" w:themeTint="A6"/>
                                  <w:sz w:val="20"/>
                                  <w:szCs w:val="20"/>
                                </w:rPr>
                                <w:t>[company name]</w:t>
                              </w:r>
                            </w:sdtContent>
                          </w:sdt>
                        </w:p>
                      </w:txbxContent>
                    </v:textbox>
                    <w10:wrap anchorx="page" anchory="page"/>
                  </v:shape>
                </w:pict>
              </mc:Fallback>
            </mc:AlternateContent>
          </w:r>
          <w:r w:rsidRPr="00A6659B">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3D134117" wp14:editId="26B4DD48">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B77C60" w14:textId="77777777" w:rsidR="00004A5A"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sidR="00004A5A">
                                      <w:rPr>
                                        <w:rFonts w:asciiTheme="majorHAnsi" w:eastAsiaTheme="majorEastAsia" w:hAnsiTheme="majorHAnsi" w:cstheme="majorBidi"/>
                                        <w:color w:val="262626" w:themeColor="text1" w:themeTint="D9"/>
                                        <w:sz w:val="72"/>
                                        <w:szCs w:val="72"/>
                                      </w:rPr>
                                      <w:t>[Document title]</w:t>
                                    </w:r>
                                  </w:sdtContent>
                                </w:sdt>
                              </w:p>
                              <w:p w14:paraId="0C2B38D5" w14:textId="77777777" w:rsidR="00004A5A" w:rsidRDefault="00000000">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00004A5A">
                                      <w:rPr>
                                        <w:color w:val="404040" w:themeColor="text1" w:themeTint="BF"/>
                                        <w:sz w:val="36"/>
                                        <w:szCs w:val="36"/>
                                      </w:rPr>
                                      <w:t>[Document subtitle]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D134117" id="Text Box 30" o:spid="_x0000_s1056" type="#_x0000_t202" style="position:absolute;margin-left:0;margin-top:0;width:4in;height:84.25pt;z-index:251662336;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AB77C60" w14:textId="77777777" w:rsidR="00004A5A"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showingPlcHdr/>
                              <w:dataBinding w:prefixMappings="xmlns:ns0='http://purl.org/dc/elements/1.1/' xmlns:ns1='http://schemas.openxmlformats.org/package/2006/metadata/core-properties' " w:xpath="/ns1:coreProperties[1]/ns0:title[1]" w:storeItemID="{6C3C8BC8-F283-45AE-878A-BAB7291924A1}"/>
                              <w:text/>
                            </w:sdtPr>
                            <w:sdtContent>
                              <w:r w:rsidR="00004A5A">
                                <w:rPr>
                                  <w:rFonts w:asciiTheme="majorHAnsi" w:eastAsiaTheme="majorEastAsia" w:hAnsiTheme="majorHAnsi" w:cstheme="majorBidi"/>
                                  <w:color w:val="262626" w:themeColor="text1" w:themeTint="D9"/>
                                  <w:sz w:val="72"/>
                                  <w:szCs w:val="72"/>
                                </w:rPr>
                                <w:t>[Document title]</w:t>
                              </w:r>
                            </w:sdtContent>
                          </w:sdt>
                        </w:p>
                        <w:p w14:paraId="0C2B38D5" w14:textId="77777777" w:rsidR="00004A5A" w:rsidRDefault="00000000">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sidR="00004A5A">
                                <w:rPr>
                                  <w:color w:val="404040" w:themeColor="text1" w:themeTint="BF"/>
                                  <w:sz w:val="36"/>
                                  <w:szCs w:val="36"/>
                                </w:rPr>
                                <w:t>[Document subtitle]</w:t>
                              </w:r>
                            </w:sdtContent>
                          </w:sdt>
                        </w:p>
                      </w:txbxContent>
                    </v:textbox>
                    <w10:wrap anchorx="page" anchory="page"/>
                  </v:shape>
                </w:pict>
              </mc:Fallback>
            </mc:AlternateContent>
          </w:r>
        </w:p>
        <w:p w14:paraId="3D09F80B" w14:textId="78F2766D" w:rsidR="00004A5A" w:rsidRPr="00A6659B" w:rsidRDefault="00004A5A" w:rsidP="00F86E7C">
          <w:pPr>
            <w:spacing w:after="0" w:line="276" w:lineRule="auto"/>
            <w:rPr>
              <w:rFonts w:ascii="Times New Roman" w:hAnsi="Times New Roman" w:cs="Times New Roman"/>
            </w:rPr>
          </w:pPr>
          <w:r w:rsidRPr="00A6659B">
            <w:rPr>
              <w:rFonts w:ascii="Times New Roman" w:hAnsi="Times New Roman" w:cs="Times New Roman"/>
            </w:rPr>
            <w:br w:type="page"/>
          </w:r>
        </w:p>
      </w:sdtContent>
    </w:sdt>
    <w:p w14:paraId="6BA507D0" w14:textId="0E0A5275" w:rsidR="00846656" w:rsidRPr="00A6659B" w:rsidRDefault="00236BF7" w:rsidP="00F86E7C">
      <w:pPr>
        <w:spacing w:after="0" w:line="276" w:lineRule="auto"/>
        <w:rPr>
          <w:rFonts w:ascii="Times New Roman" w:hAnsi="Times New Roman" w:cs="Times New Roman"/>
          <w:sz w:val="48"/>
          <w:szCs w:val="48"/>
        </w:rPr>
      </w:pPr>
      <w:r w:rsidRPr="00A6659B">
        <w:rPr>
          <w:rFonts w:ascii="Times New Roman" w:hAnsi="Times New Roman" w:cs="Times New Roman"/>
          <w:noProof/>
          <w:sz w:val="48"/>
          <w:szCs w:val="48"/>
        </w:rPr>
        <w:lastRenderedPageBreak/>
        <w:drawing>
          <wp:anchor distT="0" distB="0" distL="114300" distR="114300" simplePos="0" relativeHeight="251658240" behindDoc="0" locked="0" layoutInCell="1" allowOverlap="1" wp14:anchorId="770379A1" wp14:editId="6FE32B53">
            <wp:simplePos x="914400" y="914400"/>
            <wp:positionH relativeFrom="margin">
              <wp:align>left</wp:align>
            </wp:positionH>
            <wp:positionV relativeFrom="margin">
              <wp:align>top</wp:align>
            </wp:positionV>
            <wp:extent cx="1079500" cy="1084580"/>
            <wp:effectExtent l="0" t="0" r="6350" b="1270"/>
            <wp:wrapSquare wrapText="bothSides"/>
            <wp:docPr id="33448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480299" name="Picture 3344802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079500" cy="1084580"/>
                    </a:xfrm>
                    <a:prstGeom prst="rect">
                      <a:avLst/>
                    </a:prstGeom>
                  </pic:spPr>
                </pic:pic>
              </a:graphicData>
            </a:graphic>
          </wp:anchor>
        </w:drawing>
      </w:r>
      <w:r w:rsidR="00B65FFB" w:rsidRPr="00A6659B">
        <w:rPr>
          <w:rFonts w:ascii="Times New Roman" w:hAnsi="Times New Roman" w:cs="Times New Roman"/>
        </w:rPr>
        <w:tab/>
      </w:r>
      <w:r w:rsidRPr="00A6659B">
        <w:rPr>
          <w:rFonts w:ascii="Times New Roman" w:hAnsi="Times New Roman" w:cs="Times New Roman"/>
        </w:rPr>
        <w:t xml:space="preserve">                                                                                     </w:t>
      </w:r>
      <w:r w:rsidRPr="00A6659B">
        <w:rPr>
          <w:rFonts w:ascii="Times New Roman" w:hAnsi="Times New Roman" w:cs="Times New Roman"/>
          <w:noProof/>
          <w:sz w:val="48"/>
          <w:szCs w:val="48"/>
        </w:rPr>
        <w:drawing>
          <wp:anchor distT="0" distB="0" distL="114300" distR="114300" simplePos="0" relativeHeight="251659264" behindDoc="0" locked="0" layoutInCell="1" allowOverlap="1" wp14:anchorId="1FA27E20" wp14:editId="31F25A9B">
            <wp:simplePos x="5524500" y="914400"/>
            <wp:positionH relativeFrom="margin">
              <wp:align>right</wp:align>
            </wp:positionH>
            <wp:positionV relativeFrom="margin">
              <wp:align>top</wp:align>
            </wp:positionV>
            <wp:extent cx="1078230" cy="1085850"/>
            <wp:effectExtent l="0" t="0" r="7620" b="0"/>
            <wp:wrapSquare wrapText="bothSides"/>
            <wp:docPr id="138497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75466" name="Picture 13849754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78230" cy="1085850"/>
                    </a:xfrm>
                    <a:prstGeom prst="rect">
                      <a:avLst/>
                    </a:prstGeom>
                  </pic:spPr>
                </pic:pic>
              </a:graphicData>
            </a:graphic>
          </wp:anchor>
        </w:drawing>
      </w:r>
    </w:p>
    <w:p w14:paraId="57FCFE02" w14:textId="77777777" w:rsidR="00236BF7" w:rsidRPr="00A6659B" w:rsidRDefault="000C4E72" w:rsidP="00F86E7C">
      <w:pPr>
        <w:spacing w:after="0" w:line="276" w:lineRule="auto"/>
        <w:rPr>
          <w:rFonts w:ascii="Times New Roman" w:hAnsi="Times New Roman" w:cs="Times New Roman"/>
          <w:b/>
          <w:bCs/>
          <w:sz w:val="48"/>
          <w:szCs w:val="48"/>
        </w:rPr>
      </w:pPr>
      <w:r w:rsidRPr="00A6659B">
        <w:rPr>
          <w:rFonts w:ascii="Times New Roman" w:hAnsi="Times New Roman" w:cs="Times New Roman"/>
          <w:b/>
          <w:bCs/>
          <w:sz w:val="48"/>
          <w:szCs w:val="48"/>
        </w:rPr>
        <w:t xml:space="preserve">     </w:t>
      </w:r>
    </w:p>
    <w:p w14:paraId="40C83315" w14:textId="77777777" w:rsidR="00236BF7" w:rsidRPr="00A6659B" w:rsidRDefault="00236BF7" w:rsidP="00F86E7C">
      <w:pPr>
        <w:spacing w:after="0" w:line="276" w:lineRule="auto"/>
        <w:rPr>
          <w:rFonts w:ascii="Times New Roman" w:hAnsi="Times New Roman" w:cs="Times New Roman"/>
          <w:b/>
          <w:bCs/>
          <w:sz w:val="48"/>
          <w:szCs w:val="48"/>
        </w:rPr>
      </w:pPr>
    </w:p>
    <w:p w14:paraId="6F5FB4A3" w14:textId="2FCAE304" w:rsidR="00236BF7" w:rsidRPr="00A6659B" w:rsidRDefault="00236BF7" w:rsidP="00F86E7C">
      <w:pPr>
        <w:spacing w:after="0" w:line="276" w:lineRule="auto"/>
        <w:jc w:val="center"/>
        <w:rPr>
          <w:rFonts w:ascii="Times New Roman" w:hAnsi="Times New Roman" w:cs="Times New Roman"/>
          <w:b/>
          <w:bCs/>
          <w:sz w:val="32"/>
          <w:szCs w:val="32"/>
        </w:rPr>
      </w:pPr>
      <w:r w:rsidRPr="00A6659B">
        <w:rPr>
          <w:rFonts w:ascii="Times New Roman" w:hAnsi="Times New Roman" w:cs="Times New Roman"/>
          <w:b/>
          <w:bCs/>
          <w:sz w:val="32"/>
          <w:szCs w:val="32"/>
        </w:rPr>
        <w:t>UNIVERSITY OF GHANA</w:t>
      </w:r>
    </w:p>
    <w:p w14:paraId="6A7BD82B" w14:textId="1573DB62" w:rsidR="00236BF7" w:rsidRPr="00A6659B" w:rsidRDefault="00236BF7" w:rsidP="00F86E7C">
      <w:pPr>
        <w:spacing w:after="0" w:line="276" w:lineRule="auto"/>
        <w:jc w:val="center"/>
        <w:rPr>
          <w:rFonts w:ascii="Times New Roman" w:hAnsi="Times New Roman" w:cs="Times New Roman"/>
          <w:b/>
          <w:bCs/>
          <w:sz w:val="32"/>
          <w:szCs w:val="32"/>
        </w:rPr>
      </w:pPr>
      <w:r w:rsidRPr="00A6659B">
        <w:rPr>
          <w:rFonts w:ascii="Times New Roman" w:hAnsi="Times New Roman" w:cs="Times New Roman"/>
          <w:b/>
          <w:bCs/>
          <w:sz w:val="32"/>
          <w:szCs w:val="32"/>
        </w:rPr>
        <w:t>COLLEGE OF BASIC AND APPLIED SCIENCES</w:t>
      </w:r>
    </w:p>
    <w:p w14:paraId="2C20E6C1" w14:textId="77777777" w:rsidR="00236BF7" w:rsidRPr="00A6659B" w:rsidRDefault="00236BF7" w:rsidP="00F86E7C">
      <w:pPr>
        <w:spacing w:after="0" w:line="276" w:lineRule="auto"/>
        <w:jc w:val="center"/>
        <w:rPr>
          <w:rFonts w:ascii="Times New Roman" w:hAnsi="Times New Roman" w:cs="Times New Roman"/>
          <w:b/>
          <w:bCs/>
          <w:sz w:val="32"/>
          <w:szCs w:val="32"/>
        </w:rPr>
      </w:pPr>
    </w:p>
    <w:p w14:paraId="05413AA1" w14:textId="18B40AA8" w:rsidR="00236BF7" w:rsidRPr="00A6659B" w:rsidRDefault="00236BF7" w:rsidP="00F86E7C">
      <w:pPr>
        <w:spacing w:after="0" w:line="276" w:lineRule="auto"/>
        <w:jc w:val="center"/>
        <w:rPr>
          <w:rFonts w:ascii="Times New Roman" w:hAnsi="Times New Roman" w:cs="Times New Roman"/>
          <w:b/>
          <w:bCs/>
          <w:sz w:val="32"/>
          <w:szCs w:val="32"/>
        </w:rPr>
      </w:pPr>
      <w:r w:rsidRPr="00A6659B">
        <w:rPr>
          <w:rFonts w:ascii="Times New Roman" w:hAnsi="Times New Roman" w:cs="Times New Roman"/>
          <w:b/>
          <w:bCs/>
          <w:sz w:val="32"/>
          <w:szCs w:val="32"/>
        </w:rPr>
        <w:t>SCHOOL OF PHYSICAL AND MATHEMATICAL SCIENCES</w:t>
      </w:r>
    </w:p>
    <w:p w14:paraId="3272F507" w14:textId="77777777" w:rsidR="00236BF7" w:rsidRPr="00A6659B" w:rsidRDefault="00236BF7" w:rsidP="00F86E7C">
      <w:pPr>
        <w:spacing w:after="0" w:line="276" w:lineRule="auto"/>
        <w:jc w:val="center"/>
        <w:rPr>
          <w:rFonts w:ascii="Times New Roman" w:hAnsi="Times New Roman" w:cs="Times New Roman"/>
          <w:b/>
          <w:bCs/>
          <w:sz w:val="32"/>
          <w:szCs w:val="32"/>
        </w:rPr>
      </w:pPr>
    </w:p>
    <w:p w14:paraId="7F2ECC67" w14:textId="4E099085" w:rsidR="00236BF7" w:rsidRPr="00A6659B" w:rsidRDefault="00236BF7" w:rsidP="00F86E7C">
      <w:pPr>
        <w:spacing w:after="0" w:line="276" w:lineRule="auto"/>
        <w:jc w:val="center"/>
        <w:rPr>
          <w:rFonts w:ascii="Times New Roman" w:hAnsi="Times New Roman" w:cs="Times New Roman"/>
          <w:b/>
          <w:bCs/>
          <w:sz w:val="32"/>
          <w:szCs w:val="32"/>
        </w:rPr>
      </w:pPr>
      <w:r w:rsidRPr="00A6659B">
        <w:rPr>
          <w:rFonts w:ascii="Times New Roman" w:hAnsi="Times New Roman" w:cs="Times New Roman"/>
          <w:b/>
          <w:bCs/>
          <w:sz w:val="32"/>
          <w:szCs w:val="32"/>
        </w:rPr>
        <w:t>DEPARTMENT OF STATISTICS</w:t>
      </w:r>
    </w:p>
    <w:p w14:paraId="41649AD5" w14:textId="77777777" w:rsidR="00236BF7" w:rsidRPr="00A6659B" w:rsidRDefault="00236BF7" w:rsidP="00F86E7C">
      <w:pPr>
        <w:spacing w:after="0" w:line="276" w:lineRule="auto"/>
        <w:jc w:val="center"/>
        <w:rPr>
          <w:rFonts w:ascii="Times New Roman" w:hAnsi="Times New Roman" w:cs="Times New Roman"/>
          <w:b/>
          <w:bCs/>
          <w:sz w:val="32"/>
          <w:szCs w:val="32"/>
        </w:rPr>
      </w:pPr>
    </w:p>
    <w:p w14:paraId="4B94AA54" w14:textId="5FFA0EB6" w:rsidR="00236BF7" w:rsidRPr="00A6659B" w:rsidRDefault="00236BF7" w:rsidP="00F86E7C">
      <w:pPr>
        <w:spacing w:after="0" w:line="276" w:lineRule="auto"/>
        <w:jc w:val="center"/>
        <w:rPr>
          <w:rFonts w:ascii="Times New Roman" w:hAnsi="Times New Roman" w:cs="Times New Roman"/>
          <w:b/>
          <w:bCs/>
          <w:sz w:val="32"/>
          <w:szCs w:val="32"/>
        </w:rPr>
      </w:pPr>
      <w:r w:rsidRPr="00A6659B">
        <w:rPr>
          <w:rFonts w:ascii="Times New Roman" w:hAnsi="Times New Roman" w:cs="Times New Roman"/>
          <w:b/>
          <w:bCs/>
          <w:sz w:val="32"/>
          <w:szCs w:val="32"/>
        </w:rPr>
        <w:t>FINAL YEAR PROJECT</w:t>
      </w:r>
    </w:p>
    <w:p w14:paraId="162CDF32" w14:textId="236C66B3" w:rsidR="00236BF7" w:rsidRPr="00A6659B" w:rsidRDefault="00236BF7" w:rsidP="00F86E7C">
      <w:pPr>
        <w:spacing w:after="0" w:line="276" w:lineRule="auto"/>
        <w:jc w:val="center"/>
        <w:rPr>
          <w:rFonts w:ascii="Times New Roman" w:hAnsi="Times New Roman" w:cs="Times New Roman"/>
          <w:b/>
          <w:bCs/>
          <w:sz w:val="32"/>
          <w:szCs w:val="32"/>
        </w:rPr>
      </w:pPr>
    </w:p>
    <w:p w14:paraId="2999298D" w14:textId="17135880" w:rsidR="006174C4" w:rsidRPr="00A6659B" w:rsidRDefault="00E06EEB" w:rsidP="00F86E7C">
      <w:pPr>
        <w:spacing w:after="0" w:line="276" w:lineRule="auto"/>
        <w:jc w:val="center"/>
        <w:rPr>
          <w:rFonts w:ascii="Times New Roman" w:hAnsi="Times New Roman" w:cs="Times New Roman"/>
          <w:b/>
          <w:bCs/>
          <w:sz w:val="32"/>
          <w:szCs w:val="32"/>
        </w:rPr>
      </w:pPr>
      <w:r w:rsidRPr="00A6659B">
        <w:rPr>
          <w:rFonts w:ascii="Times New Roman" w:hAnsi="Times New Roman" w:cs="Times New Roman"/>
          <w:b/>
          <w:bCs/>
          <w:sz w:val="32"/>
          <w:szCs w:val="32"/>
        </w:rPr>
        <w:t>STAT</w:t>
      </w:r>
      <w:r w:rsidR="006E30E9" w:rsidRPr="00A6659B">
        <w:rPr>
          <w:rFonts w:ascii="Times New Roman" w:hAnsi="Times New Roman" w:cs="Times New Roman"/>
          <w:b/>
          <w:bCs/>
          <w:sz w:val="32"/>
          <w:szCs w:val="32"/>
        </w:rPr>
        <w:t xml:space="preserve"> 450(PROJECT)</w:t>
      </w:r>
    </w:p>
    <w:p w14:paraId="5AD14C75" w14:textId="77777777" w:rsidR="007171D4" w:rsidRPr="00A6659B" w:rsidRDefault="007171D4" w:rsidP="00F86E7C">
      <w:pPr>
        <w:spacing w:after="0" w:line="276" w:lineRule="auto"/>
        <w:jc w:val="center"/>
        <w:rPr>
          <w:rFonts w:ascii="Times New Roman" w:hAnsi="Times New Roman" w:cs="Times New Roman"/>
          <w:b/>
          <w:bCs/>
          <w:sz w:val="32"/>
          <w:szCs w:val="32"/>
        </w:rPr>
      </w:pPr>
    </w:p>
    <w:p w14:paraId="47011CAA" w14:textId="77777777" w:rsidR="00076B85" w:rsidRPr="00A6659B" w:rsidRDefault="00076B85" w:rsidP="00F86E7C">
      <w:pPr>
        <w:spacing w:after="0" w:line="276" w:lineRule="auto"/>
        <w:jc w:val="center"/>
        <w:rPr>
          <w:rFonts w:ascii="Times New Roman" w:hAnsi="Times New Roman" w:cs="Times New Roman"/>
          <w:b/>
          <w:bCs/>
          <w:sz w:val="32"/>
          <w:szCs w:val="32"/>
        </w:rPr>
      </w:pPr>
      <w:r w:rsidRPr="00A6659B">
        <w:rPr>
          <w:rFonts w:ascii="Times New Roman" w:hAnsi="Times New Roman" w:cs="Times New Roman"/>
          <w:b/>
          <w:bCs/>
          <w:sz w:val="32"/>
          <w:szCs w:val="32"/>
        </w:rPr>
        <w:t>TIME SERIES ANALYSIS OF FUEL PRICEING IN GHANA</w:t>
      </w:r>
    </w:p>
    <w:p w14:paraId="261BB261" w14:textId="77777777" w:rsidR="007171D4" w:rsidRPr="00A6659B" w:rsidRDefault="007171D4" w:rsidP="00F86E7C">
      <w:pPr>
        <w:spacing w:after="0" w:line="276" w:lineRule="auto"/>
        <w:jc w:val="center"/>
        <w:rPr>
          <w:rFonts w:ascii="Times New Roman" w:hAnsi="Times New Roman" w:cs="Times New Roman"/>
          <w:b/>
          <w:bCs/>
          <w:sz w:val="32"/>
          <w:szCs w:val="32"/>
        </w:rPr>
      </w:pPr>
    </w:p>
    <w:p w14:paraId="2E9EA3CE" w14:textId="4A357470" w:rsidR="007171D4" w:rsidRPr="00A6659B" w:rsidRDefault="007171D4" w:rsidP="00F86E7C">
      <w:pPr>
        <w:spacing w:after="0" w:line="276" w:lineRule="auto"/>
        <w:jc w:val="center"/>
        <w:rPr>
          <w:rFonts w:ascii="Times New Roman" w:hAnsi="Times New Roman" w:cs="Times New Roman"/>
          <w:b/>
          <w:bCs/>
          <w:sz w:val="32"/>
          <w:szCs w:val="32"/>
        </w:rPr>
      </w:pPr>
      <w:r w:rsidRPr="00A6659B">
        <w:rPr>
          <w:rFonts w:ascii="Times New Roman" w:hAnsi="Times New Roman" w:cs="Times New Roman"/>
          <w:b/>
          <w:bCs/>
          <w:sz w:val="32"/>
          <w:szCs w:val="32"/>
        </w:rPr>
        <w:t>BY</w:t>
      </w:r>
    </w:p>
    <w:p w14:paraId="2370F137" w14:textId="77777777" w:rsidR="00004A5A" w:rsidRPr="00A6659B" w:rsidRDefault="00004A5A" w:rsidP="00F86E7C">
      <w:pPr>
        <w:spacing w:after="0" w:line="276" w:lineRule="auto"/>
        <w:rPr>
          <w:rFonts w:ascii="Times New Roman" w:hAnsi="Times New Roman" w:cs="Times New Roman"/>
          <w:sz w:val="32"/>
          <w:szCs w:val="32"/>
        </w:rPr>
      </w:pPr>
    </w:p>
    <w:tbl>
      <w:tblPr>
        <w:tblW w:w="0" w:type="auto"/>
        <w:tblLook w:val="04A0" w:firstRow="1" w:lastRow="0" w:firstColumn="1" w:lastColumn="0" w:noHBand="0" w:noVBand="1"/>
      </w:tblPr>
      <w:tblGrid>
        <w:gridCol w:w="6379"/>
        <w:gridCol w:w="2637"/>
      </w:tblGrid>
      <w:tr w:rsidR="00004A5A" w:rsidRPr="00A6659B" w14:paraId="7303419E" w14:textId="7FEF4DDF" w:rsidTr="00F86E7C">
        <w:tc>
          <w:tcPr>
            <w:tcW w:w="6379" w:type="dxa"/>
          </w:tcPr>
          <w:p w14:paraId="2502AF13" w14:textId="7AFD1206" w:rsidR="00004A5A" w:rsidRPr="00A6659B" w:rsidRDefault="00004A5A" w:rsidP="00F86E7C">
            <w:pPr>
              <w:spacing w:after="0" w:line="276" w:lineRule="auto"/>
              <w:rPr>
                <w:rFonts w:ascii="Times New Roman" w:hAnsi="Times New Roman" w:cs="Times New Roman"/>
                <w:sz w:val="32"/>
                <w:szCs w:val="32"/>
              </w:rPr>
            </w:pPr>
            <w:r w:rsidRPr="00A6659B">
              <w:rPr>
                <w:rFonts w:ascii="Times New Roman" w:hAnsi="Times New Roman" w:cs="Times New Roman"/>
                <w:sz w:val="32"/>
                <w:szCs w:val="32"/>
              </w:rPr>
              <w:t xml:space="preserve">THEOPHILUS GYABAAH                             </w:t>
            </w:r>
          </w:p>
        </w:tc>
        <w:tc>
          <w:tcPr>
            <w:tcW w:w="2637" w:type="dxa"/>
          </w:tcPr>
          <w:p w14:paraId="1A8B6FD5" w14:textId="18728225" w:rsidR="00004A5A" w:rsidRPr="00A6659B" w:rsidRDefault="00004A5A" w:rsidP="00F86E7C">
            <w:pPr>
              <w:spacing w:after="0" w:line="276" w:lineRule="auto"/>
              <w:rPr>
                <w:rFonts w:ascii="Times New Roman" w:hAnsi="Times New Roman" w:cs="Times New Roman"/>
                <w:sz w:val="32"/>
                <w:szCs w:val="32"/>
              </w:rPr>
            </w:pPr>
            <w:r w:rsidRPr="00A6659B">
              <w:rPr>
                <w:rFonts w:ascii="Times New Roman" w:hAnsi="Times New Roman" w:cs="Times New Roman"/>
                <w:sz w:val="32"/>
                <w:szCs w:val="32"/>
              </w:rPr>
              <w:t>11038981</w:t>
            </w:r>
          </w:p>
        </w:tc>
      </w:tr>
      <w:tr w:rsidR="00004A5A" w:rsidRPr="00A6659B" w14:paraId="1B84D525" w14:textId="724DEFC1" w:rsidTr="00F86E7C">
        <w:tc>
          <w:tcPr>
            <w:tcW w:w="6379" w:type="dxa"/>
          </w:tcPr>
          <w:p w14:paraId="5EF942CF" w14:textId="5BCECF69" w:rsidR="00004A5A" w:rsidRPr="00A6659B" w:rsidRDefault="00004A5A" w:rsidP="00F86E7C">
            <w:pPr>
              <w:spacing w:after="0" w:line="276" w:lineRule="auto"/>
              <w:rPr>
                <w:rFonts w:ascii="Times New Roman" w:hAnsi="Times New Roman" w:cs="Times New Roman"/>
                <w:sz w:val="32"/>
                <w:szCs w:val="32"/>
              </w:rPr>
            </w:pPr>
            <w:r w:rsidRPr="00A6659B">
              <w:rPr>
                <w:rFonts w:ascii="Times New Roman" w:hAnsi="Times New Roman" w:cs="Times New Roman"/>
                <w:sz w:val="32"/>
                <w:szCs w:val="32"/>
              </w:rPr>
              <w:t xml:space="preserve">ADAMS EMMANUEL PADDY                      </w:t>
            </w:r>
          </w:p>
        </w:tc>
        <w:tc>
          <w:tcPr>
            <w:tcW w:w="2637" w:type="dxa"/>
          </w:tcPr>
          <w:p w14:paraId="32F3B3DA" w14:textId="09D535F1" w:rsidR="00004A5A" w:rsidRPr="00A6659B" w:rsidRDefault="00004A5A" w:rsidP="00F86E7C">
            <w:pPr>
              <w:spacing w:after="0" w:line="276" w:lineRule="auto"/>
              <w:rPr>
                <w:rFonts w:ascii="Times New Roman" w:hAnsi="Times New Roman" w:cs="Times New Roman"/>
                <w:sz w:val="32"/>
                <w:szCs w:val="32"/>
              </w:rPr>
            </w:pPr>
            <w:r w:rsidRPr="00A6659B">
              <w:rPr>
                <w:rFonts w:ascii="Times New Roman" w:hAnsi="Times New Roman" w:cs="Times New Roman"/>
                <w:sz w:val="32"/>
                <w:szCs w:val="32"/>
              </w:rPr>
              <w:t>11264136</w:t>
            </w:r>
          </w:p>
        </w:tc>
      </w:tr>
      <w:tr w:rsidR="00004A5A" w:rsidRPr="00A6659B" w14:paraId="3F87D569" w14:textId="4A478C09" w:rsidTr="00F86E7C">
        <w:tc>
          <w:tcPr>
            <w:tcW w:w="6379" w:type="dxa"/>
          </w:tcPr>
          <w:p w14:paraId="51F1AD07" w14:textId="27F7D63F" w:rsidR="00004A5A" w:rsidRPr="00A6659B" w:rsidRDefault="00004A5A" w:rsidP="00F86E7C">
            <w:pPr>
              <w:spacing w:after="0" w:line="276" w:lineRule="auto"/>
              <w:rPr>
                <w:rFonts w:ascii="Times New Roman" w:hAnsi="Times New Roman" w:cs="Times New Roman"/>
                <w:sz w:val="32"/>
                <w:szCs w:val="32"/>
              </w:rPr>
            </w:pPr>
            <w:r w:rsidRPr="00A6659B">
              <w:rPr>
                <w:rFonts w:ascii="Times New Roman" w:hAnsi="Times New Roman" w:cs="Times New Roman"/>
                <w:sz w:val="32"/>
                <w:szCs w:val="32"/>
              </w:rPr>
              <w:t xml:space="preserve">CHRIS OKWANING KORAM                        </w:t>
            </w:r>
          </w:p>
        </w:tc>
        <w:tc>
          <w:tcPr>
            <w:tcW w:w="2637" w:type="dxa"/>
          </w:tcPr>
          <w:p w14:paraId="35D406F1" w14:textId="2BD38645" w:rsidR="00004A5A" w:rsidRPr="00A6659B" w:rsidRDefault="00004A5A" w:rsidP="00F86E7C">
            <w:pPr>
              <w:spacing w:after="0" w:line="276" w:lineRule="auto"/>
              <w:rPr>
                <w:rFonts w:ascii="Times New Roman" w:hAnsi="Times New Roman" w:cs="Times New Roman"/>
                <w:sz w:val="32"/>
                <w:szCs w:val="32"/>
              </w:rPr>
            </w:pPr>
            <w:r w:rsidRPr="00A6659B">
              <w:rPr>
                <w:rFonts w:ascii="Times New Roman" w:hAnsi="Times New Roman" w:cs="Times New Roman"/>
                <w:sz w:val="32"/>
                <w:szCs w:val="32"/>
              </w:rPr>
              <w:t>11345562</w:t>
            </w:r>
          </w:p>
        </w:tc>
      </w:tr>
    </w:tbl>
    <w:p w14:paraId="2A102070" w14:textId="77777777" w:rsidR="00004A5A" w:rsidRPr="00A6659B" w:rsidRDefault="00004A5A" w:rsidP="00F86E7C">
      <w:pPr>
        <w:spacing w:after="0" w:line="276" w:lineRule="auto"/>
        <w:rPr>
          <w:rFonts w:ascii="Times New Roman" w:hAnsi="Times New Roman" w:cs="Times New Roman"/>
          <w:sz w:val="32"/>
          <w:szCs w:val="32"/>
        </w:rPr>
      </w:pPr>
    </w:p>
    <w:p w14:paraId="28FDBC04" w14:textId="77777777" w:rsidR="007171D4" w:rsidRPr="00A6659B" w:rsidRDefault="007171D4" w:rsidP="00F86E7C">
      <w:pPr>
        <w:spacing w:after="0" w:line="276" w:lineRule="auto"/>
        <w:rPr>
          <w:rFonts w:ascii="Times New Roman" w:hAnsi="Times New Roman" w:cs="Times New Roman"/>
        </w:rPr>
      </w:pPr>
    </w:p>
    <w:p w14:paraId="38CDC089" w14:textId="354BA671" w:rsidR="004A5F81" w:rsidRPr="00A6659B" w:rsidRDefault="00F92172" w:rsidP="00F86E7C">
      <w:pPr>
        <w:spacing w:after="0" w:line="276" w:lineRule="auto"/>
        <w:rPr>
          <w:rFonts w:ascii="Times New Roman" w:hAnsi="Times New Roman" w:cs="Times New Roman"/>
          <w:b/>
          <w:bCs/>
          <w:sz w:val="32"/>
          <w:szCs w:val="32"/>
        </w:rPr>
      </w:pPr>
      <w:r w:rsidRPr="00A6659B">
        <w:rPr>
          <w:rFonts w:ascii="Times New Roman" w:hAnsi="Times New Roman" w:cs="Times New Roman"/>
          <w:sz w:val="32"/>
          <w:szCs w:val="32"/>
        </w:rPr>
        <w:t>PROJECT SUPERVISOR: DOC. ISSAH SEIDU</w:t>
      </w:r>
      <w:r w:rsidR="004A5F81" w:rsidRPr="00A6659B">
        <w:rPr>
          <w:rFonts w:ascii="Times New Roman" w:hAnsi="Times New Roman" w:cs="Times New Roman"/>
          <w:sz w:val="32"/>
          <w:szCs w:val="32"/>
        </w:rPr>
        <w:tab/>
      </w:r>
      <w:r w:rsidR="004A5F81" w:rsidRPr="00A6659B">
        <w:rPr>
          <w:rFonts w:ascii="Times New Roman" w:hAnsi="Times New Roman" w:cs="Times New Roman"/>
          <w:b/>
          <w:bCs/>
          <w:sz w:val="32"/>
          <w:szCs w:val="32"/>
        </w:rPr>
        <w:tab/>
      </w:r>
      <w:r w:rsidR="004A5F81" w:rsidRPr="00A6659B">
        <w:rPr>
          <w:rFonts w:ascii="Times New Roman" w:hAnsi="Times New Roman" w:cs="Times New Roman"/>
          <w:b/>
          <w:bCs/>
          <w:sz w:val="32"/>
          <w:szCs w:val="32"/>
        </w:rPr>
        <w:tab/>
      </w:r>
    </w:p>
    <w:p w14:paraId="78AB0981" w14:textId="77777777" w:rsidR="00846656" w:rsidRPr="00A6659B" w:rsidRDefault="00846656" w:rsidP="00F86E7C">
      <w:pPr>
        <w:spacing w:after="0" w:line="276" w:lineRule="auto"/>
        <w:rPr>
          <w:rFonts w:ascii="Times New Roman" w:hAnsi="Times New Roman" w:cs="Times New Roman"/>
        </w:rPr>
      </w:pPr>
    </w:p>
    <w:p w14:paraId="16EBB072" w14:textId="77777777" w:rsidR="00846656" w:rsidRPr="00A6659B" w:rsidRDefault="00846656" w:rsidP="00F86E7C">
      <w:pPr>
        <w:spacing w:after="0" w:line="276" w:lineRule="auto"/>
        <w:rPr>
          <w:rFonts w:ascii="Times New Roman" w:hAnsi="Times New Roman" w:cs="Times New Roman"/>
        </w:rPr>
      </w:pPr>
    </w:p>
    <w:p w14:paraId="76CD49D9" w14:textId="77777777" w:rsidR="00913F2D" w:rsidRPr="00A6659B" w:rsidRDefault="00913F2D" w:rsidP="00F86E7C">
      <w:pPr>
        <w:spacing w:after="0" w:line="276" w:lineRule="auto"/>
        <w:rPr>
          <w:rFonts w:ascii="Times New Roman" w:hAnsi="Times New Roman" w:cs="Times New Roman"/>
        </w:rPr>
      </w:pPr>
    </w:p>
    <w:p w14:paraId="05583BD6" w14:textId="77777777" w:rsidR="00913F2D" w:rsidRPr="00A6659B" w:rsidRDefault="00913F2D" w:rsidP="00F86E7C">
      <w:pPr>
        <w:spacing w:after="0" w:line="276" w:lineRule="auto"/>
        <w:rPr>
          <w:rFonts w:ascii="Times New Roman" w:hAnsi="Times New Roman" w:cs="Times New Roman"/>
        </w:rPr>
      </w:pPr>
    </w:p>
    <w:p w14:paraId="7ABF7643" w14:textId="77777777" w:rsidR="00913F2D" w:rsidRPr="00A6659B" w:rsidRDefault="00913F2D" w:rsidP="00F86E7C">
      <w:pPr>
        <w:spacing w:after="0" w:line="276" w:lineRule="auto"/>
        <w:rPr>
          <w:rFonts w:ascii="Times New Roman" w:hAnsi="Times New Roman" w:cs="Times New Roman"/>
        </w:rPr>
      </w:pPr>
    </w:p>
    <w:p w14:paraId="21B316BA" w14:textId="77777777" w:rsidR="00913F2D" w:rsidRPr="00A6659B" w:rsidRDefault="00913F2D" w:rsidP="00F86E7C">
      <w:pPr>
        <w:spacing w:after="0" w:line="276" w:lineRule="auto"/>
        <w:rPr>
          <w:rFonts w:ascii="Times New Roman" w:hAnsi="Times New Roman" w:cs="Times New Roman"/>
        </w:rPr>
      </w:pPr>
    </w:p>
    <w:p w14:paraId="1763D4EB" w14:textId="77777777" w:rsidR="00913F2D" w:rsidRPr="00A6659B" w:rsidRDefault="00913F2D" w:rsidP="00F86E7C">
      <w:pPr>
        <w:spacing w:after="0" w:line="276" w:lineRule="auto"/>
        <w:rPr>
          <w:rFonts w:ascii="Times New Roman" w:hAnsi="Times New Roman" w:cs="Times New Roman"/>
        </w:rPr>
      </w:pPr>
    </w:p>
    <w:p w14:paraId="58C8E361" w14:textId="77777777" w:rsidR="00913F2D" w:rsidRPr="00A6659B" w:rsidRDefault="00913F2D" w:rsidP="00F86E7C">
      <w:pPr>
        <w:spacing w:after="0" w:line="276" w:lineRule="auto"/>
        <w:rPr>
          <w:rFonts w:ascii="Times New Roman" w:hAnsi="Times New Roman" w:cs="Times New Roman"/>
        </w:rPr>
      </w:pPr>
    </w:p>
    <w:p w14:paraId="32BF2544" w14:textId="77777777" w:rsidR="007171D4" w:rsidRPr="00A6659B" w:rsidRDefault="007171D4" w:rsidP="00F86E7C">
      <w:pPr>
        <w:spacing w:after="0" w:line="276" w:lineRule="auto"/>
        <w:rPr>
          <w:rFonts w:ascii="Times New Roman" w:hAnsi="Times New Roman" w:cs="Times New Roman"/>
        </w:rPr>
      </w:pPr>
    </w:p>
    <w:p w14:paraId="4631B0BF" w14:textId="77777777" w:rsidR="00004A5A" w:rsidRPr="00A6659B" w:rsidRDefault="00004A5A" w:rsidP="00F86E7C">
      <w:pPr>
        <w:spacing w:after="0" w:line="276" w:lineRule="auto"/>
        <w:rPr>
          <w:rFonts w:ascii="Times New Roman" w:hAnsi="Times New Roman" w:cs="Times New Roman"/>
        </w:rPr>
      </w:pPr>
    </w:p>
    <w:p w14:paraId="2FE33C98" w14:textId="05319389" w:rsidR="004E1758" w:rsidRPr="00A6659B" w:rsidRDefault="004E1758" w:rsidP="00402CB0">
      <w:pPr>
        <w:pStyle w:val="Heading1"/>
        <w:rPr>
          <w:rFonts w:ascii="Times New Roman" w:hAnsi="Times New Roman" w:cs="Times New Roman"/>
          <w:color w:val="auto"/>
        </w:rPr>
      </w:pPr>
      <w:r w:rsidRPr="00A6659B">
        <w:rPr>
          <w:rFonts w:ascii="Times New Roman" w:hAnsi="Times New Roman" w:cs="Times New Roman"/>
          <w:color w:val="auto"/>
        </w:rPr>
        <w:lastRenderedPageBreak/>
        <w:t>CHAPTER ONE</w:t>
      </w:r>
      <w:r w:rsidR="002C1CBF" w:rsidRPr="00A6659B">
        <w:rPr>
          <w:rFonts w:ascii="Times New Roman" w:hAnsi="Times New Roman" w:cs="Times New Roman"/>
          <w:color w:val="auto"/>
        </w:rPr>
        <w:t xml:space="preserve">: </w:t>
      </w:r>
      <w:r w:rsidRPr="00A6659B">
        <w:rPr>
          <w:rFonts w:ascii="Times New Roman" w:hAnsi="Times New Roman" w:cs="Times New Roman"/>
          <w:color w:val="auto"/>
        </w:rPr>
        <w:t>INTRODUCTION</w:t>
      </w:r>
    </w:p>
    <w:p w14:paraId="3B9871A1" w14:textId="5233BBB0" w:rsidR="004E1758" w:rsidRPr="00A6659B" w:rsidRDefault="004E1758" w:rsidP="0055045D">
      <w:pPr>
        <w:pStyle w:val="Heading2"/>
        <w:rPr>
          <w:rFonts w:ascii="Times New Roman" w:hAnsi="Times New Roman" w:cs="Times New Roman"/>
          <w:color w:val="auto"/>
        </w:rPr>
      </w:pPr>
      <w:r w:rsidRPr="00A6659B">
        <w:rPr>
          <w:rFonts w:ascii="Times New Roman" w:hAnsi="Times New Roman" w:cs="Times New Roman"/>
          <w:color w:val="auto"/>
        </w:rPr>
        <w:t>Background of the Study</w:t>
      </w:r>
    </w:p>
    <w:p w14:paraId="18FE7BFC" w14:textId="6EFED82B"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Fuel is a foundational commodity essential for industrial production, transportation networks, and agricultural development, serving as a primary driver of global economic activity (Hamilton, 2009). Whether in the form of gasoline, diesel, or liquid petroleum gas (LPG), fuel acts as a non-negotiable input for generating energy and facilitating the movement of goods and services. Because of this structural reliance, the availability and pricing of petroleum products directly dictate the operational capacity and efficiency of contemporary economies.</w:t>
      </w:r>
    </w:p>
    <w:p w14:paraId="43C3A12A" w14:textId="77777777" w:rsidR="00913F2D" w:rsidRPr="00A6659B" w:rsidRDefault="00913F2D" w:rsidP="00F86E7C">
      <w:pPr>
        <w:spacing w:after="0" w:line="276" w:lineRule="auto"/>
        <w:rPr>
          <w:rFonts w:ascii="Times New Roman" w:hAnsi="Times New Roman" w:cs="Times New Roman"/>
        </w:rPr>
      </w:pPr>
    </w:p>
    <w:p w14:paraId="75E73142" w14:textId="349D5140"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Consequently, changes in fuel prices spread through the entire economy very quickly. Fluctuations impact the cost of living, drive inflation rates, alter business operating expenses, and ultimately shape the financial well-being of citizens (Hamilton, 2009). Given these cascading economic effects, the ability to accurately forecast price change is highly valuable for both macroeconomic planning and individual consumer behavior.</w:t>
      </w:r>
    </w:p>
    <w:p w14:paraId="4159B274" w14:textId="77777777" w:rsidR="004E1758" w:rsidRPr="00A6659B" w:rsidRDefault="004E1758" w:rsidP="00F86E7C">
      <w:pPr>
        <w:spacing w:after="0" w:line="276" w:lineRule="auto"/>
        <w:rPr>
          <w:rFonts w:ascii="Times New Roman" w:hAnsi="Times New Roman" w:cs="Times New Roman"/>
        </w:rPr>
      </w:pPr>
    </w:p>
    <w:p w14:paraId="291FE130"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Globally, the price formation of fuel depends largely on crude oil markets. International crude oil prices, particularly the world benchmark price of Brent crude, historically exhibit high volatility due to geopolitical risks, OPEC supply decisions, global demand shifts, and macroeconomic factors (Kilian, 2009). This volatility has prompted an extensive amount of research into energy price prediction. Previous empirical studies have explored various time-series and econometric approaches to model these dynamics; for instance, Jammazi and Aloui (2012) utilized wavelet decomposition and neural networks for crude oil forecasting, while Baumeister and Kilian (2014) evaluated the macroeconomic impacts of oil price predictions.</w:t>
      </w:r>
    </w:p>
    <w:p w14:paraId="470EA822" w14:textId="77777777" w:rsidR="004E1758" w:rsidRPr="00A6659B" w:rsidRDefault="004E1758" w:rsidP="00F86E7C">
      <w:pPr>
        <w:spacing w:after="0" w:line="276" w:lineRule="auto"/>
        <w:rPr>
          <w:rFonts w:ascii="Times New Roman" w:hAnsi="Times New Roman" w:cs="Times New Roman"/>
        </w:rPr>
      </w:pPr>
    </w:p>
    <w:p w14:paraId="1854F4F3" w14:textId="474E705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The effects of this global fuel price volatility have been especially pronounced in Sub-Saharan Africa. Unlike developed nations with diverse energy portfolios and well-established price stabilization techniques, numerous African nations rely entirely on imported refined petroleum products. In these countries, international price shocks to crude oil transmit directly into domestic fuel prices (Alom et al., 2013). Furthermore, fluctuations in the exchange rate between their local currencies and the US dollar</w:t>
      </w:r>
      <w:r w:rsidR="00076B85" w:rsidRPr="00A6659B">
        <w:rPr>
          <w:rFonts w:ascii="Times New Roman" w:hAnsi="Times New Roman" w:cs="Times New Roman"/>
        </w:rPr>
        <w:t xml:space="preserve"> </w:t>
      </w:r>
      <w:r w:rsidRPr="00A6659B">
        <w:rPr>
          <w:rFonts w:ascii="Times New Roman" w:hAnsi="Times New Roman" w:cs="Times New Roman"/>
        </w:rPr>
        <w:t>the international currency for the crude oil trade</w:t>
      </w:r>
      <w:r w:rsidR="00076B85" w:rsidRPr="00A6659B">
        <w:rPr>
          <w:rFonts w:ascii="Times New Roman" w:hAnsi="Times New Roman" w:cs="Times New Roman"/>
        </w:rPr>
        <w:t xml:space="preserve"> </w:t>
      </w:r>
      <w:r w:rsidRPr="00A6659B">
        <w:rPr>
          <w:rFonts w:ascii="Times New Roman" w:hAnsi="Times New Roman" w:cs="Times New Roman"/>
        </w:rPr>
        <w:t xml:space="preserve">intensify the impact of foreign price shocks. Studies by Alom et al. (2013) using </w:t>
      </w:r>
      <w:r w:rsidR="00F86E7C" w:rsidRPr="00A6659B">
        <w:rPr>
          <w:rFonts w:ascii="Times New Roman" w:hAnsi="Times New Roman" w:cs="Times New Roman"/>
        </w:rPr>
        <w:t>Structural Vector Autoregression (</w:t>
      </w:r>
      <w:r w:rsidRPr="00A6659B">
        <w:rPr>
          <w:rFonts w:ascii="Times New Roman" w:hAnsi="Times New Roman" w:cs="Times New Roman"/>
        </w:rPr>
        <w:t>SVAR</w:t>
      </w:r>
      <w:r w:rsidR="00F86E7C" w:rsidRPr="00A6659B">
        <w:rPr>
          <w:rFonts w:ascii="Times New Roman" w:hAnsi="Times New Roman" w:cs="Times New Roman"/>
        </w:rPr>
        <w:t>)</w:t>
      </w:r>
      <w:r w:rsidRPr="00A6659B">
        <w:rPr>
          <w:rFonts w:ascii="Times New Roman" w:hAnsi="Times New Roman" w:cs="Times New Roman"/>
        </w:rPr>
        <w:t xml:space="preserve"> models have demonstrated that these price shocks lead not only to direct economic volatility in developing countries but also to broader macroeconomic instability through imported inflation, which reduces consumer purchasing power.</w:t>
      </w:r>
    </w:p>
    <w:p w14:paraId="0E45C487" w14:textId="77777777" w:rsidR="004E1758" w:rsidRPr="00A6659B" w:rsidRDefault="004E1758" w:rsidP="00F86E7C">
      <w:pPr>
        <w:spacing w:after="0" w:line="276" w:lineRule="auto"/>
        <w:rPr>
          <w:rFonts w:ascii="Times New Roman" w:hAnsi="Times New Roman" w:cs="Times New Roman"/>
        </w:rPr>
      </w:pPr>
    </w:p>
    <w:p w14:paraId="25913601" w14:textId="1C1184DA"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 xml:space="preserve">Ghana serves as a prime example of this vulnerability. As an importer of refined petroleum products, Ghana's domestic fuel prices depend heavily on movements in international crude oil prices and the exchange rate between the Ghana cedi and the US dollar. The National Petroleum Authority (NPA), which oversees the downstream petroleum sector, fixes bi-weekly petrol, diesel, and LPG prices based on a price build-up formula considering </w:t>
      </w:r>
      <w:r w:rsidRPr="00A6659B">
        <w:rPr>
          <w:rFonts w:ascii="Times New Roman" w:hAnsi="Times New Roman" w:cs="Times New Roman"/>
        </w:rPr>
        <w:lastRenderedPageBreak/>
        <w:t>international benchmark prices and exchange rates (National Petroleum Authority [NPA], 2023). A depreciation of the cedi</w:t>
      </w:r>
      <w:r w:rsidR="00076B85" w:rsidRPr="00A6659B">
        <w:rPr>
          <w:rFonts w:ascii="Times New Roman" w:hAnsi="Times New Roman" w:cs="Times New Roman"/>
        </w:rPr>
        <w:t xml:space="preserve"> </w:t>
      </w:r>
      <w:r w:rsidRPr="00A6659B">
        <w:rPr>
          <w:rFonts w:ascii="Times New Roman" w:hAnsi="Times New Roman" w:cs="Times New Roman"/>
        </w:rPr>
        <w:t>which declined by 29.9% against the US dollar in 2022 alone</w:t>
      </w:r>
      <w:r w:rsidR="00076B85" w:rsidRPr="00A6659B">
        <w:rPr>
          <w:rFonts w:ascii="Times New Roman" w:hAnsi="Times New Roman" w:cs="Times New Roman"/>
        </w:rPr>
        <w:t xml:space="preserve"> </w:t>
      </w:r>
      <w:r w:rsidRPr="00A6659B">
        <w:rPr>
          <w:rFonts w:ascii="Times New Roman" w:hAnsi="Times New Roman" w:cs="Times New Roman"/>
        </w:rPr>
        <w:t>combined with increased crude oil prices due to global conflicts, creates severe domestic price shocks. This sharp increase in global fuel prices caused domestic fuel prices to reach unprecedented levels, creating immense pressure on individuals and companies in Ghana (Bank of Ghana, 2023).</w:t>
      </w:r>
    </w:p>
    <w:p w14:paraId="4ED1785D" w14:textId="77777777" w:rsidR="004E1758" w:rsidRPr="00A6659B" w:rsidRDefault="004E1758" w:rsidP="00F86E7C">
      <w:pPr>
        <w:spacing w:after="0" w:line="276" w:lineRule="auto"/>
        <w:rPr>
          <w:rFonts w:ascii="Times New Roman" w:hAnsi="Times New Roman" w:cs="Times New Roman"/>
        </w:rPr>
      </w:pPr>
    </w:p>
    <w:p w14:paraId="550363DF"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The interaction between fuel prices and inflation in Ghana introduces another layer of complexity. Higher fuel prices elevate production and distribution costs across virtually all industries, creating cost-push inflation. Because Ghana depends heavily on imported petroleum products, exchange rate depreciation creates additional amplification, driving up the domestic cost of fuel (Bawa et al., 2016). Inflationary pressures, in turn, affect consumer behavior and prompt monetary policy shifts, forming feedback loops. As a result, the effect of inflation on fuel prices is bidirectional; fuel prices, inflation, exchange rates, and crude oil prices must be considered together in a simultaneous multivariate time series (Hamilton, 2009).</w:t>
      </w:r>
    </w:p>
    <w:p w14:paraId="7E1B44EA" w14:textId="77777777" w:rsidR="004E1758" w:rsidRPr="00A6659B" w:rsidRDefault="004E1758" w:rsidP="00F86E7C">
      <w:pPr>
        <w:spacing w:after="0" w:line="276" w:lineRule="auto"/>
        <w:rPr>
          <w:rFonts w:ascii="Times New Roman" w:hAnsi="Times New Roman" w:cs="Times New Roman"/>
        </w:rPr>
      </w:pPr>
    </w:p>
    <w:p w14:paraId="772FBC37" w14:textId="6AE414A4"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Despite the economic importance of fuel price dynamics in Ghana, empirical literature on fuel price forecasting in the country remains underdeveloped. Most time series forecasting research in the sub-region focuses on broad commodity prices or general inflation indices rather than specific petroleum products (Addae &amp; Ackah, 2017; Bawa et al., 2016). Crucially, very few studies consider how external factors</w:t>
      </w:r>
      <w:r w:rsidR="00076B85" w:rsidRPr="00A6659B">
        <w:rPr>
          <w:rFonts w:ascii="Times New Roman" w:hAnsi="Times New Roman" w:cs="Times New Roman"/>
        </w:rPr>
        <w:t xml:space="preserve"> </w:t>
      </w:r>
      <w:r w:rsidRPr="00A6659B">
        <w:rPr>
          <w:rFonts w:ascii="Times New Roman" w:hAnsi="Times New Roman" w:cs="Times New Roman"/>
        </w:rPr>
        <w:t>specifically exchange rate shocks, international crude oil price movements, and inflationary dynamics</w:t>
      </w:r>
      <w:r w:rsidR="00076B85" w:rsidRPr="00A6659B">
        <w:rPr>
          <w:rFonts w:ascii="Times New Roman" w:hAnsi="Times New Roman" w:cs="Times New Roman"/>
        </w:rPr>
        <w:t xml:space="preserve"> </w:t>
      </w:r>
      <w:r w:rsidRPr="00A6659B">
        <w:rPr>
          <w:rFonts w:ascii="Times New Roman" w:hAnsi="Times New Roman" w:cs="Times New Roman"/>
        </w:rPr>
        <w:t>affect the accuracy of fuel price forecasts. Time series models that ignore these external shocks may perform adequately under calm economic conditions but rapidly lose their predictive power during periods of economic crisis, which is precisely when accurate forecasting is most vital (Kilian, 2009).</w:t>
      </w:r>
    </w:p>
    <w:p w14:paraId="7D5489E1" w14:textId="77777777" w:rsidR="004E1758" w:rsidRPr="00A6659B" w:rsidRDefault="004E1758" w:rsidP="00F86E7C">
      <w:pPr>
        <w:spacing w:after="0" w:line="276" w:lineRule="auto"/>
        <w:rPr>
          <w:rFonts w:ascii="Times New Roman" w:hAnsi="Times New Roman" w:cs="Times New Roman"/>
        </w:rPr>
      </w:pPr>
    </w:p>
    <w:p w14:paraId="2F3A7F57"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This study aims to address this gap by developing and testing time series models for forecasting petrol, diesel, and LPG prices in Ghana, specifically evaluating exchange rate shocks, crude oil price movements, and inflationary dynamics as critical predictors of forecast performance.</w:t>
      </w:r>
    </w:p>
    <w:p w14:paraId="7233F728" w14:textId="77777777" w:rsidR="004E1758" w:rsidRPr="00A6659B" w:rsidRDefault="004E1758" w:rsidP="00F86E7C">
      <w:pPr>
        <w:spacing w:after="0" w:line="276" w:lineRule="auto"/>
        <w:rPr>
          <w:rFonts w:ascii="Times New Roman" w:hAnsi="Times New Roman" w:cs="Times New Roman"/>
        </w:rPr>
      </w:pPr>
    </w:p>
    <w:p w14:paraId="4E9DAF78" w14:textId="6F24ACAB" w:rsidR="004E1758" w:rsidRPr="00A6659B" w:rsidRDefault="004E1758" w:rsidP="0055045D">
      <w:pPr>
        <w:pStyle w:val="Heading2"/>
        <w:rPr>
          <w:rFonts w:ascii="Times New Roman" w:hAnsi="Times New Roman" w:cs="Times New Roman"/>
          <w:color w:val="auto"/>
        </w:rPr>
      </w:pPr>
      <w:r w:rsidRPr="00A6659B">
        <w:rPr>
          <w:rFonts w:ascii="Times New Roman" w:hAnsi="Times New Roman" w:cs="Times New Roman"/>
          <w:color w:val="auto"/>
        </w:rPr>
        <w:t>Problem Statement</w:t>
      </w:r>
    </w:p>
    <w:p w14:paraId="126164D7"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 xml:space="preserve">The prices of fuels in Ghana have remained highly volatile throughout the last ten years due to a combination of external and internal factors, namely fluctuating international crude oil prices, progressive depreciation of the Ghana cedi against the US dollar, and rising domestic inflation. This volatility has been exceptionally severe in recent years. Between the end of 2021 and the end of 2022, the price of petrol increased from ¢6.66 to ¢16.58 per liter (an increase of approximately 149%), while the diesel price increased from ¢6.67 to ¢19.61 per liter (an increase of about 194%) (Bank of Ghana, 2023). This rapid price escalation occurred concurrently with a 29.9% depreciation of the Ghana cedi against the US dollar and a surge in headline inflation to 54.1% by December 2022 (Ghana Statistical Service, 2023). Because fuel prices heavily influence the cost of transport services, food prices, industrial production, </w:t>
      </w:r>
      <w:r w:rsidRPr="00A6659B">
        <w:rPr>
          <w:rFonts w:ascii="Times New Roman" w:hAnsi="Times New Roman" w:cs="Times New Roman"/>
        </w:rPr>
        <w:lastRenderedPageBreak/>
        <w:t>and public expenditure, this volatility imposes considerable financial pressure on Ghanaian households, businesses, and public institutions. Forecasting fuel price movements with reasonable precision over a six-month horizon would provide a highly valuable early warning system for consumers and policymakers.</w:t>
      </w:r>
    </w:p>
    <w:p w14:paraId="3D664234" w14:textId="77777777" w:rsidR="004E1758" w:rsidRPr="00A6659B" w:rsidRDefault="004E1758" w:rsidP="00F86E7C">
      <w:pPr>
        <w:spacing w:after="0" w:line="276" w:lineRule="auto"/>
        <w:rPr>
          <w:rFonts w:ascii="Times New Roman" w:hAnsi="Times New Roman" w:cs="Times New Roman"/>
        </w:rPr>
      </w:pPr>
    </w:p>
    <w:p w14:paraId="1706A447"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A distinct characteristic of fuel pricing in Ghana is the Unified Pricing Formula (UPF) implemented by the National Petroleum Authority. The UPF calculates ex-pump fuel prices by aggregating international costs, exchange rate fluctuations, taxes, levies, and margins payable to Bulk Distribution Companies (BDCs) and Oil Marketing Companies (OMCs) (National Petroleum Authority [NPA], 2023). Because Ghanaian fuel prices are administratively determined based on international benchmarks rather than pure domestic supply and demand, they cannot be modeled using the exact same frameworks applied to fully deregulated energy markets.</w:t>
      </w:r>
    </w:p>
    <w:p w14:paraId="74D8F408" w14:textId="77777777" w:rsidR="004E1758" w:rsidRPr="00A6659B" w:rsidRDefault="004E1758" w:rsidP="00F86E7C">
      <w:pPr>
        <w:spacing w:after="0" w:line="276" w:lineRule="auto"/>
        <w:rPr>
          <w:rFonts w:ascii="Times New Roman" w:hAnsi="Times New Roman" w:cs="Times New Roman"/>
        </w:rPr>
      </w:pPr>
    </w:p>
    <w:p w14:paraId="4216D89B"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Despite the critical need for fuel price stability in Ghana's economy, empirical studies focused specifically on forecasting domestic ex-pump petroleum prices are scarce. Existing research on African fuel price dynamics predominantly concentrates on international crude oil prices (Alom et al., 2013; Baumeister &amp; Kilian, 2014), while studies focused on Ghana tend to analyze either inflation dynamics or general commodity prices (Addae &amp; Ackah, 2017; Bawa et al., 2016). Accurately predicting domestic petroleum prices in Ghana requires a targeted approach, as international crude oil prices alone cannot account for the added volatility introduced by exchange rate movements, import costs, and local taxation.</w:t>
      </w:r>
    </w:p>
    <w:p w14:paraId="01809C56" w14:textId="77777777" w:rsidR="004E1758" w:rsidRPr="00A6659B" w:rsidRDefault="004E1758" w:rsidP="00F86E7C">
      <w:pPr>
        <w:spacing w:after="0" w:line="276" w:lineRule="auto"/>
        <w:rPr>
          <w:rFonts w:ascii="Times New Roman" w:hAnsi="Times New Roman" w:cs="Times New Roman"/>
        </w:rPr>
      </w:pPr>
    </w:p>
    <w:p w14:paraId="3DFA438B" w14:textId="60796F8A"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 xml:space="preserve">Furthermore, while the Ghanaian market's reliance on exchange rates necessitates multivariate modeling, </w:t>
      </w:r>
      <w:r w:rsidR="007C19DE" w:rsidRPr="00A6659B">
        <w:rPr>
          <w:rFonts w:ascii="Times New Roman" w:hAnsi="Times New Roman" w:cs="Times New Roman"/>
        </w:rPr>
        <w:t>most of the</w:t>
      </w:r>
      <w:r w:rsidRPr="00A6659B">
        <w:rPr>
          <w:rFonts w:ascii="Times New Roman" w:hAnsi="Times New Roman" w:cs="Times New Roman"/>
        </w:rPr>
        <w:t xml:space="preserve"> existing research on energy price forecasting in Sub-Saharan Africa relies on univariate time series models, such as standard ARIMA (Jammazi &amp; Aloui, 2012). Univariate models, which account only for internal price history, are highly susceptible to forecast bias during periods of external macroeconomic turbulence. There is a clear methodological gap regarding the comparison of univariate and multivariate models for fuel price series in Ghana, particularly concerning the explicit testing of external shocks on forecast accuracy.</w:t>
      </w:r>
    </w:p>
    <w:p w14:paraId="44FDFD18" w14:textId="77777777" w:rsidR="004E1758" w:rsidRPr="00A6659B" w:rsidRDefault="004E1758" w:rsidP="00F86E7C">
      <w:pPr>
        <w:spacing w:after="0" w:line="276" w:lineRule="auto"/>
        <w:rPr>
          <w:rFonts w:ascii="Times New Roman" w:hAnsi="Times New Roman" w:cs="Times New Roman"/>
        </w:rPr>
      </w:pPr>
    </w:p>
    <w:p w14:paraId="348D87E2" w14:textId="5EE35F9A" w:rsidR="00846656"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This study seeks to fill this gap by developing, comparing, and evaluating univariate and multivariate time series models (ARIMA, ARIMAX, and VAR) for forecasting retail prices of petrol, diesel, and LPG in Ghana. Utilizing monthly data obtained from the National Petroleum Authority and the Bank of Ghana, the study will assess the extent to which incorporating exchange rate shocks, crude oil price movements, and inflationary dynamics improves forecast accuracy.</w:t>
      </w:r>
    </w:p>
    <w:p w14:paraId="0E7B5940" w14:textId="77777777" w:rsidR="004E1758" w:rsidRPr="00A6659B" w:rsidRDefault="004E1758" w:rsidP="00F86E7C">
      <w:pPr>
        <w:spacing w:after="0" w:line="276" w:lineRule="auto"/>
        <w:rPr>
          <w:rFonts w:ascii="Times New Roman" w:hAnsi="Times New Roman" w:cs="Times New Roman"/>
        </w:rPr>
      </w:pPr>
    </w:p>
    <w:p w14:paraId="569BA56F" w14:textId="6D4B52C1" w:rsidR="004E1758" w:rsidRPr="00A6659B" w:rsidRDefault="004E1758" w:rsidP="0055045D">
      <w:pPr>
        <w:pStyle w:val="Heading2"/>
        <w:rPr>
          <w:rFonts w:ascii="Times New Roman" w:hAnsi="Times New Roman" w:cs="Times New Roman"/>
          <w:color w:val="auto"/>
        </w:rPr>
      </w:pPr>
      <w:r w:rsidRPr="00A6659B">
        <w:rPr>
          <w:rFonts w:ascii="Times New Roman" w:hAnsi="Times New Roman" w:cs="Times New Roman"/>
          <w:color w:val="auto"/>
        </w:rPr>
        <w:lastRenderedPageBreak/>
        <w:t>Objectives</w:t>
      </w:r>
    </w:p>
    <w:p w14:paraId="2C267A81" w14:textId="487B4770" w:rsidR="004E1758" w:rsidRPr="00A6659B" w:rsidRDefault="004E1758" w:rsidP="0055045D">
      <w:pPr>
        <w:pStyle w:val="Heading3"/>
        <w:rPr>
          <w:rFonts w:ascii="Times New Roman" w:hAnsi="Times New Roman" w:cs="Times New Roman"/>
          <w:color w:val="auto"/>
        </w:rPr>
      </w:pPr>
      <w:r w:rsidRPr="00A6659B">
        <w:rPr>
          <w:rFonts w:ascii="Times New Roman" w:hAnsi="Times New Roman" w:cs="Times New Roman"/>
          <w:color w:val="auto"/>
        </w:rPr>
        <w:t>Main Objective</w:t>
      </w:r>
    </w:p>
    <w:p w14:paraId="5B365EE9" w14:textId="293606E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 xml:space="preserve">To evaluate the forecasting accuracy of ARIMA, ARIMAX, and VAR models in predicting fuel prices in Ghana over a </w:t>
      </w:r>
      <w:r w:rsidR="005E49CB" w:rsidRPr="00A6659B">
        <w:rPr>
          <w:rFonts w:ascii="Times New Roman" w:hAnsi="Times New Roman" w:cs="Times New Roman"/>
        </w:rPr>
        <w:t>1</w:t>
      </w:r>
      <w:r w:rsidRPr="00A6659B">
        <w:rPr>
          <w:rFonts w:ascii="Times New Roman" w:hAnsi="Times New Roman" w:cs="Times New Roman"/>
        </w:rPr>
        <w:t>–</w:t>
      </w:r>
      <w:r w:rsidR="00A24D29" w:rsidRPr="00A6659B">
        <w:rPr>
          <w:rFonts w:ascii="Times New Roman" w:hAnsi="Times New Roman" w:cs="Times New Roman"/>
        </w:rPr>
        <w:t>6-month</w:t>
      </w:r>
      <w:r w:rsidRPr="00A6659B">
        <w:rPr>
          <w:rFonts w:ascii="Times New Roman" w:hAnsi="Times New Roman" w:cs="Times New Roman"/>
        </w:rPr>
        <w:t xml:space="preserve"> horizon, with an emphasis on the role of external shocks in determining model performance.</w:t>
      </w:r>
    </w:p>
    <w:p w14:paraId="4FE3E563" w14:textId="77777777" w:rsidR="004E1758" w:rsidRPr="00A6659B" w:rsidRDefault="004E1758" w:rsidP="00F86E7C">
      <w:pPr>
        <w:spacing w:after="0" w:line="276" w:lineRule="auto"/>
        <w:rPr>
          <w:rFonts w:ascii="Times New Roman" w:hAnsi="Times New Roman" w:cs="Times New Roman"/>
        </w:rPr>
      </w:pPr>
    </w:p>
    <w:p w14:paraId="74E3F183" w14:textId="2C7F80A6" w:rsidR="004E1758" w:rsidRPr="00A6659B" w:rsidRDefault="004E1758" w:rsidP="0055045D">
      <w:pPr>
        <w:pStyle w:val="Heading3"/>
        <w:rPr>
          <w:rFonts w:ascii="Times New Roman" w:hAnsi="Times New Roman" w:cs="Times New Roman"/>
          <w:color w:val="auto"/>
        </w:rPr>
      </w:pPr>
      <w:r w:rsidRPr="00A6659B">
        <w:rPr>
          <w:rFonts w:ascii="Times New Roman" w:hAnsi="Times New Roman" w:cs="Times New Roman"/>
          <w:color w:val="auto"/>
        </w:rPr>
        <w:t>Specific Objectives</w:t>
      </w:r>
    </w:p>
    <w:p w14:paraId="67B513AB" w14:textId="77777777" w:rsidR="004E1758" w:rsidRPr="00A6659B" w:rsidRDefault="004E1758" w:rsidP="00F86E7C">
      <w:pPr>
        <w:spacing w:after="0" w:line="276" w:lineRule="auto"/>
        <w:rPr>
          <w:rFonts w:ascii="Times New Roman" w:hAnsi="Times New Roman" w:cs="Times New Roman"/>
        </w:rPr>
      </w:pPr>
    </w:p>
    <w:p w14:paraId="28C06250" w14:textId="1E94364D" w:rsidR="004E1758" w:rsidRPr="00A6659B" w:rsidRDefault="004E1758" w:rsidP="00F86E7C">
      <w:pPr>
        <w:pStyle w:val="ListParagraph"/>
        <w:numPr>
          <w:ilvl w:val="0"/>
          <w:numId w:val="5"/>
        </w:numPr>
        <w:spacing w:after="0" w:line="276" w:lineRule="auto"/>
        <w:rPr>
          <w:rFonts w:ascii="Times New Roman" w:hAnsi="Times New Roman" w:cs="Times New Roman"/>
        </w:rPr>
      </w:pPr>
      <w:r w:rsidRPr="00A6659B">
        <w:rPr>
          <w:rFonts w:ascii="Times New Roman" w:hAnsi="Times New Roman" w:cs="Times New Roman"/>
        </w:rPr>
        <w:t xml:space="preserve">To </w:t>
      </w:r>
      <w:r w:rsidR="00A24D29" w:rsidRPr="00A6659B">
        <w:rPr>
          <w:rFonts w:ascii="Times New Roman" w:hAnsi="Times New Roman" w:cs="Times New Roman"/>
        </w:rPr>
        <w:t>analyze</w:t>
      </w:r>
      <w:r w:rsidRPr="00A6659B">
        <w:rPr>
          <w:rFonts w:ascii="Times New Roman" w:hAnsi="Times New Roman" w:cs="Times New Roman"/>
        </w:rPr>
        <w:t xml:space="preserve"> the statistical properties and trends of petrol, diesel, and LPG prices in Ghana over the period 201</w:t>
      </w:r>
      <w:r w:rsidR="007C19DE" w:rsidRPr="00A6659B">
        <w:rPr>
          <w:rFonts w:ascii="Times New Roman" w:hAnsi="Times New Roman" w:cs="Times New Roman"/>
        </w:rPr>
        <w:t>5</w:t>
      </w:r>
      <w:r w:rsidRPr="00A6659B">
        <w:rPr>
          <w:rFonts w:ascii="Times New Roman" w:hAnsi="Times New Roman" w:cs="Times New Roman"/>
        </w:rPr>
        <w:t>–202</w:t>
      </w:r>
      <w:r w:rsidR="007C19DE" w:rsidRPr="00A6659B">
        <w:rPr>
          <w:rFonts w:ascii="Times New Roman" w:hAnsi="Times New Roman" w:cs="Times New Roman"/>
        </w:rPr>
        <w:t>6</w:t>
      </w:r>
      <w:r w:rsidRPr="00A6659B">
        <w:rPr>
          <w:rFonts w:ascii="Times New Roman" w:hAnsi="Times New Roman" w:cs="Times New Roman"/>
        </w:rPr>
        <w:t>.</w:t>
      </w:r>
    </w:p>
    <w:p w14:paraId="77884CB5" w14:textId="77777777" w:rsidR="004E1758" w:rsidRPr="00A6659B" w:rsidRDefault="004E1758" w:rsidP="00F86E7C">
      <w:pPr>
        <w:spacing w:after="0" w:line="276" w:lineRule="auto"/>
        <w:rPr>
          <w:rFonts w:ascii="Times New Roman" w:hAnsi="Times New Roman" w:cs="Times New Roman"/>
        </w:rPr>
      </w:pPr>
    </w:p>
    <w:p w14:paraId="42F3BE0E" w14:textId="77777777" w:rsidR="004E1758" w:rsidRPr="00A6659B" w:rsidRDefault="004E1758" w:rsidP="00F86E7C">
      <w:pPr>
        <w:pStyle w:val="ListParagraph"/>
        <w:numPr>
          <w:ilvl w:val="0"/>
          <w:numId w:val="5"/>
        </w:numPr>
        <w:spacing w:after="0" w:line="276" w:lineRule="auto"/>
        <w:rPr>
          <w:rFonts w:ascii="Times New Roman" w:hAnsi="Times New Roman" w:cs="Times New Roman"/>
        </w:rPr>
      </w:pPr>
      <w:r w:rsidRPr="00A6659B">
        <w:rPr>
          <w:rFonts w:ascii="Times New Roman" w:hAnsi="Times New Roman" w:cs="Times New Roman"/>
        </w:rPr>
        <w:t>To develop ARIMA, ARIMAX, and VAR models for forecasting fuel prices, incorporating the exchange rate (GHS/USD), Brent crude oil prices, and inflation (CPI) as relevant external variables.</w:t>
      </w:r>
    </w:p>
    <w:p w14:paraId="1BCEF422" w14:textId="77777777" w:rsidR="004E1758" w:rsidRPr="00A6659B" w:rsidRDefault="004E1758" w:rsidP="00F86E7C">
      <w:pPr>
        <w:spacing w:after="0" w:line="276" w:lineRule="auto"/>
        <w:rPr>
          <w:rFonts w:ascii="Times New Roman" w:hAnsi="Times New Roman" w:cs="Times New Roman"/>
        </w:rPr>
      </w:pPr>
    </w:p>
    <w:p w14:paraId="6D78760B" w14:textId="77777777" w:rsidR="004E1758" w:rsidRPr="00A6659B" w:rsidRDefault="004E1758" w:rsidP="00F86E7C">
      <w:pPr>
        <w:pStyle w:val="ListParagraph"/>
        <w:numPr>
          <w:ilvl w:val="0"/>
          <w:numId w:val="5"/>
        </w:numPr>
        <w:spacing w:after="0" w:line="276" w:lineRule="auto"/>
        <w:rPr>
          <w:rFonts w:ascii="Times New Roman" w:hAnsi="Times New Roman" w:cs="Times New Roman"/>
        </w:rPr>
      </w:pPr>
      <w:r w:rsidRPr="00A6659B">
        <w:rPr>
          <w:rFonts w:ascii="Times New Roman" w:hAnsi="Times New Roman" w:cs="Times New Roman"/>
        </w:rPr>
        <w:t>To assess the influence of exchange rate and Brent crude oil shocks on fuel price movements in Ghana using Granger causality tests.</w:t>
      </w:r>
    </w:p>
    <w:p w14:paraId="41557EF4" w14:textId="77777777" w:rsidR="004E1758" w:rsidRPr="00A6659B" w:rsidRDefault="004E1758" w:rsidP="00F86E7C">
      <w:pPr>
        <w:spacing w:after="0" w:line="276" w:lineRule="auto"/>
        <w:rPr>
          <w:rFonts w:ascii="Times New Roman" w:hAnsi="Times New Roman" w:cs="Times New Roman"/>
        </w:rPr>
      </w:pPr>
    </w:p>
    <w:p w14:paraId="07F43355" w14:textId="23A17EF0" w:rsidR="004E1758" w:rsidRPr="00A6659B" w:rsidRDefault="004E1758" w:rsidP="00F86E7C">
      <w:pPr>
        <w:pStyle w:val="ListParagraph"/>
        <w:numPr>
          <w:ilvl w:val="0"/>
          <w:numId w:val="5"/>
        </w:numPr>
        <w:spacing w:after="0" w:line="276" w:lineRule="auto"/>
        <w:rPr>
          <w:rFonts w:ascii="Times New Roman" w:hAnsi="Times New Roman" w:cs="Times New Roman"/>
        </w:rPr>
      </w:pPr>
      <w:r w:rsidRPr="00A6659B">
        <w:rPr>
          <w:rFonts w:ascii="Times New Roman" w:hAnsi="Times New Roman" w:cs="Times New Roman"/>
        </w:rPr>
        <w:t>To compare the forecasting accuracy of the three models across 1–</w:t>
      </w:r>
      <w:r w:rsidR="00A24D29" w:rsidRPr="00A6659B">
        <w:rPr>
          <w:rFonts w:ascii="Times New Roman" w:hAnsi="Times New Roman" w:cs="Times New Roman"/>
        </w:rPr>
        <w:t>6-month</w:t>
      </w:r>
      <w:r w:rsidRPr="00A6659B">
        <w:rPr>
          <w:rFonts w:ascii="Times New Roman" w:hAnsi="Times New Roman" w:cs="Times New Roman"/>
        </w:rPr>
        <w:t xml:space="preserve"> forecast horizons using RMSE, MAE, MAPE, and the Diebold-Mariano test.</w:t>
      </w:r>
    </w:p>
    <w:p w14:paraId="3E61EB71" w14:textId="77777777" w:rsidR="004E1758" w:rsidRPr="00A6659B" w:rsidRDefault="004E1758" w:rsidP="00F86E7C">
      <w:pPr>
        <w:spacing w:after="0" w:line="276" w:lineRule="auto"/>
        <w:rPr>
          <w:rFonts w:ascii="Times New Roman" w:hAnsi="Times New Roman" w:cs="Times New Roman"/>
        </w:rPr>
      </w:pPr>
    </w:p>
    <w:p w14:paraId="4D92244B" w14:textId="6B0FF95C" w:rsidR="004E1758" w:rsidRPr="00A6659B" w:rsidRDefault="004E1758" w:rsidP="00F86E7C">
      <w:pPr>
        <w:pStyle w:val="ListParagraph"/>
        <w:numPr>
          <w:ilvl w:val="0"/>
          <w:numId w:val="5"/>
        </w:numPr>
        <w:spacing w:after="0" w:line="276" w:lineRule="auto"/>
        <w:rPr>
          <w:rFonts w:ascii="Times New Roman" w:hAnsi="Times New Roman" w:cs="Times New Roman"/>
        </w:rPr>
      </w:pPr>
      <w:r w:rsidRPr="00A6659B">
        <w:rPr>
          <w:rFonts w:ascii="Times New Roman" w:hAnsi="Times New Roman" w:cs="Times New Roman"/>
        </w:rPr>
        <w:t>To evaluate the practical utility of the models in providing 1–</w:t>
      </w:r>
      <w:r w:rsidR="00A24D29" w:rsidRPr="00A6659B">
        <w:rPr>
          <w:rFonts w:ascii="Times New Roman" w:hAnsi="Times New Roman" w:cs="Times New Roman"/>
        </w:rPr>
        <w:t>6-month</w:t>
      </w:r>
      <w:r w:rsidRPr="00A6659B">
        <w:rPr>
          <w:rFonts w:ascii="Times New Roman" w:hAnsi="Times New Roman" w:cs="Times New Roman"/>
        </w:rPr>
        <w:t xml:space="preserve"> advance warning of fuel price changes to consumers and policymakers in Ghana.</w:t>
      </w:r>
    </w:p>
    <w:p w14:paraId="7A872DB4" w14:textId="77777777" w:rsidR="004E1758" w:rsidRPr="00A6659B" w:rsidRDefault="004E1758" w:rsidP="00F86E7C">
      <w:pPr>
        <w:spacing w:after="0" w:line="276" w:lineRule="auto"/>
        <w:rPr>
          <w:rFonts w:ascii="Times New Roman" w:hAnsi="Times New Roman" w:cs="Times New Roman"/>
        </w:rPr>
      </w:pPr>
    </w:p>
    <w:p w14:paraId="2EF15824" w14:textId="524480AD" w:rsidR="004E1758" w:rsidRPr="00A6659B" w:rsidRDefault="004E1758" w:rsidP="00BF2493">
      <w:pPr>
        <w:pStyle w:val="Heading2"/>
        <w:rPr>
          <w:rFonts w:ascii="Times New Roman" w:hAnsi="Times New Roman" w:cs="Times New Roman"/>
          <w:color w:val="auto"/>
        </w:rPr>
      </w:pPr>
      <w:r w:rsidRPr="00A6659B">
        <w:rPr>
          <w:rFonts w:ascii="Times New Roman" w:hAnsi="Times New Roman" w:cs="Times New Roman"/>
          <w:color w:val="auto"/>
        </w:rPr>
        <w:t>Significance of the Study</w:t>
      </w:r>
    </w:p>
    <w:p w14:paraId="7BCF1964"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The findings of this study will be of interest to various stakeholders such as policymakers, consumers, regulatory bodies, and the academic community. In particular, the paper offers the following contributions:</w:t>
      </w:r>
    </w:p>
    <w:p w14:paraId="530E19FF" w14:textId="77777777" w:rsidR="004E1758" w:rsidRPr="00A6659B" w:rsidRDefault="004E1758" w:rsidP="00F86E7C">
      <w:pPr>
        <w:spacing w:after="0" w:line="276" w:lineRule="auto"/>
        <w:rPr>
          <w:rFonts w:ascii="Times New Roman" w:hAnsi="Times New Roman" w:cs="Times New Roman"/>
        </w:rPr>
      </w:pPr>
    </w:p>
    <w:p w14:paraId="5F083176"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Policymakers and Government Agencies: The forecasting models developed in this study provide an empirical tool to assist proactive fiscal and energy policy decisions. By anticipating movements in fuel prices, government agencies can design timely interventions to cushion the economy against the adverse effects of price volatility.</w:t>
      </w:r>
    </w:p>
    <w:p w14:paraId="585E764D" w14:textId="77777777" w:rsidR="004E1758" w:rsidRPr="00A6659B" w:rsidRDefault="004E1758" w:rsidP="00F86E7C">
      <w:pPr>
        <w:spacing w:after="0" w:line="276" w:lineRule="auto"/>
        <w:rPr>
          <w:rFonts w:ascii="Times New Roman" w:hAnsi="Times New Roman" w:cs="Times New Roman"/>
        </w:rPr>
      </w:pPr>
    </w:p>
    <w:p w14:paraId="3AED3A2B"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The National Petroleum Authority (NPA): As the regulatory body responsible for fuel pricing in Ghana, the NPA stands to benefit directly from accurate short-term forecasts. These forecasts can help inform changes to the Unified Pricing Formula and allow for more transparent and data-driven pricing decisions.</w:t>
      </w:r>
    </w:p>
    <w:p w14:paraId="39DD676D" w14:textId="77777777" w:rsidR="004E1758" w:rsidRPr="00A6659B" w:rsidRDefault="004E1758" w:rsidP="00F86E7C">
      <w:pPr>
        <w:spacing w:after="0" w:line="276" w:lineRule="auto"/>
        <w:rPr>
          <w:rFonts w:ascii="Times New Roman" w:hAnsi="Times New Roman" w:cs="Times New Roman"/>
        </w:rPr>
      </w:pPr>
    </w:p>
    <w:p w14:paraId="7DD59856"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lastRenderedPageBreak/>
        <w:t>Consumers and Households: Advance notice of changes in fuel prices provides households and firms with the opportunity to better plan their expenditure, especially since the cost of fuel directly affects the prices of goods, transportation, and other essential services.</w:t>
      </w:r>
    </w:p>
    <w:p w14:paraId="06420FFC" w14:textId="77777777" w:rsidR="004E1758" w:rsidRPr="00A6659B" w:rsidRDefault="004E1758" w:rsidP="00F86E7C">
      <w:pPr>
        <w:spacing w:after="0" w:line="276" w:lineRule="auto"/>
        <w:rPr>
          <w:rFonts w:ascii="Times New Roman" w:hAnsi="Times New Roman" w:cs="Times New Roman"/>
        </w:rPr>
      </w:pPr>
    </w:p>
    <w:p w14:paraId="2F6BEA06"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Researchers and Academics: The study adds to the growing literature on time series forecasting in developing economies. The comparative framework employing ARIMA, ARIMAX, and VAR models in a unified Ghanaian setting offers a methodological reference for future research on commodity price forecasting in Sub-Saharan Africa.</w:t>
      </w:r>
    </w:p>
    <w:p w14:paraId="59FDB9DA" w14:textId="77777777" w:rsidR="004E1758" w:rsidRPr="00A6659B" w:rsidRDefault="004E1758" w:rsidP="00F86E7C">
      <w:pPr>
        <w:spacing w:after="0" w:line="276" w:lineRule="auto"/>
        <w:rPr>
          <w:rFonts w:ascii="Times New Roman" w:hAnsi="Times New Roman" w:cs="Times New Roman"/>
        </w:rPr>
      </w:pPr>
    </w:p>
    <w:p w14:paraId="75CFB995"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Bulk Distribution Companies (BDCs): Fuel distributors can use price forecasts for procurement, inventory management, and pricing strategies, thereby reducing their exposure to supply-side shocks.</w:t>
      </w:r>
    </w:p>
    <w:p w14:paraId="3D0F7DB8" w14:textId="77777777" w:rsidR="004E1758" w:rsidRPr="00A6659B" w:rsidRDefault="004E1758" w:rsidP="00F86E7C">
      <w:pPr>
        <w:spacing w:after="0" w:line="276" w:lineRule="auto"/>
        <w:rPr>
          <w:rFonts w:ascii="Times New Roman" w:hAnsi="Times New Roman" w:cs="Times New Roman"/>
        </w:rPr>
      </w:pPr>
    </w:p>
    <w:p w14:paraId="1656C799" w14:textId="71BF8B40" w:rsidR="004E1758" w:rsidRPr="00A6659B" w:rsidRDefault="004E1758" w:rsidP="00BF2493">
      <w:pPr>
        <w:pStyle w:val="Heading2"/>
        <w:rPr>
          <w:rFonts w:ascii="Times New Roman" w:hAnsi="Times New Roman" w:cs="Times New Roman"/>
          <w:color w:val="auto"/>
        </w:rPr>
      </w:pPr>
      <w:r w:rsidRPr="00A6659B">
        <w:rPr>
          <w:rFonts w:ascii="Times New Roman" w:hAnsi="Times New Roman" w:cs="Times New Roman"/>
          <w:color w:val="auto"/>
        </w:rPr>
        <w:t>Methodology Overview</w:t>
      </w:r>
    </w:p>
    <w:p w14:paraId="1A340490" w14:textId="0E4EA37F"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 xml:space="preserve">The study is based on secondary data collected from four primary sources. Monthly fuel prices for petrol, diesel, and LPG were obtained from the National Petroleum Authority (NPA) of Ghana. Exchange rate data (GHS/USD) were sourced from the Bank of Ghana, and Brent crude oil price data were acquired from the U.S. Energy Information Administration (EIA). Data on inflation, measured by the Consumer Price Index (CPI), were obtained from the Ghana Statistical Service (GSS). The study utilizes a monthly time series from </w:t>
      </w:r>
      <w:r w:rsidR="003B485B" w:rsidRPr="00A6659B">
        <w:rPr>
          <w:rFonts w:ascii="Times New Roman" w:hAnsi="Times New Roman" w:cs="Times New Roman"/>
        </w:rPr>
        <w:t>July</w:t>
      </w:r>
      <w:r w:rsidRPr="00A6659B">
        <w:rPr>
          <w:rFonts w:ascii="Times New Roman" w:hAnsi="Times New Roman" w:cs="Times New Roman"/>
        </w:rPr>
        <w:t xml:space="preserve"> 201</w:t>
      </w:r>
      <w:r w:rsidR="003B485B" w:rsidRPr="00A6659B">
        <w:rPr>
          <w:rFonts w:ascii="Times New Roman" w:hAnsi="Times New Roman" w:cs="Times New Roman"/>
        </w:rPr>
        <w:t>5</w:t>
      </w:r>
      <w:r w:rsidRPr="00A6659B">
        <w:rPr>
          <w:rFonts w:ascii="Times New Roman" w:hAnsi="Times New Roman" w:cs="Times New Roman"/>
        </w:rPr>
        <w:t xml:space="preserve"> to </w:t>
      </w:r>
      <w:r w:rsidR="003B485B" w:rsidRPr="00A6659B">
        <w:rPr>
          <w:rFonts w:ascii="Times New Roman" w:hAnsi="Times New Roman" w:cs="Times New Roman"/>
        </w:rPr>
        <w:t>June</w:t>
      </w:r>
      <w:r w:rsidRPr="00A6659B">
        <w:rPr>
          <w:rFonts w:ascii="Times New Roman" w:hAnsi="Times New Roman" w:cs="Times New Roman"/>
        </w:rPr>
        <w:t xml:space="preserve"> 202</w:t>
      </w:r>
      <w:r w:rsidR="003B485B" w:rsidRPr="00A6659B">
        <w:rPr>
          <w:rFonts w:ascii="Times New Roman" w:hAnsi="Times New Roman" w:cs="Times New Roman"/>
        </w:rPr>
        <w:t>6</w:t>
      </w:r>
      <w:r w:rsidRPr="00A6659B">
        <w:rPr>
          <w:rFonts w:ascii="Times New Roman" w:hAnsi="Times New Roman" w:cs="Times New Roman"/>
        </w:rPr>
        <w:t>, yielding 13</w:t>
      </w:r>
      <w:r w:rsidR="003B485B" w:rsidRPr="00A6659B">
        <w:rPr>
          <w:rFonts w:ascii="Times New Roman" w:hAnsi="Times New Roman" w:cs="Times New Roman"/>
        </w:rPr>
        <w:t>3</w:t>
      </w:r>
      <w:r w:rsidRPr="00A6659B">
        <w:rPr>
          <w:rFonts w:ascii="Times New Roman" w:hAnsi="Times New Roman" w:cs="Times New Roman"/>
        </w:rPr>
        <w:t xml:space="preserve"> observations for each variable.</w:t>
      </w:r>
    </w:p>
    <w:p w14:paraId="589FC2D5" w14:textId="77777777" w:rsidR="004E1758" w:rsidRPr="00A6659B" w:rsidRDefault="004E1758" w:rsidP="00F86E7C">
      <w:pPr>
        <w:spacing w:after="0" w:line="276" w:lineRule="auto"/>
        <w:rPr>
          <w:rFonts w:ascii="Times New Roman" w:hAnsi="Times New Roman" w:cs="Times New Roman"/>
        </w:rPr>
      </w:pPr>
    </w:p>
    <w:p w14:paraId="040239E7"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Fuel prices were forecasted using three time series models. As a univariate baseline model, we first fitted an autoregressive integrated moving average (ARIMA) model to each fuel price series. Secondly, an ARIMAX model was developed incorporating the exchange rate and Brent crude oil prices as external regressors to capture the effect of external shocks on fuel prices. Third, we estimated a Vector Autoregression (VAR) model to jointly model fuel prices with the exchange rate, Brent crude oil prices, and inflation (CPI), allowing for dynamic interactions among all variables.</w:t>
      </w:r>
    </w:p>
    <w:p w14:paraId="64740232" w14:textId="77777777" w:rsidR="004E1758" w:rsidRPr="00A6659B" w:rsidRDefault="004E1758" w:rsidP="00F86E7C">
      <w:pPr>
        <w:spacing w:after="0" w:line="276" w:lineRule="auto"/>
        <w:rPr>
          <w:rFonts w:ascii="Times New Roman" w:hAnsi="Times New Roman" w:cs="Times New Roman"/>
        </w:rPr>
      </w:pPr>
    </w:p>
    <w:p w14:paraId="5185299B"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Before the estimation of the models, all series were tested for stationarity using the Augmented Dickey-Fuller (ADF) test. Forecast accuracy was evaluated using standard metrics, including the Root Mean Square Error (RMSE), Mean Absolute Error (MAE), and Mean Absolute Percentage Error (MAPE).</w:t>
      </w:r>
    </w:p>
    <w:p w14:paraId="7C99F94B" w14:textId="77777777" w:rsidR="004E1758" w:rsidRPr="00A6659B" w:rsidRDefault="004E1758" w:rsidP="00F86E7C">
      <w:pPr>
        <w:spacing w:after="0" w:line="276" w:lineRule="auto"/>
        <w:rPr>
          <w:rFonts w:ascii="Times New Roman" w:hAnsi="Times New Roman" w:cs="Times New Roman"/>
        </w:rPr>
      </w:pPr>
    </w:p>
    <w:p w14:paraId="39FDB838"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All data processing, model estimation, and forecast evaluations were performed in Python (version 3.12.5). The libraries used include statsmodels (Seabold &amp; Perktold, 2010) for the estimation of the ARIMA, ARIMAX, and VAR models; pandas (McKinney, 2010) for data manipulation; and matplotlib (Hunter, 2007) and seaborn (Waskom, 2021) for graphical visualization. Model diagnostic tests and forecast accuracy measures were calculated using built-in functions from the statsmodels and scikit-learn (Pedregosa et al., 2011) libraries.</w:t>
      </w:r>
    </w:p>
    <w:p w14:paraId="55910D7D" w14:textId="77777777" w:rsidR="004E1758" w:rsidRPr="00A6659B" w:rsidRDefault="004E1758" w:rsidP="00F86E7C">
      <w:pPr>
        <w:spacing w:after="0" w:line="276" w:lineRule="auto"/>
        <w:rPr>
          <w:rFonts w:ascii="Times New Roman" w:hAnsi="Times New Roman" w:cs="Times New Roman"/>
        </w:rPr>
      </w:pPr>
    </w:p>
    <w:p w14:paraId="38BF69C0" w14:textId="2DCF69D9" w:rsidR="004E1758" w:rsidRPr="00A6659B" w:rsidRDefault="003B485B" w:rsidP="00BF2493">
      <w:pPr>
        <w:pStyle w:val="Heading2"/>
        <w:rPr>
          <w:rFonts w:ascii="Times New Roman" w:hAnsi="Times New Roman" w:cs="Times New Roman"/>
          <w:color w:val="auto"/>
        </w:rPr>
      </w:pPr>
      <w:r w:rsidRPr="00A6659B">
        <w:rPr>
          <w:rFonts w:ascii="Times New Roman" w:hAnsi="Times New Roman" w:cs="Times New Roman"/>
          <w:color w:val="auto"/>
        </w:rPr>
        <w:lastRenderedPageBreak/>
        <w:t>Organization</w:t>
      </w:r>
      <w:r w:rsidR="004E1758" w:rsidRPr="00A6659B">
        <w:rPr>
          <w:rFonts w:ascii="Times New Roman" w:hAnsi="Times New Roman" w:cs="Times New Roman"/>
          <w:color w:val="auto"/>
        </w:rPr>
        <w:t xml:space="preserve"> of the Study</w:t>
      </w:r>
    </w:p>
    <w:p w14:paraId="2248AF76"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The study is organized into five chapters. Chapter One provides the background of the study, the problem statement, objectives, the significance of the study, a brief overview of the methodology, and the organization of the study. Chapter Two presents a review of relevant literature, encompassing theoretical frameworks and empirical studies relevant to fuel price dynamics, time series forecasting, and the application of ARIMA, ARIMAX, and VAR models in commodity price forecasting. Chapter Three describes the methodology used for the study, detailing data sources, variable descriptions, model specifications, stationarity testing procedures, and forecast evaluation criteria. Chapter Four presents and discusses the results of the data analysis, including descriptive statistics, model estimation outputs, forecast performance, and a comparative evaluation of the three models. Finally, Chapter Five summarizes the key findings, draws conclusions, and offers recommendations for policymakers, regulatory authorities, and future researchers.</w:t>
      </w:r>
    </w:p>
    <w:p w14:paraId="390D4062" w14:textId="77777777" w:rsidR="00BF63CA" w:rsidRPr="00A6659B" w:rsidRDefault="00BF63CA" w:rsidP="00F86E7C">
      <w:pPr>
        <w:spacing w:after="0" w:line="276" w:lineRule="auto"/>
        <w:rPr>
          <w:rFonts w:ascii="Times New Roman" w:hAnsi="Times New Roman" w:cs="Times New Roman"/>
        </w:rPr>
      </w:pPr>
    </w:p>
    <w:p w14:paraId="0C243446" w14:textId="133D7DBC" w:rsidR="00972084" w:rsidRPr="00A6659B" w:rsidRDefault="00972084" w:rsidP="00402CB0">
      <w:pPr>
        <w:pStyle w:val="Heading1"/>
        <w:rPr>
          <w:rFonts w:ascii="Times New Roman" w:hAnsi="Times New Roman" w:cs="Times New Roman"/>
          <w:color w:val="auto"/>
        </w:rPr>
      </w:pPr>
      <w:r w:rsidRPr="00A6659B">
        <w:rPr>
          <w:rFonts w:ascii="Times New Roman" w:hAnsi="Times New Roman" w:cs="Times New Roman"/>
          <w:color w:val="auto"/>
          <w:lang w:val="en-GH"/>
        </w:rPr>
        <w:t>CHAPTER TWO: LITERATURE REVIEW</w:t>
      </w:r>
    </w:p>
    <w:p w14:paraId="63F61F18" w14:textId="334F7825" w:rsidR="00972084" w:rsidRPr="00A6659B" w:rsidRDefault="00972084" w:rsidP="00BF2493">
      <w:pPr>
        <w:pStyle w:val="Heading2"/>
        <w:rPr>
          <w:rFonts w:ascii="Times New Roman" w:hAnsi="Times New Roman" w:cs="Times New Roman"/>
          <w:color w:val="auto"/>
          <w:lang w:val="en-GH"/>
        </w:rPr>
      </w:pPr>
      <w:r w:rsidRPr="00A6659B">
        <w:rPr>
          <w:rFonts w:ascii="Times New Roman" w:hAnsi="Times New Roman" w:cs="Times New Roman"/>
          <w:color w:val="auto"/>
          <w:lang w:val="en-GH"/>
        </w:rPr>
        <w:t>Introduction</w:t>
      </w:r>
    </w:p>
    <w:p w14:paraId="7413C85D" w14:textId="30F99635"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This chapter reviews the theoretical and empirical foundations relevant to forecasting fuel prices in Ghana using ARIMA, ARIMAX, and VAR models. The chapter begins with a theoretical framework (Section 2.2), which explains the statistical and economic principles underlying the three modelling approaches. This is followed by an empirical review, structured to move from the general to the specific: global and international oil price forecasting studies (Section 2.3), studies from Sub-Saharan Africa and other developing economies (Section 2.4), and Ghana-specific studies (Section 2.5). Section 2.6 then narrows the focus further to studies that directly compare univariate and multivariate forecasting performance, since this comparison lies at the heart of the present study. Section 2.7 synthesizes these strands of literature to identify the specific research gap this study addresses, and Section 2.8 closes the chapter with </w:t>
      </w:r>
      <w:r w:rsidR="00F86E7C" w:rsidRPr="00A6659B">
        <w:rPr>
          <w:rFonts w:ascii="Times New Roman" w:hAnsi="Times New Roman" w:cs="Times New Roman"/>
          <w:lang w:val="en-GH"/>
        </w:rPr>
        <w:t>a summary</w:t>
      </w:r>
      <w:r w:rsidRPr="00A6659B">
        <w:rPr>
          <w:rFonts w:ascii="Times New Roman" w:hAnsi="Times New Roman" w:cs="Times New Roman"/>
          <w:lang w:val="en-GH"/>
        </w:rPr>
        <w:t>.</w:t>
      </w:r>
    </w:p>
    <w:p w14:paraId="42CCC17A" w14:textId="77777777" w:rsidR="00F86E7C" w:rsidRPr="00A6659B" w:rsidRDefault="00F86E7C" w:rsidP="00F86E7C">
      <w:pPr>
        <w:spacing w:after="0" w:line="276" w:lineRule="auto"/>
        <w:rPr>
          <w:rFonts w:ascii="Times New Roman" w:hAnsi="Times New Roman" w:cs="Times New Roman"/>
          <w:lang w:val="en-GH"/>
        </w:rPr>
      </w:pPr>
    </w:p>
    <w:p w14:paraId="35FA8029" w14:textId="7A1982F5" w:rsidR="00972084" w:rsidRPr="00A6659B" w:rsidRDefault="00972084" w:rsidP="00402CB0">
      <w:pPr>
        <w:pStyle w:val="Heading2"/>
        <w:rPr>
          <w:rFonts w:ascii="Times New Roman" w:hAnsi="Times New Roman" w:cs="Times New Roman"/>
          <w:color w:val="auto"/>
          <w:lang w:val="en-GH"/>
        </w:rPr>
      </w:pPr>
      <w:r w:rsidRPr="00A6659B">
        <w:rPr>
          <w:rFonts w:ascii="Times New Roman" w:hAnsi="Times New Roman" w:cs="Times New Roman"/>
          <w:color w:val="auto"/>
          <w:lang w:val="en-GH"/>
        </w:rPr>
        <w:t>Theoretical Framework</w:t>
      </w:r>
    </w:p>
    <w:p w14:paraId="66137FC8" w14:textId="0A34A276" w:rsidR="00972084" w:rsidRPr="00A6659B" w:rsidRDefault="00972084" w:rsidP="00402CB0">
      <w:pPr>
        <w:pStyle w:val="Heading3"/>
        <w:rPr>
          <w:rFonts w:ascii="Times New Roman" w:hAnsi="Times New Roman" w:cs="Times New Roman"/>
          <w:color w:val="auto"/>
          <w:lang w:val="en-GH"/>
        </w:rPr>
      </w:pPr>
      <w:r w:rsidRPr="00A6659B">
        <w:rPr>
          <w:rFonts w:ascii="Times New Roman" w:hAnsi="Times New Roman" w:cs="Times New Roman"/>
          <w:color w:val="auto"/>
          <w:lang w:val="en-GH"/>
        </w:rPr>
        <w:t>Time Series Theory and Stationarity</w:t>
      </w:r>
    </w:p>
    <w:p w14:paraId="151A0229" w14:textId="5DF7366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A time series is a sequence of observations recorded sequentially over time, typically at fixed intervals. Most classical time series forecasting techniques, including ARIMA and VAR, rest on the assumption of stationarity a property whereby the statistical characteristics of a series, namely its mean, variance, and autocovariance structure, remain constant over time (Hamilton, 2009). A non-stationary series, by contrast, exhibits trends, changing variance, or other time-dependent structures that undermine the theoretical validity of forecasts derived from models built on the assumption of stability. Because most economic and commodity price series, including fuel prices, tend to display trending or volatile behaviour, testing for </w:t>
      </w:r>
      <w:r w:rsidRPr="00A6659B">
        <w:rPr>
          <w:rFonts w:ascii="Times New Roman" w:hAnsi="Times New Roman" w:cs="Times New Roman"/>
          <w:lang w:val="en-GH"/>
        </w:rPr>
        <w:lastRenderedPageBreak/>
        <w:t>and correcting non-stationarity, typically through differencing, is a prerequisite step before model estimation. This principle underlies the "I" (Integrated) component of the ARIMA framework and motivates the use of stationarity tests, such as the Augmented Dickey-Fuller (ADF) test, prior to model building.</w:t>
      </w:r>
    </w:p>
    <w:p w14:paraId="24D4A4AD" w14:textId="77777777" w:rsidR="00F86E7C" w:rsidRPr="00A6659B" w:rsidRDefault="00F86E7C" w:rsidP="00F86E7C">
      <w:pPr>
        <w:spacing w:after="0" w:line="276" w:lineRule="auto"/>
        <w:rPr>
          <w:rFonts w:ascii="Times New Roman" w:hAnsi="Times New Roman" w:cs="Times New Roman"/>
          <w:lang w:val="en-GH"/>
        </w:rPr>
      </w:pPr>
    </w:p>
    <w:p w14:paraId="21D1A4F4" w14:textId="5047DC8F" w:rsidR="00972084" w:rsidRPr="00A6659B" w:rsidRDefault="00972084" w:rsidP="00402CB0">
      <w:pPr>
        <w:pStyle w:val="Heading3"/>
        <w:rPr>
          <w:rFonts w:ascii="Times New Roman" w:hAnsi="Times New Roman" w:cs="Times New Roman"/>
          <w:color w:val="auto"/>
          <w:lang w:val="en-GH"/>
        </w:rPr>
      </w:pPr>
      <w:r w:rsidRPr="00A6659B">
        <w:rPr>
          <w:rFonts w:ascii="Times New Roman" w:hAnsi="Times New Roman" w:cs="Times New Roman"/>
          <w:color w:val="auto"/>
          <w:lang w:val="en-GH"/>
        </w:rPr>
        <w:t>The Box-Jenkins Methodology and the ARIMA Model</w:t>
      </w:r>
    </w:p>
    <w:p w14:paraId="02B1F81D" w14:textId="2B3B8D5A"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The theoretical foundation for the </w:t>
      </w:r>
      <w:r w:rsidR="00AC2D58" w:rsidRPr="00AC2D58">
        <w:rPr>
          <w:rFonts w:ascii="Times New Roman" w:hAnsi="Times New Roman" w:cs="Times New Roman"/>
        </w:rPr>
        <w:t>Autoregressive Integrated Moving Average</w:t>
      </w:r>
      <w:r w:rsidR="00AC2D58">
        <w:rPr>
          <w:rFonts w:ascii="Times New Roman" w:hAnsi="Times New Roman" w:cs="Times New Roman"/>
        </w:rPr>
        <w:t xml:space="preserve">, </w:t>
      </w:r>
      <w:r w:rsidRPr="00A6659B">
        <w:rPr>
          <w:rFonts w:ascii="Times New Roman" w:hAnsi="Times New Roman" w:cs="Times New Roman"/>
          <w:lang w:val="en-GH"/>
        </w:rPr>
        <w:t>ARIMA model derives from the Box-Jenkins methodology, a systematic three-stage iterative approach (identification, estimation, and diagnostic checking) for building univariate time series models (Box &amp; Jenkins, 1970). An ARIMA(p,d,q) model expresses a variable's current value as a function of its own past values (the autoregressive, or "AR," component of order p), a moving average of past forecast errors (the "MA" component of order q), and a differencing operation of order d applied to induce stationarity. The strength of the ARIMA framework lies in its parsimony and its reliance solely on the internal history of the series being forecast, which makes it a natural baseline model against which more complex, information-rich models can be compared. Its principal theoretical limitation, however, is precisely this reliance on internal history: an ARIMA model has no mechanism for incorporating external shocks, such as a sudden currency depreciation or a spike in international crude oil prices, unless those shocks are already reflected in the series' own past behaviour by the time a forecast is made.</w:t>
      </w:r>
    </w:p>
    <w:p w14:paraId="795A1544" w14:textId="77777777" w:rsidR="00F86E7C" w:rsidRPr="00A6659B" w:rsidRDefault="00F86E7C" w:rsidP="00F86E7C">
      <w:pPr>
        <w:spacing w:after="0" w:line="276" w:lineRule="auto"/>
        <w:rPr>
          <w:rFonts w:ascii="Times New Roman" w:hAnsi="Times New Roman" w:cs="Times New Roman"/>
          <w:lang w:val="en-GH"/>
        </w:rPr>
      </w:pPr>
    </w:p>
    <w:p w14:paraId="0088315A" w14:textId="6761C606" w:rsidR="00972084" w:rsidRPr="00A6659B" w:rsidRDefault="00972084" w:rsidP="00402CB0">
      <w:pPr>
        <w:pStyle w:val="Heading3"/>
        <w:rPr>
          <w:rFonts w:ascii="Times New Roman" w:hAnsi="Times New Roman" w:cs="Times New Roman"/>
          <w:color w:val="auto"/>
          <w:lang w:val="en-GH"/>
        </w:rPr>
      </w:pPr>
      <w:r w:rsidRPr="00A6659B">
        <w:rPr>
          <w:rFonts w:ascii="Times New Roman" w:hAnsi="Times New Roman" w:cs="Times New Roman"/>
          <w:color w:val="auto"/>
          <w:lang w:val="en-GH"/>
        </w:rPr>
        <w:t>The ARIMAX Model</w:t>
      </w:r>
    </w:p>
    <w:p w14:paraId="03DA01BF" w14:textId="60131D6C"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The </w:t>
      </w:r>
      <w:r w:rsidR="00AC2D58" w:rsidRPr="00AC2D58">
        <w:rPr>
          <w:rFonts w:ascii="Times New Roman" w:hAnsi="Times New Roman" w:cs="Times New Roman"/>
          <w:lang w:val="en-GH"/>
        </w:rPr>
        <w:t>Autoregressive Integrated Moving Average with Exogenous Variables</w:t>
      </w:r>
      <w:r w:rsidR="00AC2D58">
        <w:rPr>
          <w:rFonts w:ascii="Times New Roman" w:hAnsi="Times New Roman" w:cs="Times New Roman"/>
          <w:lang w:val="en-GH"/>
        </w:rPr>
        <w:t xml:space="preserve">, </w:t>
      </w:r>
      <w:r w:rsidRPr="00A6659B">
        <w:rPr>
          <w:rFonts w:ascii="Times New Roman" w:hAnsi="Times New Roman" w:cs="Times New Roman"/>
          <w:lang w:val="en-GH"/>
        </w:rPr>
        <w:t>ARIMAX model extends the ARIMA framework by incorporating one or more exogenous explanatory variables directly into the model specification, allowing the forecast of the dependent variable to respond contemporaneously to movements in these external regressors. In the context of this study, the exchange rate (GHS/USD) and Brent crude oil prices are introduced as exogenous regressors, on the theoretical grounds that Ghana's domestic fuel prices are administratively derived from a price build-up formula that explicitly incorporates both variables (National Petroleum Authority [NPA], 2023). Theoretically, ARIMAX models are expected to outperform pure ARIMA models whenever the excluded exogenous variables carry meaningful, non-redundant information about future movements in the dependent variable, a proposition that several of the empirical studies reviewed in this chapter test directly.</w:t>
      </w:r>
    </w:p>
    <w:p w14:paraId="59563340" w14:textId="77777777" w:rsidR="00F86E7C" w:rsidRPr="00A6659B" w:rsidRDefault="00F86E7C" w:rsidP="00F86E7C">
      <w:pPr>
        <w:spacing w:after="0" w:line="276" w:lineRule="auto"/>
        <w:rPr>
          <w:rFonts w:ascii="Times New Roman" w:hAnsi="Times New Roman" w:cs="Times New Roman"/>
          <w:lang w:val="en-GH"/>
        </w:rPr>
      </w:pPr>
    </w:p>
    <w:p w14:paraId="5D81C1C3" w14:textId="14B783E6" w:rsidR="00972084" w:rsidRPr="00A6659B" w:rsidRDefault="00972084" w:rsidP="00402CB0">
      <w:pPr>
        <w:pStyle w:val="Heading3"/>
        <w:rPr>
          <w:rFonts w:ascii="Times New Roman" w:hAnsi="Times New Roman" w:cs="Times New Roman"/>
          <w:color w:val="auto"/>
          <w:lang w:val="en-GH"/>
        </w:rPr>
      </w:pPr>
      <w:r w:rsidRPr="00A6659B">
        <w:rPr>
          <w:rFonts w:ascii="Times New Roman" w:hAnsi="Times New Roman" w:cs="Times New Roman"/>
          <w:color w:val="auto"/>
          <w:lang w:val="en-GH"/>
        </w:rPr>
        <w:t>Vector Autoregression (VAR)</w:t>
      </w:r>
    </w:p>
    <w:p w14:paraId="55F34A8F"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Where ARIMA and ARIMAX treat the forecast variable as fundamentally dependent on external regressors in a one-directional sense, the Vector Autoregression (VAR) framework, developed by Sims (1980), treats all included variables as jointly and dynamically endogenous. In a VAR system, each variable is modelled as a function of its own lagged values and the lagged values of every other variable in the system, without imposing a priori </w:t>
      </w:r>
      <w:r w:rsidRPr="00A6659B">
        <w:rPr>
          <w:rFonts w:ascii="Times New Roman" w:hAnsi="Times New Roman" w:cs="Times New Roman"/>
          <w:lang w:val="en-GH"/>
        </w:rPr>
        <w:lastRenderedPageBreak/>
        <w:t>restrictions on the direction of causality. This is theoretically well suited to the fuel price-inflation-exchange rate relationship in Ghana, where causality plausibly runs in multiple directions: fuel prices affect inflation through cost-push channels, while inflation and exchange rate movements simultaneously feed back into policy responses and import costs that affect fuel prices (Bawa et al., 2016; Hamilton, 2009). This theoretical property is precisely why CPI (inflation) is included only in the VAR specification in this study and deliberately excluded from the ARIMA and ARIMAX models: including a variable that is plausibly endogenous to fuel prices as a one-directional exogenous regressor risks biased and inconsistent estimates.</w:t>
      </w:r>
    </w:p>
    <w:p w14:paraId="1CB137C3" w14:textId="77777777" w:rsidR="00F86E7C" w:rsidRPr="00A6659B" w:rsidRDefault="00F86E7C" w:rsidP="00F86E7C">
      <w:pPr>
        <w:spacing w:after="0" w:line="276" w:lineRule="auto"/>
        <w:rPr>
          <w:rFonts w:ascii="Times New Roman" w:hAnsi="Times New Roman" w:cs="Times New Roman"/>
          <w:lang w:val="en-GH"/>
        </w:rPr>
      </w:pPr>
    </w:p>
    <w:p w14:paraId="71803181" w14:textId="376E6D56" w:rsidR="00972084" w:rsidRPr="00A6659B" w:rsidRDefault="00972084" w:rsidP="00402CB0">
      <w:pPr>
        <w:pStyle w:val="Heading3"/>
        <w:rPr>
          <w:rFonts w:ascii="Times New Roman" w:hAnsi="Times New Roman" w:cs="Times New Roman"/>
          <w:color w:val="auto"/>
          <w:lang w:val="en-GH"/>
        </w:rPr>
      </w:pPr>
      <w:r w:rsidRPr="00A6659B">
        <w:rPr>
          <w:rFonts w:ascii="Times New Roman" w:hAnsi="Times New Roman" w:cs="Times New Roman"/>
          <w:color w:val="auto"/>
          <w:lang w:val="en-GH"/>
        </w:rPr>
        <w:t>Oil Price Pass-Through and Exchange Rate Transmission</w:t>
      </w:r>
    </w:p>
    <w:p w14:paraId="5DF80EBC"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Beyond the purely statistical theory, this study is also grounded in the economic theory of price pass-through in import-dependent economies. Because Ghana imports the bulk of its refined petroleum products, international crude oil price changes and exchange rate movements are transmitted into domestic fuel prices through the cost structure embedded in the NPA's pricing formula (NPA, 2023). This transmission mechanism is well documented in the broader literature on oil price shocks in import-dependent developing economies, where currency depreciation compounds the domestic impact of rising international oil prices, since imports must be paid for in US dollars while domestic prices and wages are denominated in local currency (Alom et al., 2013; Kilian, 2009). This theoretical mechanism forms the economic justification for including both the exchange rate and Brent crude oil prices as external shock variables across all three models in this study.</w:t>
      </w:r>
    </w:p>
    <w:p w14:paraId="1AA762BE" w14:textId="77777777" w:rsidR="00F86E7C" w:rsidRPr="00A6659B" w:rsidRDefault="00F86E7C" w:rsidP="00F86E7C">
      <w:pPr>
        <w:spacing w:after="0" w:line="276" w:lineRule="auto"/>
        <w:rPr>
          <w:rFonts w:ascii="Times New Roman" w:hAnsi="Times New Roman" w:cs="Times New Roman"/>
          <w:lang w:val="en-GH"/>
        </w:rPr>
      </w:pPr>
    </w:p>
    <w:p w14:paraId="105A194B" w14:textId="4FFC311F" w:rsidR="00972084" w:rsidRPr="00A6659B" w:rsidRDefault="00972084" w:rsidP="00402CB0">
      <w:pPr>
        <w:pStyle w:val="Heading2"/>
        <w:rPr>
          <w:rFonts w:ascii="Times New Roman" w:hAnsi="Times New Roman" w:cs="Times New Roman"/>
          <w:color w:val="auto"/>
          <w:lang w:val="en-GH"/>
        </w:rPr>
      </w:pPr>
      <w:r w:rsidRPr="00A6659B">
        <w:rPr>
          <w:rFonts w:ascii="Times New Roman" w:hAnsi="Times New Roman" w:cs="Times New Roman"/>
          <w:color w:val="auto"/>
          <w:lang w:val="en-GH"/>
        </w:rPr>
        <w:t>Empirical Review: Global and International Oil Price Forecasting</w:t>
      </w:r>
    </w:p>
    <w:p w14:paraId="6B89014C"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International crude oil price forecasting has attracted substantial empirical attention for decades, largely because crude oil functions as a benchmark input whose volatility transmits into virtually every downstream petroleum market. A foundational contribution to this literature is Kilian's (2009) structural decomposition of oil price shocks, which distinguishes between shocks originating from crude oil supply disruptions, aggregate demand shifts, and oil-market-specific precautionary demand. This distinction matters for forecasting because each type of shock has different persistence and different macroeconomic consequences; a model that treats all price movements as homogeneous risks conflating transient supply disruptions with more persistent demand-driven trends. Kilian's framework has since become a standard reference point for researchers seeking to explain, rather than merely track, oil price volatility.</w:t>
      </w:r>
    </w:p>
    <w:p w14:paraId="0203C383" w14:textId="73F752E2"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Hamilton (2009) complements this structural perspective with an applied macroeconomic account of the 2007</w:t>
      </w:r>
      <w:r w:rsidR="00780AC0" w:rsidRPr="00A6659B">
        <w:rPr>
          <w:rFonts w:ascii="Times New Roman" w:hAnsi="Times New Roman" w:cs="Times New Roman"/>
          <w:lang w:val="en-GH"/>
        </w:rPr>
        <w:t>-</w:t>
      </w:r>
      <w:r w:rsidRPr="00A6659B">
        <w:rPr>
          <w:rFonts w:ascii="Times New Roman" w:hAnsi="Times New Roman" w:cs="Times New Roman"/>
          <w:lang w:val="en-GH"/>
        </w:rPr>
        <w:t xml:space="preserve">2008 oil price shock, documenting how the confluence of strong global demand and constrained supply capacity drove crude oil prices to historic highs, with cascading effects on inflation, consumer spending, and economic output in oil-importing economies. Hamilton's analysis is particularly relevant to the present study because it establishes, empirically, the transmission channel through which international crude oil price volatility affects downstream economic variables, a channel this study operationalizes </w:t>
      </w:r>
      <w:r w:rsidRPr="00A6659B">
        <w:rPr>
          <w:rFonts w:ascii="Times New Roman" w:hAnsi="Times New Roman" w:cs="Times New Roman"/>
          <w:lang w:val="en-GH"/>
        </w:rPr>
        <w:lastRenderedPageBreak/>
        <w:t>directly by including Brent crude oil prices as an exogenous regressor in the ARIMAX and VAR models.</w:t>
      </w:r>
    </w:p>
    <w:p w14:paraId="657038A7" w14:textId="42EC28BC"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Methodologically, the literature has increasingly moved beyond univariate ARIMA benchmarks toward hybrid and machine-learning-augmented approaches. Jammazi and Aloui (2012) combined wavelet decomposition with neural network modelling to forecast crude oil prices, arguing that decomposing the price series into different frequency components before modelling improves the capture of both short-term volatility and longer-term trend behaviour, an approach that consistently outperformed standalone linear models in their study. Baumeister and Kilian (2014) took a more applied central-banking perspective, evaluating a range of forecasting approaches, including model averaging techniques, and concluding that no single method dominates across all forecast horizons; instead, forecast accuracy depends heavily on the horizon length and the specific economic conditions prevailing at the time of the forecast. This finding is directly relevant to the present study's decision to evaluate forecast accuracy across a full 1</w:t>
      </w:r>
      <w:r w:rsidR="00780AC0" w:rsidRPr="00A6659B">
        <w:rPr>
          <w:rFonts w:ascii="Times New Roman" w:hAnsi="Times New Roman" w:cs="Times New Roman"/>
          <w:lang w:val="en-GH"/>
        </w:rPr>
        <w:t>-</w:t>
      </w:r>
      <w:r w:rsidRPr="00A6659B">
        <w:rPr>
          <w:rFonts w:ascii="Times New Roman" w:hAnsi="Times New Roman" w:cs="Times New Roman"/>
          <w:lang w:val="en-GH"/>
        </w:rPr>
        <w:t>6-month horizon rather than at a single fixed horizon, since horizon-dependent performance is a recurring theme in this literature.</w:t>
      </w:r>
    </w:p>
    <w:p w14:paraId="1D3A4420" w14:textId="4DCD9B01"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Taken together, this stream of literature establishes two points that motivate the present study. First, oil price forecasting accuracy is highly sensitive to the underlying model's ability to incorporate external, non-price information, whether through structural shock decomposition, wavelet-based feature extraction, or exogenous regressors, rather than relying solely on a series' own past values. Second, forecast performance is not uniform across horizons, reinforcing the importance of horizon-specific evaluation. However, this literature is concentrated almost entirely on international benchmark crude prices (WTI, Brent, OPEC basket) rather than domestic, </w:t>
      </w:r>
      <w:r w:rsidR="00780AC0" w:rsidRPr="00A6659B">
        <w:rPr>
          <w:rFonts w:ascii="Times New Roman" w:hAnsi="Times New Roman" w:cs="Times New Roman"/>
          <w:lang w:val="en-GH"/>
        </w:rPr>
        <w:t>administratively set</w:t>
      </w:r>
      <w:r w:rsidRPr="00A6659B">
        <w:rPr>
          <w:rFonts w:ascii="Times New Roman" w:hAnsi="Times New Roman" w:cs="Times New Roman"/>
          <w:lang w:val="en-GH"/>
        </w:rPr>
        <w:t xml:space="preserve"> retail fuel prices of the kind studied here, a distinction that becomes central once the focus shifts to import-dependent economies in Sub-Saharan Africa, discussed next.</w:t>
      </w:r>
    </w:p>
    <w:p w14:paraId="37DB2636" w14:textId="77777777" w:rsidR="00F86E7C" w:rsidRPr="00A6659B" w:rsidRDefault="00F86E7C" w:rsidP="00F86E7C">
      <w:pPr>
        <w:spacing w:after="0" w:line="276" w:lineRule="auto"/>
        <w:rPr>
          <w:rFonts w:ascii="Times New Roman" w:hAnsi="Times New Roman" w:cs="Times New Roman"/>
          <w:lang w:val="en-GH"/>
        </w:rPr>
      </w:pPr>
    </w:p>
    <w:p w14:paraId="5F5447DB" w14:textId="37D74523" w:rsidR="00972084" w:rsidRPr="00A6659B" w:rsidRDefault="00972084" w:rsidP="00402CB0">
      <w:pPr>
        <w:pStyle w:val="Heading2"/>
        <w:rPr>
          <w:rFonts w:ascii="Times New Roman" w:hAnsi="Times New Roman" w:cs="Times New Roman"/>
          <w:color w:val="auto"/>
          <w:lang w:val="en-GH"/>
        </w:rPr>
      </w:pPr>
      <w:r w:rsidRPr="00A6659B">
        <w:rPr>
          <w:rFonts w:ascii="Times New Roman" w:hAnsi="Times New Roman" w:cs="Times New Roman"/>
          <w:color w:val="auto"/>
          <w:lang w:val="en-GH"/>
        </w:rPr>
        <w:t>Empirical Review: Sub-Saharan Africa and Developing Economies</w:t>
      </w:r>
    </w:p>
    <w:p w14:paraId="3F557A4B"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The dynamics documented in the global oil price literature take on a distinctive character once attention shifts to import-dependent developing economies, where domestic fuel prices are shaped not only by international crude oil movements but also by exchange rate volatility and, in many cases, administrative pricing mechanisms. Alom et al. (2013) provide an important cross-country perspective, applying structural vector autoregression (SVAR) models to examine how oil and food price shocks propagate through Asian and Pacific economies. Their findings show that these shocks generate not only direct price effects but also broader macroeconomic instability through imported inflation, which erodes consumer purchasing power, a transmission mechanism that closely parallels the exchange rate-dependent price formation process in Ghana's own petroleum sector. Critically, their use of an SVAR framework, rather than a purely univariate approach, reflects a broader methodological pattern in the literature on developing economies: because external shocks and domestic prices are jointly determined, multivariate frameworks are increasingly preferred over </w:t>
      </w:r>
      <w:r w:rsidRPr="00A6659B">
        <w:rPr>
          <w:rFonts w:ascii="Times New Roman" w:hAnsi="Times New Roman" w:cs="Times New Roman"/>
          <w:lang w:val="en-GH"/>
        </w:rPr>
        <w:lastRenderedPageBreak/>
        <w:t>univariate ones when the research question centres on shock transmission rather than pure extrapolation.</w:t>
      </w:r>
    </w:p>
    <w:p w14:paraId="4D417200"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This pattern is echoed directly in the West and East African petroleum forecasting literature. Biu et al. (2024) compared ARIMA and ARIMAX models for four petroleum products (PMS, kerosene, aviation fuel, and diesel) in Nigeria, using twelve years of monthly sales data. Their results showed that ARIMAX models, incorporating each product's relationship with the other three petroleum products as exogenous regressors, outperformed pure ARIMA models on standard accuracy measures (MAE, MSE, RMSE) for three of the four products, a result the authors attributed to the ARIMAX specification's ability to capture cross-product substitution and shared cost pressures that a univariate ARIMA model, by construction, cannot. Similarly, in Kenya, Fondo et al. (2021, as cited in Gasper &amp; Mbwambo, 2023) modelled petroleum prices using both ARIMA and VAR frameworks and found that the VAR model produced the lowest forecast error, leading the authors to recommend VAR as the superior model for petroleum price forecasting in that context.</w:t>
      </w:r>
    </w:p>
    <w:p w14:paraId="62BF5346" w14:textId="7714C552"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Taken together, the Nigerian and Kenyan evidence point toward a consistent regional finding: in African petroleum markets, models that incorporate external or cross-variable information, whether through exogenous regressors (ARIMAX) or fully endogenous multivariate systems (VAR), tend to outperform univariate ARIMA benchmarks. This is a meaningful pattern for the present study, since it suggests the improvement from ARIMA to ARIMAX to VAR observed elsewhere in the region may plausibly extend to the Ghanaian case. However, three limitations in this regional literature are worth noting. First, none of these studies directly compares all three model classes (ARIMA, ARIMAX, and VAR) within a single, unified study; each paper compares at most two. Second, none of them is set in Ghana specifically, where the </w:t>
      </w:r>
      <w:r w:rsidR="00FA38F4" w:rsidRPr="00A6659B">
        <w:rPr>
          <w:rFonts w:ascii="Times New Roman" w:hAnsi="Times New Roman" w:cs="Times New Roman"/>
          <w:lang w:val="en-GH"/>
        </w:rPr>
        <w:t>administratively determined</w:t>
      </w:r>
      <w:r w:rsidRPr="00A6659B">
        <w:rPr>
          <w:rFonts w:ascii="Times New Roman" w:hAnsi="Times New Roman" w:cs="Times New Roman"/>
          <w:lang w:val="en-GH"/>
        </w:rPr>
        <w:t xml:space="preserve"> Unified Pricing Formula introduces a distinctive institutional feature not present in Nigeria's more market-driven post-subsidy pricing environment. Third, none explicitly isolates and tests the forecast-accuracy contribution of exchange rate shocks as a standalone variable of interest, a gap the next section examines in the specific context of Ghana.</w:t>
      </w:r>
    </w:p>
    <w:p w14:paraId="0C70EAC2" w14:textId="77777777" w:rsidR="00F86E7C" w:rsidRPr="00A6659B" w:rsidRDefault="00F86E7C" w:rsidP="00F86E7C">
      <w:pPr>
        <w:spacing w:after="0" w:line="276" w:lineRule="auto"/>
        <w:rPr>
          <w:rFonts w:ascii="Times New Roman" w:hAnsi="Times New Roman" w:cs="Times New Roman"/>
          <w:lang w:val="en-GH"/>
        </w:rPr>
      </w:pPr>
    </w:p>
    <w:p w14:paraId="60EA8622" w14:textId="3A7F5E98" w:rsidR="00972084" w:rsidRPr="00A6659B" w:rsidRDefault="00972084" w:rsidP="00402CB0">
      <w:pPr>
        <w:pStyle w:val="Heading2"/>
        <w:rPr>
          <w:rFonts w:ascii="Times New Roman" w:hAnsi="Times New Roman" w:cs="Times New Roman"/>
          <w:color w:val="auto"/>
          <w:lang w:val="en-GH"/>
        </w:rPr>
      </w:pPr>
      <w:r w:rsidRPr="00A6659B">
        <w:rPr>
          <w:rFonts w:ascii="Times New Roman" w:hAnsi="Times New Roman" w:cs="Times New Roman"/>
          <w:color w:val="auto"/>
          <w:lang w:val="en-GH"/>
        </w:rPr>
        <w:t>Empirical Review: Ghana-Specific Studies</w:t>
      </w:r>
    </w:p>
    <w:p w14:paraId="2028C129"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The Ghana-specific fuel price forecasting literature has grown steadily, but a close reading of it reveals a persistent methodological pattern that this study directly addresses. Addae and Ackah (2017) examined inflation dynamics in Ghana across the pre- and post-deregulation eras, investigating whether petroleum price movements exert measurable influence on domestic inflation. Their work, alongside Bawa et al.'s (2016) broader analysis of inflation dynamics in the West African context, establishes the empirical link between fuel prices and inflation in the region, providing part of the theoretical justification for treating CPI as an endogenous variable within the VAR component of the present study rather than as an exogenous ARIMAX regressor.</w:t>
      </w:r>
    </w:p>
    <w:p w14:paraId="56871091"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Turning specifically to fuel price forecasting studies in Ghana, an early and instructive precedent is Okyere's (2012) bachelor's thesis, which built a Seasonal ARIMA model for monthly petroleum prices in Ghana using data from January 1990 to September 2010. The study identified ARIMA(1,1,5)×(1,0,1)₁₁ as its best-fitting model and concluded that </w:t>
      </w:r>
      <w:r w:rsidRPr="00A6659B">
        <w:rPr>
          <w:rFonts w:ascii="Times New Roman" w:hAnsi="Times New Roman" w:cs="Times New Roman"/>
          <w:lang w:val="en-GH"/>
        </w:rPr>
        <w:lastRenderedPageBreak/>
        <w:t>petroleum prices were likely to see only insignificant increases in the following months, a forecast that, with the benefit of hindsight, badly understated the volatility Ghana's fuel prices would go on to exhibit. More importantly for this review, the study was purely univariate: no exchange rate, crude oil price, or inflation variable was incorporated, despite the NPA's pricing formula already depending explicitly on these external factors at the time.</w:t>
      </w:r>
    </w:p>
    <w:p w14:paraId="1693803E"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More recent Ghanaian studies show that this univariate tendency has persisted even as methodological sophistication has increased elsewhere. Agyare et al. (2024) compared ARIMA and SARIMA models for forecasting gasoline and diesel prices in Ghana using monthly data from January 2016 to December 2023, drawn from the same institutional sources (Bank of Ghana and NPA) used in the present study. Evaluating forecast accuracy with RMSE, MAE, and MAPE, they found that SARIMA models generally outperformed standard ARIMA models for both fuels, with one minor exception in diesel RMSE. In a related follow-up study, Agyare et al. (2025) extended this line of work by developing a hybrid model combining ARIMA with a nonlinear autoregressive neural network (NARNN-LSTM) for the same fuels and data sources, finding that while ARIMA alone outperformed the standalone neural network model, the hybrid ARIMA-NARNN-LSTM specification outperformed both base models substantially.</w:t>
      </w:r>
    </w:p>
    <w:p w14:paraId="33AB7DC7"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These two studies are notable for how closely their data, period, and institutional sources mirror those of the present study, which makes the absence of any exogenous or multivariate specification in either paper particularly striking. Both papers remain confined to variations of a single explanatory paradigm: the current fuel price explained purely by its own past values (or a decomposed/hybridized version of that same history), whether through seasonal differencing (SARIMA) or nonlinear pattern recognition (NARNN-LSTM). Neither study tests whether directly incorporating the exchange rate or Brent crude oil price, the two variables the NPA's own pricing formula relies on, would improve forecast accuracy beyond what SARIMA or hybrid neural approaches achieve. Similarly, neither compares a VAR specification capable of capturing the joint, bidirectional dynamics between fuel prices, the exchange rate, and inflation that Ghana's price build-up formula and broader macroeconomic literature (Bawa et al., 2016) suggest should exist.</w:t>
      </w:r>
    </w:p>
    <w:p w14:paraId="5504F80F"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This gap is thrown into sharper relief by Agyapong et al.'s (2024) Ghana-specific exchange rate forecasting study, which demonstrates that Bayesian model averaging techniques applied to the GHS/USD exchange rate achieve their best forecast accuracy at the 3-month horizon, closely overlapping with the 1–6-month horizon adopted in the present study. Their work confirms that the exchange rate itself is forecastable with reasonable accuracy over the same horizon this study is concerned with, but their analysis stops short of asking what happens once exchange rate forecasts are fed forward into fuel price models, precisely the multivariate linkage this study investigates through ARIMAX and VAR.</w:t>
      </w:r>
    </w:p>
    <w:p w14:paraId="3AAD3D34"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Taken together, the Ghana-specific literature confirms two things: first, that the data infrastructure and institutional sources (BoG, NPA) needed for this kind of study are well established and have already been used successfully in closely related work; and second, that despite this, no existing Ghanaian study has directly compared ARIMA, ARIMAX, and VAR within a single framework using exchange rate, Brent crude, and CPI as external shock variables across a full 1–6-month forecast horizon. This is the specific gap the present study is designed to fill.</w:t>
      </w:r>
    </w:p>
    <w:p w14:paraId="65925B77" w14:textId="77777777" w:rsidR="00F86E7C" w:rsidRPr="00A6659B" w:rsidRDefault="00F86E7C" w:rsidP="00F86E7C">
      <w:pPr>
        <w:spacing w:after="0" w:line="276" w:lineRule="auto"/>
        <w:rPr>
          <w:rFonts w:ascii="Times New Roman" w:hAnsi="Times New Roman" w:cs="Times New Roman"/>
          <w:lang w:val="en-GH"/>
        </w:rPr>
      </w:pPr>
    </w:p>
    <w:p w14:paraId="2311C0FE" w14:textId="045B9706" w:rsidR="00972084" w:rsidRPr="00A6659B" w:rsidRDefault="00972084" w:rsidP="00402CB0">
      <w:pPr>
        <w:pStyle w:val="Heading2"/>
        <w:rPr>
          <w:rFonts w:ascii="Times New Roman" w:hAnsi="Times New Roman" w:cs="Times New Roman"/>
          <w:color w:val="auto"/>
          <w:lang w:val="en-GH"/>
        </w:rPr>
      </w:pPr>
      <w:r w:rsidRPr="00A6659B">
        <w:rPr>
          <w:rFonts w:ascii="Times New Roman" w:hAnsi="Times New Roman" w:cs="Times New Roman"/>
          <w:color w:val="auto"/>
          <w:lang w:val="en-GH"/>
        </w:rPr>
        <w:t>Comparative Studies: ARIMA vs. ARIMAX vs. VAR</w:t>
      </w:r>
    </w:p>
    <w:p w14:paraId="7B25A696"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The preceding sections have already surfaced the core comparative evidence relevant to this study's central methodological question: does moving from a univariate to a multivariate specification meaningfully improve fuel price forecast accuracy? This section draws that evidence together explicitly and adds one further comparative study from outside the energy sector to test whether the pattern holds more generally.</w:t>
      </w:r>
    </w:p>
    <w:p w14:paraId="6E74D248" w14:textId="0A05CC26"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Across the studies reviewed so far, a consistent but not unconditional pattern </w:t>
      </w:r>
      <w:r w:rsidR="00FA38F4" w:rsidRPr="00A6659B">
        <w:rPr>
          <w:rFonts w:ascii="Times New Roman" w:hAnsi="Times New Roman" w:cs="Times New Roman"/>
          <w:lang w:val="en-GH"/>
        </w:rPr>
        <w:t>emerges,</w:t>
      </w:r>
      <w:r w:rsidRPr="00A6659B">
        <w:rPr>
          <w:rFonts w:ascii="Times New Roman" w:hAnsi="Times New Roman" w:cs="Times New Roman"/>
          <w:lang w:val="en-GH"/>
        </w:rPr>
        <w:t xml:space="preserve"> models that incorporate external information, whether through exogenous regressors (ARIMAX) or full multivariate endogeneity (VAR), tend to outperform pure univariate ARIMA benchmarks, but the margin of improvement is neither uniform across variables nor guaranteed. Biu et al. (2024) found that ARIMAX outperformed ARIMA for three of four Nigerian petroleum products (PMS, kerosene, and diesel) but that ARIMA performed better for the fourth (aviation turbine kerosene), a result the authors attributed to weaker cross-product relationships for that particular fuel. This finding is a useful caution against assuming multivariate superiority is automatic: it depends on whether the chosen exogenous variables actually carry meaningful explanatory power for the specific series being forecast.</w:t>
      </w:r>
    </w:p>
    <w:p w14:paraId="12B415DC"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The evidence on VAR specifically points in a similar direction, though drawn from a smaller pool of studies. Fondo et al. (2021, as cited in Gasper &amp; Mbwambo, 2023) found that a VAR model incorporating exchange rate, inflation, and crude oil price information outperformed a univariate ARIMA benchmark for petroleum price forecasting in Kenya, based on RMSE, MAE, and MAPE. Outside the energy sector, Ali and Saleh (2023) directly compared VAR and ARIMAX specifications for forecasting Iraqi government spending and foreign reserves, two macroeconomic series with a documented dynamic interdependence, and likewise found the VAR specification to be the more efficient forecasting model overall. Notably, this is one of the few studies in the reviewed literature that compares VAR and ARIMAX directly against one another, rather than each against a univariate ARIMA baseline, and its conclusion (that a fully endogenous, jointly-modelled system outperforms a specification treating explanatory variables as one-directionally exogenous) lends support to the theoretical rationale, discussed in Section 2.2.4, for including inflation only within the VAR component of the present study, where its plausible bidirectional relationship with fuel prices can be properly accommodated.</w:t>
      </w:r>
    </w:p>
    <w:p w14:paraId="21B75C96" w14:textId="05917CF8"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Three observations follow from synthesizing this comparative evidence. First, the general direction of the literature favours multivariate approaches over univariate ones, but exceptions exist and appear to be driven by the strength of the relationship between the forecast variable and the chosen external variables, not by any inherent superiority of multivariate models in all circumstances. Second, the relative performance of ARIMAX versus VAR specifically remains under-tested: most studies compare one multivariate approach against a univariate ARIMA baseline, but very few studies, and none identified in the Ghanaian or wider West African context, compare ARIMAX and VAR directly against each other, let alone against ARIMA in the same unified framework. Third, no study reviewed here evaluates comparative forecast accuracy across multiple horizons (1 through 6 months) for fuel prices specifically, despite Baumeister and Kilian's (2014) finding, discussed </w:t>
      </w:r>
      <w:r w:rsidRPr="00A6659B">
        <w:rPr>
          <w:rFonts w:ascii="Times New Roman" w:hAnsi="Times New Roman" w:cs="Times New Roman"/>
          <w:lang w:val="en-GH"/>
        </w:rPr>
        <w:lastRenderedPageBreak/>
        <w:t xml:space="preserve">in Section 2.3, that forecast accuracy and the relative ranking of competing models is often </w:t>
      </w:r>
      <w:r w:rsidR="00FA38F4" w:rsidRPr="00A6659B">
        <w:rPr>
          <w:rFonts w:ascii="Times New Roman" w:hAnsi="Times New Roman" w:cs="Times New Roman"/>
          <w:lang w:val="en-GH"/>
        </w:rPr>
        <w:t>horizon dependent</w:t>
      </w:r>
      <w:r w:rsidRPr="00A6659B">
        <w:rPr>
          <w:rFonts w:ascii="Times New Roman" w:hAnsi="Times New Roman" w:cs="Times New Roman"/>
          <w:lang w:val="en-GH"/>
        </w:rPr>
        <w:t>. These three observations, taken together, define precisely the methodological gap this study is positioned to close.</w:t>
      </w:r>
    </w:p>
    <w:p w14:paraId="3638FF59" w14:textId="77777777" w:rsidR="00F86E7C" w:rsidRPr="00A6659B" w:rsidRDefault="00F86E7C" w:rsidP="00F86E7C">
      <w:pPr>
        <w:spacing w:after="0" w:line="276" w:lineRule="auto"/>
        <w:rPr>
          <w:rFonts w:ascii="Times New Roman" w:hAnsi="Times New Roman" w:cs="Times New Roman"/>
          <w:lang w:val="en-GH"/>
        </w:rPr>
      </w:pPr>
    </w:p>
    <w:p w14:paraId="12679ACC" w14:textId="029FFE79" w:rsidR="00972084" w:rsidRPr="00A6659B" w:rsidRDefault="00972084" w:rsidP="00402CB0">
      <w:pPr>
        <w:pStyle w:val="Heading2"/>
        <w:rPr>
          <w:rFonts w:ascii="Times New Roman" w:hAnsi="Times New Roman" w:cs="Times New Roman"/>
          <w:color w:val="auto"/>
          <w:lang w:val="en-GH"/>
        </w:rPr>
      </w:pPr>
      <w:r w:rsidRPr="00A6659B">
        <w:rPr>
          <w:rFonts w:ascii="Times New Roman" w:hAnsi="Times New Roman" w:cs="Times New Roman"/>
          <w:color w:val="auto"/>
          <w:lang w:val="en-GH"/>
        </w:rPr>
        <w:t>Research Gap</w:t>
      </w:r>
    </w:p>
    <w:p w14:paraId="2BAA2F58"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Synthesizing the four strands of literature reviewed in this chapter reveals a gap that is precise rather than broad, defined at the intersection of geography, data granularity, and modelling scope.</w:t>
      </w:r>
    </w:p>
    <w:p w14:paraId="3AE71564" w14:textId="3146FB85"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From the global literature (Section 2.3): international crude oil forecasting is a mature field, but its focus on benchmark prices (WTI, Brent, OPEC basket) means its findings, while theoretically foundational, do not directly address domestic, </w:t>
      </w:r>
      <w:r w:rsidR="00FA38F4" w:rsidRPr="00A6659B">
        <w:rPr>
          <w:rFonts w:ascii="Times New Roman" w:hAnsi="Times New Roman" w:cs="Times New Roman"/>
          <w:lang w:val="en-GH"/>
        </w:rPr>
        <w:t>administratively determined</w:t>
      </w:r>
      <w:r w:rsidRPr="00A6659B">
        <w:rPr>
          <w:rFonts w:ascii="Times New Roman" w:hAnsi="Times New Roman" w:cs="Times New Roman"/>
          <w:lang w:val="en-GH"/>
        </w:rPr>
        <w:t xml:space="preserve"> retail fuel prices of the kind set by Ghana's NPA. The transmission mechanism from crude oil to domestic prices is assumed rather than tested in this literature.</w:t>
      </w:r>
    </w:p>
    <w:p w14:paraId="4E2C6FAC"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From the regional African literature (Section 2.4): studies from Nigeria and Kenya demonstrate that multivariate approaches (ARIMAX, VAR) generally outperform univariate ARIMA for petroleum price forecasting, but each study tests at most two model classes against each other, never all three. None is set in Ghana, where the Unified Pricing Formula constitutes a distinctive institutional pricing mechanism not replicated in Nigeria's post-subsidy market-driven system or Kenya's regulatory environment.</w:t>
      </w:r>
    </w:p>
    <w:p w14:paraId="19C50B3A"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From the Ghana-specific literature (Section 2.5): the closest precedents to this study, Agyare et al. (2024, 2025), use nearly identical data sources and time periods but remain confined to univariate and hybrid machine-learning specifications (ARIMA, SARIMA, NARNN-LSTM). Despite the NPA's own pricing formula explicitly depending on the exchange rate and international crude oil prices, no Ghanaian fuel price forecasting study has directly incorporated these as exogenous regressors or modelled them jointly with fuel prices in a VAR framework.</w:t>
      </w:r>
    </w:p>
    <w:p w14:paraId="374C7F92"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From the comparative modelling literature (Section 2.6): direct three-way comparisons of ARIMA, ARIMAX, and VAR are rare across the literature generally, and non-existent for Ghanaian fuel prices specifically. Where ARIMAX and VAR have been compared directly (Ali &amp; Saleh, 2023), the evidence favours VAR's fully endogenous treatment of macroeconomic interdependence, but this finding has not been tested in the fuel price context. Furthermore, no study identified in this review evaluates forecast accuracy across a full 1–6-month horizon for fuel prices, despite established evidence that model performance is horizon-dependent (Baumeister &amp; Kilian, 2014).</w:t>
      </w:r>
    </w:p>
    <w:p w14:paraId="0CC6D32B"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The precise gap, therefore, is this: no existing study evaluates ARIMA, ARIMAX, and VAR within a single, unified comparative framework for Ghanaian retail fuel prices (petrol, diesel, LPG), incorporating the exchange rate and Brent crude oil price as external shock variables, assessed systematically across a 1–6-month forecast horizon using standard accuracy measures and formal forecast-comparison tests.</w:t>
      </w:r>
    </w:p>
    <w:p w14:paraId="3E8652FC" w14:textId="77777777" w:rsidR="00F86E7C" w:rsidRPr="00A6659B" w:rsidRDefault="00F86E7C" w:rsidP="00F86E7C">
      <w:pPr>
        <w:spacing w:after="0" w:line="276" w:lineRule="auto"/>
        <w:rPr>
          <w:rFonts w:ascii="Times New Roman" w:hAnsi="Times New Roman" w:cs="Times New Roman"/>
          <w:lang w:val="en-GH"/>
        </w:rPr>
      </w:pPr>
    </w:p>
    <w:p w14:paraId="429FC4E7"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b/>
          <w:bCs/>
          <w:lang w:val="en-GH"/>
        </w:rPr>
        <w:t>How This Study Addresses the Gap</w:t>
      </w:r>
    </w:p>
    <w:p w14:paraId="0651B92C"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This study is designed to close each dimension of the gap identified above directly. The absence of a three-way ARIMA/ARIMAX/VAR comparison for fuel prices is addressed by </w:t>
      </w:r>
      <w:r w:rsidRPr="00A6659B">
        <w:rPr>
          <w:rFonts w:ascii="Times New Roman" w:hAnsi="Times New Roman" w:cs="Times New Roman"/>
          <w:lang w:val="en-GH"/>
        </w:rPr>
        <w:lastRenderedPageBreak/>
        <w:t>estimating and comparing all three models within one unified framework (Objectives 2 and 4). The tendency of Ghana-specific studies to remain univariate is addressed by incorporating the exchange rate and Brent crude explicitly as ARIMAX regressors, directly testing whether they improve on the univariate baselines used in prior Ghanaian studies (Objectives 2 and 3). The untested bidirectional relationship between inflation and fuel prices in this context is addressed by including CPI only in the VAR specification, consistent with the endogeneity concerns raised in Section 2.2.4, rather than forcing it into a one-directional exogenous role (Objective 2). The absence of horizon-specific evaluation for fuel prices is addressed by assessing forecast accuracy (RMSE, MAE, MAPE) and the statistical significance of differences between models (Diebold-Mariano test) separately across the full 1–6-month horizon, rather than at a single forecast point (Objective 4). Finally, the gap between statistical findings and their practical value is addressed by explicitly evaluating the practical utility of the best-performing model for giving consumers and policymakers advance notice of price changes (Objective 5).</w:t>
      </w:r>
    </w:p>
    <w:p w14:paraId="08398C01"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In short, this study does not introduce an entirely new modelling technique; ARIMA, ARIMAX, and VAR are all well-established methods individually. Its contribution lies in bringing all three together, for the first time, into a single rigorous comparison calibrated specifically to Ghana's fuel market structure, external shock exposure, and the exact forecast horizon that matters most for practical early-warning purposes.</w:t>
      </w:r>
    </w:p>
    <w:p w14:paraId="3482492F" w14:textId="77777777" w:rsidR="007D6D59" w:rsidRPr="00A6659B" w:rsidRDefault="007D6D59" w:rsidP="00F86E7C">
      <w:pPr>
        <w:spacing w:after="0" w:line="276" w:lineRule="auto"/>
        <w:rPr>
          <w:rFonts w:ascii="Times New Roman" w:hAnsi="Times New Roman" w:cs="Times New Roman"/>
          <w:lang w:val="en-GH"/>
        </w:rPr>
      </w:pPr>
    </w:p>
    <w:p w14:paraId="22BCACA0" w14:textId="475F0B7D" w:rsidR="00972084" w:rsidRPr="00A6659B" w:rsidRDefault="00972084" w:rsidP="00402CB0">
      <w:pPr>
        <w:pStyle w:val="Heading2"/>
        <w:rPr>
          <w:rFonts w:ascii="Times New Roman" w:hAnsi="Times New Roman" w:cs="Times New Roman"/>
          <w:color w:val="auto"/>
          <w:lang w:val="en-GH"/>
        </w:rPr>
      </w:pPr>
      <w:r w:rsidRPr="00A6659B">
        <w:rPr>
          <w:rFonts w:ascii="Times New Roman" w:hAnsi="Times New Roman" w:cs="Times New Roman"/>
          <w:color w:val="auto"/>
          <w:lang w:val="en-GH"/>
        </w:rPr>
        <w:t>Chapter Summary</w:t>
      </w:r>
    </w:p>
    <w:p w14:paraId="3B373AAF"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This chapter reviewed the theoretical and empirical foundations underpinning this study. Section 2.2 established the statistical and economic theory behind ARIMA, ARIMAX, and VAR, explaining why each model behaves as it does and providing the theoretical justification for this study's specific design choices, particularly the restriction of CPI to the VAR specification alone. Sections 2.3 through 2.5 reviewed the empirical literature at progressively narrower levels of focus, moving from global crude oil forecasting, through regional African studies, to Ghana-specific fuel price research. Section 2.6 synthesized the comparative evidence on model performance across this literature, while Section 2.7 used that synthesis to define a precise research gap: no existing study compares ARIMA, ARIMAX, and VAR within a single framework for Ghanaian fuel prices, incorporating exchange rate and Brent crude oil shocks, across a full 1–6-month forecast horizon.</w:t>
      </w:r>
    </w:p>
    <w:p w14:paraId="50D32D21"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Having established both the theoretical basis and the empirical justification for this study, the next chapter details the methodology used to address this gap: the data sources and variable definitions, the specific model formulations, the stationarity and diagnostic testing procedures, and the forecast evaluation criteria that will be applied in Chapter 4.</w:t>
      </w:r>
    </w:p>
    <w:p w14:paraId="703A3376" w14:textId="16A77ECB" w:rsidR="00972084" w:rsidRPr="00A6659B" w:rsidRDefault="00972084" w:rsidP="00F86E7C">
      <w:pPr>
        <w:spacing w:after="0" w:line="276" w:lineRule="auto"/>
        <w:rPr>
          <w:rFonts w:ascii="Times New Roman" w:hAnsi="Times New Roman" w:cs="Times New Roman"/>
          <w:lang w:val="en-GH"/>
        </w:rPr>
      </w:pPr>
    </w:p>
    <w:p w14:paraId="753525A1" w14:textId="77777777" w:rsidR="000D3E20" w:rsidRPr="00A6659B" w:rsidRDefault="000D3E20" w:rsidP="00F86E7C">
      <w:pPr>
        <w:spacing w:after="0" w:line="276" w:lineRule="auto"/>
        <w:rPr>
          <w:rFonts w:ascii="Times New Roman" w:hAnsi="Times New Roman" w:cs="Times New Roman"/>
        </w:rPr>
      </w:pPr>
    </w:p>
    <w:p w14:paraId="2E3D27A8" w14:textId="77777777" w:rsidR="00FA38F4" w:rsidRPr="00A6659B" w:rsidRDefault="00FA38F4" w:rsidP="00F86E7C">
      <w:pPr>
        <w:spacing w:after="0" w:line="276" w:lineRule="auto"/>
        <w:rPr>
          <w:rFonts w:ascii="Times New Roman" w:hAnsi="Times New Roman" w:cs="Times New Roman"/>
        </w:rPr>
      </w:pPr>
    </w:p>
    <w:p w14:paraId="278362C6" w14:textId="77777777" w:rsidR="00FA38F4" w:rsidRPr="00A6659B" w:rsidRDefault="00FA38F4" w:rsidP="00F86E7C">
      <w:pPr>
        <w:spacing w:after="0" w:line="276" w:lineRule="auto"/>
        <w:rPr>
          <w:rFonts w:ascii="Times New Roman" w:hAnsi="Times New Roman" w:cs="Times New Roman"/>
        </w:rPr>
      </w:pPr>
    </w:p>
    <w:p w14:paraId="6BDFA59E" w14:textId="77777777" w:rsidR="00FA38F4" w:rsidRPr="00A6659B" w:rsidRDefault="00FA38F4" w:rsidP="00F86E7C">
      <w:pPr>
        <w:spacing w:after="0" w:line="276" w:lineRule="auto"/>
        <w:rPr>
          <w:rFonts w:ascii="Times New Roman" w:hAnsi="Times New Roman" w:cs="Times New Roman"/>
        </w:rPr>
      </w:pPr>
    </w:p>
    <w:p w14:paraId="71C31E6A" w14:textId="77777777" w:rsidR="00FA38F4" w:rsidRDefault="00FA38F4" w:rsidP="00F86E7C">
      <w:pPr>
        <w:spacing w:after="0" w:line="276" w:lineRule="auto"/>
        <w:rPr>
          <w:rFonts w:ascii="Times New Roman" w:hAnsi="Times New Roman" w:cs="Times New Roman"/>
        </w:rPr>
      </w:pPr>
    </w:p>
    <w:p w14:paraId="7BCDCED8" w14:textId="77777777" w:rsidR="009E1B88" w:rsidRPr="00A6659B" w:rsidRDefault="009E1B88" w:rsidP="00F86E7C">
      <w:pPr>
        <w:spacing w:after="0" w:line="276" w:lineRule="auto"/>
        <w:rPr>
          <w:rFonts w:ascii="Times New Roman" w:hAnsi="Times New Roman" w:cs="Times New Roman"/>
        </w:rPr>
      </w:pPr>
    </w:p>
    <w:p w14:paraId="2032BD45" w14:textId="623FA31A"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lastRenderedPageBreak/>
        <w:t>REFERENCES</w:t>
      </w:r>
    </w:p>
    <w:p w14:paraId="5593B15E"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Addae, E., &amp; Ackah, I. (2017). Inflation dynamics in pre and post deregulation era in Ghana: Do petroleum prices have any influence? MPRA Paper 77496. University Library of Munich. https://mpra.ub.uni-muenchen.de/77496/</w:t>
      </w:r>
    </w:p>
    <w:p w14:paraId="1E0850EC" w14:textId="77777777" w:rsidR="004E1758" w:rsidRPr="00A6659B" w:rsidRDefault="004E1758" w:rsidP="00F86E7C">
      <w:pPr>
        <w:spacing w:after="0" w:line="276" w:lineRule="auto"/>
        <w:rPr>
          <w:rFonts w:ascii="Times New Roman" w:hAnsi="Times New Roman" w:cs="Times New Roman"/>
        </w:rPr>
      </w:pPr>
    </w:p>
    <w:p w14:paraId="4015252E"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Alom, F., Ward, B. D., &amp; Hu, B. (2013). Macroeconomic effects of world oil and food price shocks in Asia and Pacific economies: Application of SVAR models. OPEC Energy Review, 37(3), 327–372. https://doi.org/10.1111/opec.12015</w:t>
      </w:r>
    </w:p>
    <w:p w14:paraId="06403F70" w14:textId="77777777" w:rsidR="004E1758" w:rsidRPr="00A6659B" w:rsidRDefault="004E1758" w:rsidP="00F86E7C">
      <w:pPr>
        <w:spacing w:after="0" w:line="276" w:lineRule="auto"/>
        <w:rPr>
          <w:rFonts w:ascii="Times New Roman" w:hAnsi="Times New Roman" w:cs="Times New Roman"/>
        </w:rPr>
      </w:pPr>
    </w:p>
    <w:p w14:paraId="69CE6A7A"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Bank of Ghana. (2023). Annual report 2022. Bank of Ghana. https://www.bog.gov.gh/wp-content/uploads/2023/07/Annual-Report-2022.pdf</w:t>
      </w:r>
    </w:p>
    <w:p w14:paraId="2ED7AC67" w14:textId="77777777" w:rsidR="004E1758" w:rsidRPr="00A6659B" w:rsidRDefault="004E1758" w:rsidP="00F86E7C">
      <w:pPr>
        <w:spacing w:after="0" w:line="276" w:lineRule="auto"/>
        <w:rPr>
          <w:rFonts w:ascii="Times New Roman" w:hAnsi="Times New Roman" w:cs="Times New Roman"/>
        </w:rPr>
      </w:pPr>
    </w:p>
    <w:p w14:paraId="22FDBC58"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Baumeister, C., &amp; Kilian, L. (2014). What central bankers need to know about forecasting oil prices. International Economic Review, 55(3), 869–889. https://doi.org/10.1111/iere.12074</w:t>
      </w:r>
    </w:p>
    <w:p w14:paraId="7B2F3609" w14:textId="77777777" w:rsidR="004E1758" w:rsidRPr="00A6659B" w:rsidRDefault="004E1758" w:rsidP="00F86E7C">
      <w:pPr>
        <w:spacing w:after="0" w:line="276" w:lineRule="auto"/>
        <w:rPr>
          <w:rFonts w:ascii="Times New Roman" w:hAnsi="Times New Roman" w:cs="Times New Roman"/>
        </w:rPr>
      </w:pPr>
    </w:p>
    <w:p w14:paraId="5D38EEB4"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Bawa, S., Abdullahi, I. S., &amp; Ibrahim, A. (2016). Analysis of inflation dynamics in Nigeria (1981–2015). CBN Journal of Applied Statistics, 7(1b), 255–276. https://dc.cbn.gov.ng/jas/vol7/iss1/12</w:t>
      </w:r>
    </w:p>
    <w:p w14:paraId="6C2A5DE8" w14:textId="77777777" w:rsidR="004E1758" w:rsidRPr="00A6659B" w:rsidRDefault="004E1758" w:rsidP="00F86E7C">
      <w:pPr>
        <w:spacing w:after="0" w:line="276" w:lineRule="auto"/>
        <w:rPr>
          <w:rFonts w:ascii="Times New Roman" w:hAnsi="Times New Roman" w:cs="Times New Roman"/>
        </w:rPr>
      </w:pPr>
    </w:p>
    <w:p w14:paraId="30618A6A"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Ghana Statistical Service. (2023). Consumer price index: December 2022 report. Author. https://statsghana.gov.gh</w:t>
      </w:r>
    </w:p>
    <w:p w14:paraId="2907C52C" w14:textId="77777777" w:rsidR="004E1758" w:rsidRPr="00A6659B" w:rsidRDefault="004E1758" w:rsidP="00F86E7C">
      <w:pPr>
        <w:spacing w:after="0" w:line="276" w:lineRule="auto"/>
        <w:rPr>
          <w:rFonts w:ascii="Times New Roman" w:hAnsi="Times New Roman" w:cs="Times New Roman"/>
        </w:rPr>
      </w:pPr>
    </w:p>
    <w:p w14:paraId="2A23F976"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Hamilton, J. D. (2009). Causes and consequences of the oil shock of 2007–08. Brookings Papers on Economic Activity, Spring 2009, 215–261. https://www.brookings.edu/bpea-articles/causes-and-consequences-of-the-oil-shock-of-2007-08</w:t>
      </w:r>
    </w:p>
    <w:p w14:paraId="4125DA7D" w14:textId="77777777" w:rsidR="004E1758" w:rsidRPr="00A6659B" w:rsidRDefault="004E1758" w:rsidP="00F86E7C">
      <w:pPr>
        <w:spacing w:after="0" w:line="276" w:lineRule="auto"/>
        <w:rPr>
          <w:rFonts w:ascii="Times New Roman" w:hAnsi="Times New Roman" w:cs="Times New Roman"/>
        </w:rPr>
      </w:pPr>
    </w:p>
    <w:p w14:paraId="643BD735"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Hunter, J. D. (2007). Matplotlib: A 2D graphics environment. Computing in Science &amp; Engineering, 9(3), 90–95. https://doi.org/10.1109/MCSE.2007.55</w:t>
      </w:r>
    </w:p>
    <w:p w14:paraId="66BBF860" w14:textId="77777777" w:rsidR="004E1758" w:rsidRPr="00A6659B" w:rsidRDefault="004E1758" w:rsidP="00F86E7C">
      <w:pPr>
        <w:spacing w:after="0" w:line="276" w:lineRule="auto"/>
        <w:rPr>
          <w:rFonts w:ascii="Times New Roman" w:hAnsi="Times New Roman" w:cs="Times New Roman"/>
        </w:rPr>
      </w:pPr>
    </w:p>
    <w:p w14:paraId="543458D6"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Jammazi, R., &amp; Aloui, C. (2012). Crude oil price forecasting: Experimental evidence from wavelet decomposition and neural network modeling. Energy Economics, 34(3), 828–841. https://doi.org/10.1016/j.eneco.2011.07.018</w:t>
      </w:r>
    </w:p>
    <w:p w14:paraId="7740DB09" w14:textId="77777777" w:rsidR="004E1758" w:rsidRPr="00A6659B" w:rsidRDefault="004E1758" w:rsidP="00F86E7C">
      <w:pPr>
        <w:spacing w:after="0" w:line="276" w:lineRule="auto"/>
        <w:rPr>
          <w:rFonts w:ascii="Times New Roman" w:hAnsi="Times New Roman" w:cs="Times New Roman"/>
        </w:rPr>
      </w:pPr>
    </w:p>
    <w:p w14:paraId="0E1FEB8C"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Kilian, L. (2009). Not all oil price shocks are alike: Disentangling demand and supply shocks in the crude oil market. American Economic Review, 99(3), 1053–1069. https://doi.org/10.1257/aer.99.3.1053</w:t>
      </w:r>
    </w:p>
    <w:p w14:paraId="799C1653" w14:textId="77777777" w:rsidR="004E1758" w:rsidRPr="00A6659B" w:rsidRDefault="004E1758" w:rsidP="00F86E7C">
      <w:pPr>
        <w:spacing w:after="0" w:line="276" w:lineRule="auto"/>
        <w:rPr>
          <w:rFonts w:ascii="Times New Roman" w:hAnsi="Times New Roman" w:cs="Times New Roman"/>
        </w:rPr>
      </w:pPr>
    </w:p>
    <w:p w14:paraId="74115E64"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McKinney, W. (2010). Data structures for statistical computing in Python. In Proceedings of the 9th Python in Science Conference (pp. 51–56).</w:t>
      </w:r>
    </w:p>
    <w:p w14:paraId="595F266D" w14:textId="77777777" w:rsidR="004E1758" w:rsidRPr="00A6659B" w:rsidRDefault="004E1758" w:rsidP="00F86E7C">
      <w:pPr>
        <w:spacing w:after="0" w:line="276" w:lineRule="auto"/>
        <w:rPr>
          <w:rFonts w:ascii="Times New Roman" w:hAnsi="Times New Roman" w:cs="Times New Roman"/>
        </w:rPr>
      </w:pPr>
    </w:p>
    <w:p w14:paraId="3252066E"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National Petroleum Authority. (2023). Petroleum pricing formula regulations (L.I. 2186). National Petroleum Authority. https://npa.gov.gh/wp-content/uploads/2023/09/Petroleum-Pricing-Formula-Regulations-LI-2186-1.pdf</w:t>
      </w:r>
    </w:p>
    <w:p w14:paraId="0FCD73D8" w14:textId="77777777" w:rsidR="004E1758" w:rsidRPr="00A6659B" w:rsidRDefault="004E1758" w:rsidP="00F86E7C">
      <w:pPr>
        <w:spacing w:after="0" w:line="276" w:lineRule="auto"/>
        <w:rPr>
          <w:rFonts w:ascii="Times New Roman" w:hAnsi="Times New Roman" w:cs="Times New Roman"/>
        </w:rPr>
      </w:pPr>
    </w:p>
    <w:p w14:paraId="57E1DCB1"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lastRenderedPageBreak/>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14:paraId="0EDC471F" w14:textId="77777777" w:rsidR="004E1758" w:rsidRPr="00A6659B" w:rsidRDefault="004E1758" w:rsidP="00F86E7C">
      <w:pPr>
        <w:spacing w:after="0" w:line="276" w:lineRule="auto"/>
        <w:rPr>
          <w:rFonts w:ascii="Times New Roman" w:hAnsi="Times New Roman" w:cs="Times New Roman"/>
        </w:rPr>
      </w:pPr>
    </w:p>
    <w:p w14:paraId="33A13B6A"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Seabold, S., &amp; Perktold, J. (2010). Statsmodels: Econometric and statistical modeling with Python. In Proceedings of the 9th Python in Science Conference (pp. 57–61).</w:t>
      </w:r>
    </w:p>
    <w:p w14:paraId="4B713277" w14:textId="77777777" w:rsidR="004E1758" w:rsidRPr="00A6659B" w:rsidRDefault="004E1758" w:rsidP="00F86E7C">
      <w:pPr>
        <w:spacing w:after="0" w:line="276" w:lineRule="auto"/>
        <w:rPr>
          <w:rFonts w:ascii="Times New Roman" w:hAnsi="Times New Roman" w:cs="Times New Roman"/>
        </w:rPr>
      </w:pPr>
    </w:p>
    <w:p w14:paraId="50A9DAB8" w14:textId="77777777"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U.S. Energy Information Administration. (2023). Europe Brent spot price FOB [Data set]. U.S. Energy Information Administration. https://www.eia.gov/dnav/pet/hist/LeafHandler.ashx?n=PET&amp;s=RBRTE&amp;f=M</w:t>
      </w:r>
    </w:p>
    <w:p w14:paraId="1F38965E" w14:textId="77777777" w:rsidR="004E1758" w:rsidRPr="00A6659B" w:rsidRDefault="004E1758" w:rsidP="00F86E7C">
      <w:pPr>
        <w:spacing w:after="0" w:line="276" w:lineRule="auto"/>
        <w:rPr>
          <w:rFonts w:ascii="Times New Roman" w:hAnsi="Times New Roman" w:cs="Times New Roman"/>
        </w:rPr>
      </w:pPr>
    </w:p>
    <w:p w14:paraId="1916055F" w14:textId="58ED5F9A" w:rsidR="004E1758" w:rsidRPr="00A6659B" w:rsidRDefault="004E1758" w:rsidP="00F86E7C">
      <w:pPr>
        <w:spacing w:after="0" w:line="276" w:lineRule="auto"/>
        <w:rPr>
          <w:rFonts w:ascii="Times New Roman" w:hAnsi="Times New Roman" w:cs="Times New Roman"/>
        </w:rPr>
      </w:pPr>
      <w:r w:rsidRPr="00A6659B">
        <w:rPr>
          <w:rFonts w:ascii="Times New Roman" w:hAnsi="Times New Roman" w:cs="Times New Roman"/>
        </w:rPr>
        <w:t>Waskom, M. L. (2021). Seaborn: Statistical data visualization. Journal of Open Source Software, 6(60), 3021. https://doi.org/10.21105/joss.03021</w:t>
      </w:r>
    </w:p>
    <w:p w14:paraId="62B5EDE0" w14:textId="77777777" w:rsidR="00846656" w:rsidRPr="00A6659B" w:rsidRDefault="00846656" w:rsidP="00F86E7C">
      <w:pPr>
        <w:spacing w:after="0" w:line="276" w:lineRule="auto"/>
        <w:rPr>
          <w:rFonts w:ascii="Times New Roman" w:hAnsi="Times New Roman" w:cs="Times New Roman"/>
        </w:rPr>
      </w:pPr>
    </w:p>
    <w:p w14:paraId="05B363C4" w14:textId="77777777" w:rsidR="00846656" w:rsidRPr="00A6659B" w:rsidRDefault="00846656" w:rsidP="00F86E7C">
      <w:pPr>
        <w:spacing w:after="0" w:line="276" w:lineRule="auto"/>
        <w:rPr>
          <w:rFonts w:ascii="Times New Roman" w:hAnsi="Times New Roman" w:cs="Times New Roman"/>
        </w:rPr>
      </w:pPr>
    </w:p>
    <w:p w14:paraId="22892604" w14:textId="77777777" w:rsidR="00972084" w:rsidRPr="00A6659B" w:rsidRDefault="00000000" w:rsidP="00F86E7C">
      <w:pPr>
        <w:spacing w:after="0" w:line="276" w:lineRule="auto"/>
        <w:rPr>
          <w:rFonts w:ascii="Times New Roman" w:hAnsi="Times New Roman" w:cs="Times New Roman"/>
          <w:lang w:val="en-GH"/>
        </w:rPr>
      </w:pPr>
      <w:r w:rsidRPr="00A6659B">
        <w:rPr>
          <w:rFonts w:ascii="Times New Roman" w:hAnsi="Times New Roman" w:cs="Times New Roman"/>
          <w:lang w:val="en-GH"/>
        </w:rPr>
        <w:pict w14:anchorId="14B5EE71">
          <v:rect id="_x0000_i1025" style="width:0;height:1.5pt" o:hralign="center" o:hrstd="t" o:hr="t" fillcolor="#a0a0a0" stroked="f"/>
        </w:pict>
      </w:r>
    </w:p>
    <w:p w14:paraId="02842D71"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b/>
          <w:bCs/>
          <w:lang w:val="en-GH"/>
        </w:rPr>
        <w:t>REFERENCES (new sources cited in this chapter)</w:t>
      </w:r>
    </w:p>
    <w:p w14:paraId="23CFEE31"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Addae, E., &amp; Ackah, I. (2017). Inflation dynamics in pre and post deregulation era in Ghana: Do petroleum prices have any influence? MPRA Paper 77496. University Library of Munich. </w:t>
      </w:r>
      <w:hyperlink r:id="rId13" w:history="1">
        <w:r w:rsidRPr="00A6659B">
          <w:rPr>
            <w:rStyle w:val="Hyperlink"/>
            <w:rFonts w:ascii="Times New Roman" w:hAnsi="Times New Roman" w:cs="Times New Roman"/>
            <w:color w:val="auto"/>
            <w:lang w:val="en-GH"/>
          </w:rPr>
          <w:t>https://mpra.ub.uni-muenchen.de/77496/</w:t>
        </w:r>
      </w:hyperlink>
    </w:p>
    <w:p w14:paraId="7AF192BC"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Agyapong, J., Ayamga, E. A., &amp; Anyars, S. I. (2024). Forecasting the future: Applying Bayesian model averaging for exchange rates drivers in Ghana. Applied Economics. </w:t>
      </w:r>
      <w:hyperlink r:id="rId14" w:history="1">
        <w:r w:rsidRPr="00A6659B">
          <w:rPr>
            <w:rStyle w:val="Hyperlink"/>
            <w:rFonts w:ascii="Times New Roman" w:hAnsi="Times New Roman" w:cs="Times New Roman"/>
            <w:color w:val="auto"/>
            <w:lang w:val="en-GH"/>
          </w:rPr>
          <w:t>https://doi.org/10.1080/00036846.2024.2339188</w:t>
        </w:r>
      </w:hyperlink>
    </w:p>
    <w:p w14:paraId="20972B56"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Agyare, S., Odoi, B., &amp; Wiah, E. N. (2024). Predicting petrol and diesel prices in Ghana, a comparison of ARIMA and SARIMA models. Asian Journal of Economics, Business and Accounting, 24(5), 594–608. </w:t>
      </w:r>
      <w:hyperlink r:id="rId15" w:history="1">
        <w:r w:rsidRPr="00A6659B">
          <w:rPr>
            <w:rStyle w:val="Hyperlink"/>
            <w:rFonts w:ascii="Times New Roman" w:hAnsi="Times New Roman" w:cs="Times New Roman"/>
            <w:color w:val="auto"/>
            <w:lang w:val="en-GH"/>
          </w:rPr>
          <w:t>https://doi.org/10.9734/ajeba/2024/v24i51333</w:t>
        </w:r>
      </w:hyperlink>
    </w:p>
    <w:p w14:paraId="62665197"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Agyare, S., Odoi, B., &amp; Wiah, E. N. (2025). A hybrid price prediction model for diesel and gasoline in Ghana. Asian Journal of Probability and Statistics, 27(4), 1–16. </w:t>
      </w:r>
      <w:hyperlink r:id="rId16" w:history="1">
        <w:r w:rsidRPr="00A6659B">
          <w:rPr>
            <w:rStyle w:val="Hyperlink"/>
            <w:rFonts w:ascii="Times New Roman" w:hAnsi="Times New Roman" w:cs="Times New Roman"/>
            <w:color w:val="auto"/>
            <w:lang w:val="en-GH"/>
          </w:rPr>
          <w:t>https://doi.org/10.9734/ajpas/2025/v27i4735</w:t>
        </w:r>
      </w:hyperlink>
    </w:p>
    <w:p w14:paraId="0A54F569"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Ali, T. H., &amp; Saleh, D. M. (2023). The comparison between VAR and ARIMAX time series models in forecasting. Iraqi Journal of Statistical Sciences, 20(2), 249–262.</w:t>
      </w:r>
    </w:p>
    <w:p w14:paraId="785771AB"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Alom, F., Ward, B. D., &amp; Hu, B. (2013). Macroeconomic effects of world oil and food price shocks in Asia and Pacific economies: Application of SVAR models. OPEC Energy Review, 37(3), 327–372. </w:t>
      </w:r>
      <w:hyperlink r:id="rId17" w:history="1">
        <w:r w:rsidRPr="00A6659B">
          <w:rPr>
            <w:rStyle w:val="Hyperlink"/>
            <w:rFonts w:ascii="Times New Roman" w:hAnsi="Times New Roman" w:cs="Times New Roman"/>
            <w:color w:val="auto"/>
            <w:lang w:val="en-GH"/>
          </w:rPr>
          <w:t>https://doi.org/10.1111/opec.12015</w:t>
        </w:r>
      </w:hyperlink>
    </w:p>
    <w:p w14:paraId="4DB0939F"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Bawa, S., Abdullahi, I. S., &amp; Ibrahim, A. (2016). Analysis of inflation dynamics in Nigeria (1981–2015). CBN Journal of Applied Statistics, 7(1b), 255–276. </w:t>
      </w:r>
      <w:hyperlink r:id="rId18" w:history="1">
        <w:r w:rsidRPr="00A6659B">
          <w:rPr>
            <w:rStyle w:val="Hyperlink"/>
            <w:rFonts w:ascii="Times New Roman" w:hAnsi="Times New Roman" w:cs="Times New Roman"/>
            <w:color w:val="auto"/>
            <w:lang w:val="en-GH"/>
          </w:rPr>
          <w:t>https://dc.cbn.gov.ng/jas/vol7/iss1/12</w:t>
        </w:r>
      </w:hyperlink>
    </w:p>
    <w:p w14:paraId="0A1C2730"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Baumeister, C., &amp; Kilian, L. (2014). What central bankers need to know about forecasting oil prices. International Economic Review, 55(3), 869–889. </w:t>
      </w:r>
      <w:hyperlink r:id="rId19" w:history="1">
        <w:r w:rsidRPr="00A6659B">
          <w:rPr>
            <w:rStyle w:val="Hyperlink"/>
            <w:rFonts w:ascii="Times New Roman" w:hAnsi="Times New Roman" w:cs="Times New Roman"/>
            <w:color w:val="auto"/>
            <w:lang w:val="en-GH"/>
          </w:rPr>
          <w:t>https://doi.org/10.1111/iere.12074</w:t>
        </w:r>
      </w:hyperlink>
    </w:p>
    <w:p w14:paraId="7518098B"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Biu, O. E., Sylva, L., &amp; Onyebuchukwu, E. M. (2024). Comparison of ARIMA and ARIMAX model forecasts of monthly sales of four petroleum products in Nigeria. International Journal of Innovative Mathematics, Statistics &amp; Energy Policies, 12(3), 1–21.</w:t>
      </w:r>
    </w:p>
    <w:p w14:paraId="363300AC"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lastRenderedPageBreak/>
        <w:t>Box, G. E. P., &amp; Jenkins, G. M. (1970). Time series analysis: Forecasting and control. Holden-Day.</w:t>
      </w:r>
    </w:p>
    <w:p w14:paraId="5DADA4F8"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Gasper, L., &amp; Mbwambo, H. (2023). Forecasting crude oil prices by using ARIMA model: Evidence from Tanzania. Journal of Accounting Finance and Auditing Studies, 9(2), 158–175. </w:t>
      </w:r>
      <w:hyperlink r:id="rId20" w:history="1">
        <w:r w:rsidRPr="00A6659B">
          <w:rPr>
            <w:rStyle w:val="Hyperlink"/>
            <w:rFonts w:ascii="Times New Roman" w:hAnsi="Times New Roman" w:cs="Times New Roman"/>
            <w:color w:val="auto"/>
            <w:lang w:val="en-GH"/>
          </w:rPr>
          <w:t>https://doi.org/10.32602/jafas.2023.017</w:t>
        </w:r>
      </w:hyperlink>
    </w:p>
    <w:p w14:paraId="699E99CE"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Hamilton, J. D. (2009). Causes and consequences of the oil shock of 2007–08. Brookings Papers on Economic Activity, Spring 2009, 215–261. </w:t>
      </w:r>
      <w:hyperlink r:id="rId21" w:history="1">
        <w:r w:rsidRPr="00A6659B">
          <w:rPr>
            <w:rStyle w:val="Hyperlink"/>
            <w:rFonts w:ascii="Times New Roman" w:hAnsi="Times New Roman" w:cs="Times New Roman"/>
            <w:color w:val="auto"/>
            <w:lang w:val="en-GH"/>
          </w:rPr>
          <w:t>https://www.brookings.edu/bpea-articles/causes-and-consequences-of-the-oil-shock-of-2007-08</w:t>
        </w:r>
      </w:hyperlink>
    </w:p>
    <w:p w14:paraId="047F5A44"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Jammazi, R., &amp; Aloui, C. (2012). Crude oil price forecasting: Experimental evidence from wavelet decomposition and neural network modeling. Energy Economics, 34(3), 828–841. </w:t>
      </w:r>
      <w:hyperlink r:id="rId22" w:history="1">
        <w:r w:rsidRPr="00A6659B">
          <w:rPr>
            <w:rStyle w:val="Hyperlink"/>
            <w:rFonts w:ascii="Times New Roman" w:hAnsi="Times New Roman" w:cs="Times New Roman"/>
            <w:color w:val="auto"/>
            <w:lang w:val="en-GH"/>
          </w:rPr>
          <w:t>https://doi.org/10.1016/j.eneco.2011.07.018</w:t>
        </w:r>
      </w:hyperlink>
    </w:p>
    <w:p w14:paraId="24B6A1CB"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Kilian, L. (2009). Not all oil price shocks are alike: Disentangling demand and supply shocks in the crude oil market. American Economic Review, 99(3), 1053–1069. </w:t>
      </w:r>
      <w:hyperlink r:id="rId23" w:history="1">
        <w:r w:rsidRPr="00A6659B">
          <w:rPr>
            <w:rStyle w:val="Hyperlink"/>
            <w:rFonts w:ascii="Times New Roman" w:hAnsi="Times New Roman" w:cs="Times New Roman"/>
            <w:color w:val="auto"/>
            <w:lang w:val="en-GH"/>
          </w:rPr>
          <w:t>https://doi.org/10.1257/aer.99.3.1053</w:t>
        </w:r>
      </w:hyperlink>
    </w:p>
    <w:p w14:paraId="0D69C057"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 xml:space="preserve">National Petroleum Authority. (2023). Petroleum pricing formula regulations (L.I. 2186). National Petroleum Authority. </w:t>
      </w:r>
      <w:hyperlink r:id="rId24" w:history="1">
        <w:r w:rsidRPr="00A6659B">
          <w:rPr>
            <w:rStyle w:val="Hyperlink"/>
            <w:rFonts w:ascii="Times New Roman" w:hAnsi="Times New Roman" w:cs="Times New Roman"/>
            <w:color w:val="auto"/>
            <w:lang w:val="en-GH"/>
          </w:rPr>
          <w:t>https://npa.gov.gh/wp-content/uploads/2023/09/Petroleum-Pricing-Formula-Regulations-LI-2186-1.pdf</w:t>
        </w:r>
      </w:hyperlink>
    </w:p>
    <w:p w14:paraId="2D048A0C" w14:textId="77777777" w:rsidR="00972084" w:rsidRPr="00A6659B" w:rsidRDefault="00972084" w:rsidP="00F86E7C">
      <w:pPr>
        <w:spacing w:after="0" w:line="276" w:lineRule="auto"/>
        <w:rPr>
          <w:rFonts w:ascii="Times New Roman" w:hAnsi="Times New Roman" w:cs="Times New Roman"/>
          <w:lang w:val="en-GH"/>
        </w:rPr>
      </w:pPr>
      <w:r w:rsidRPr="00A6659B">
        <w:rPr>
          <w:rFonts w:ascii="Times New Roman" w:hAnsi="Times New Roman" w:cs="Times New Roman"/>
          <w:lang w:val="en-GH"/>
        </w:rPr>
        <w:t>Okyere, F. (2012). Modelling and forecasting monthly petroleum prices of Ghana using subset ARIMA models [Bachelor's thesis]. GRIN Verlag.</w:t>
      </w:r>
    </w:p>
    <w:p w14:paraId="5C8CE5E6" w14:textId="2230A9EE" w:rsidR="004E7516" w:rsidRPr="00A6659B" w:rsidRDefault="00972084" w:rsidP="00F86E7C">
      <w:pPr>
        <w:spacing w:after="0" w:line="276" w:lineRule="auto"/>
        <w:rPr>
          <w:rFonts w:ascii="Times New Roman" w:hAnsi="Times New Roman" w:cs="Times New Roman"/>
        </w:rPr>
      </w:pPr>
      <w:r w:rsidRPr="00A6659B">
        <w:rPr>
          <w:rFonts w:ascii="Times New Roman" w:hAnsi="Times New Roman" w:cs="Times New Roman"/>
          <w:lang w:val="en-GH"/>
        </w:rPr>
        <w:t xml:space="preserve">Sims, C. A. (1980). Macroeconomics and reality. Econometrica, 48(1), 1–48. </w:t>
      </w:r>
      <w:hyperlink r:id="rId25" w:history="1">
        <w:r w:rsidRPr="00A6659B">
          <w:rPr>
            <w:rStyle w:val="Hyperlink"/>
            <w:rFonts w:ascii="Times New Roman" w:hAnsi="Times New Roman" w:cs="Times New Roman"/>
            <w:color w:val="auto"/>
            <w:lang w:val="en-GH"/>
          </w:rPr>
          <w:t>https://doi.org/10.2307/1912017</w:t>
        </w:r>
      </w:hyperlink>
    </w:p>
    <w:sectPr w:rsidR="004E7516" w:rsidRPr="00A6659B" w:rsidSect="00004A5A">
      <w:footerReference w:type="default" r:id="rId2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807DF0" w14:textId="77777777" w:rsidR="002539B2" w:rsidRDefault="002539B2" w:rsidP="00F92172">
      <w:pPr>
        <w:spacing w:after="0" w:line="240" w:lineRule="auto"/>
      </w:pPr>
      <w:r>
        <w:separator/>
      </w:r>
    </w:p>
  </w:endnote>
  <w:endnote w:type="continuationSeparator" w:id="0">
    <w:p w14:paraId="25AD7F38" w14:textId="77777777" w:rsidR="002539B2" w:rsidRDefault="002539B2" w:rsidP="00F921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0675352"/>
      <w:docPartObj>
        <w:docPartGallery w:val="Page Numbers (Bottom of Page)"/>
        <w:docPartUnique/>
      </w:docPartObj>
    </w:sdtPr>
    <w:sdtEndPr>
      <w:rPr>
        <w:noProof/>
      </w:rPr>
    </w:sdtEndPr>
    <w:sdtContent>
      <w:p w14:paraId="0C72C116" w14:textId="5FAD8A38" w:rsidR="00004A5A" w:rsidRDefault="00004A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DCF346" w14:textId="77777777" w:rsidR="00F92172" w:rsidRDefault="00F921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14A1F" w14:textId="77777777" w:rsidR="002539B2" w:rsidRDefault="002539B2" w:rsidP="00F92172">
      <w:pPr>
        <w:spacing w:after="0" w:line="240" w:lineRule="auto"/>
      </w:pPr>
      <w:r>
        <w:separator/>
      </w:r>
    </w:p>
  </w:footnote>
  <w:footnote w:type="continuationSeparator" w:id="0">
    <w:p w14:paraId="384A3D93" w14:textId="77777777" w:rsidR="002539B2" w:rsidRDefault="002539B2" w:rsidP="00F921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341"/>
    <w:multiLevelType w:val="multilevel"/>
    <w:tmpl w:val="4D02DED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8FC6DDB"/>
    <w:multiLevelType w:val="multilevel"/>
    <w:tmpl w:val="6916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437FF"/>
    <w:multiLevelType w:val="multilevel"/>
    <w:tmpl w:val="4DC28F96"/>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099B2DFE"/>
    <w:multiLevelType w:val="multilevel"/>
    <w:tmpl w:val="304AD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E2702"/>
    <w:multiLevelType w:val="multilevel"/>
    <w:tmpl w:val="C7B857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55167AD"/>
    <w:multiLevelType w:val="multilevel"/>
    <w:tmpl w:val="32009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091"/>
    <w:multiLevelType w:val="multilevel"/>
    <w:tmpl w:val="02F24F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FEE2D00"/>
    <w:multiLevelType w:val="multilevel"/>
    <w:tmpl w:val="0CFC99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20CB31BA"/>
    <w:multiLevelType w:val="multilevel"/>
    <w:tmpl w:val="006811F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23204100"/>
    <w:multiLevelType w:val="multilevel"/>
    <w:tmpl w:val="2FF2D8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78A1DD4"/>
    <w:multiLevelType w:val="multilevel"/>
    <w:tmpl w:val="DAE2B9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8062FBA"/>
    <w:multiLevelType w:val="multilevel"/>
    <w:tmpl w:val="CD12BC6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D167098"/>
    <w:multiLevelType w:val="multilevel"/>
    <w:tmpl w:val="334423A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2E4C4303"/>
    <w:multiLevelType w:val="multilevel"/>
    <w:tmpl w:val="2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15:restartNumberingAfterBreak="0">
    <w:nsid w:val="33034548"/>
    <w:multiLevelType w:val="multilevel"/>
    <w:tmpl w:val="E8DCF3BE"/>
    <w:lvl w:ilvl="0">
      <w:start w:val="1"/>
      <w:numFmt w:val="decimal"/>
      <w:lvlText w:val="%1."/>
      <w:lvlJc w:val="left"/>
      <w:pPr>
        <w:ind w:left="720" w:hanging="360"/>
      </w:pPr>
    </w:lvl>
    <w:lvl w:ilvl="1">
      <w:start w:val="3"/>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8A53E8B"/>
    <w:multiLevelType w:val="multilevel"/>
    <w:tmpl w:val="6DE0C1D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3BD04CE7"/>
    <w:multiLevelType w:val="multilevel"/>
    <w:tmpl w:val="232A4F7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C095BA4"/>
    <w:multiLevelType w:val="multilevel"/>
    <w:tmpl w:val="9A761E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312455C"/>
    <w:multiLevelType w:val="multilevel"/>
    <w:tmpl w:val="CA883D4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FA11A64"/>
    <w:multiLevelType w:val="multilevel"/>
    <w:tmpl w:val="6674DC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00232DA"/>
    <w:multiLevelType w:val="multilevel"/>
    <w:tmpl w:val="D3A0242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502F5C67"/>
    <w:multiLevelType w:val="multilevel"/>
    <w:tmpl w:val="FEEC434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65A0CCA"/>
    <w:multiLevelType w:val="multilevel"/>
    <w:tmpl w:val="4588DF1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7337E33"/>
    <w:multiLevelType w:val="multilevel"/>
    <w:tmpl w:val="D6DA0BD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57F228EA"/>
    <w:multiLevelType w:val="multilevel"/>
    <w:tmpl w:val="79CE4B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5E360BDA"/>
    <w:multiLevelType w:val="multilevel"/>
    <w:tmpl w:val="96B04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FC00232"/>
    <w:multiLevelType w:val="multilevel"/>
    <w:tmpl w:val="1A40475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60782753"/>
    <w:multiLevelType w:val="multilevel"/>
    <w:tmpl w:val="17B01A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5134F82"/>
    <w:multiLevelType w:val="multilevel"/>
    <w:tmpl w:val="3EC8D38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690832AD"/>
    <w:multiLevelType w:val="multilevel"/>
    <w:tmpl w:val="1220BDA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6B8A4FF5"/>
    <w:multiLevelType w:val="multilevel"/>
    <w:tmpl w:val="370EA0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1" w15:restartNumberingAfterBreak="0">
    <w:nsid w:val="6C0F49F4"/>
    <w:multiLevelType w:val="multilevel"/>
    <w:tmpl w:val="01EE64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6D2870BC"/>
    <w:multiLevelType w:val="multilevel"/>
    <w:tmpl w:val="7032B44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3" w15:restartNumberingAfterBreak="0">
    <w:nsid w:val="73C93114"/>
    <w:multiLevelType w:val="multilevel"/>
    <w:tmpl w:val="C5305B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CB571E5"/>
    <w:multiLevelType w:val="multilevel"/>
    <w:tmpl w:val="DB1A31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343898999">
    <w:abstractNumId w:val="25"/>
  </w:num>
  <w:num w:numId="2" w16cid:durableId="1900094933">
    <w:abstractNumId w:val="5"/>
  </w:num>
  <w:num w:numId="3" w16cid:durableId="1765958862">
    <w:abstractNumId w:val="1"/>
  </w:num>
  <w:num w:numId="4" w16cid:durableId="759955608">
    <w:abstractNumId w:val="3"/>
  </w:num>
  <w:num w:numId="5" w16cid:durableId="1229265035">
    <w:abstractNumId w:val="14"/>
  </w:num>
  <w:num w:numId="6" w16cid:durableId="1237202543">
    <w:abstractNumId w:val="0"/>
  </w:num>
  <w:num w:numId="7" w16cid:durableId="718162324">
    <w:abstractNumId w:val="30"/>
  </w:num>
  <w:num w:numId="8" w16cid:durableId="1386368997">
    <w:abstractNumId w:val="19"/>
  </w:num>
  <w:num w:numId="9" w16cid:durableId="1040083056">
    <w:abstractNumId w:val="24"/>
  </w:num>
  <w:num w:numId="10" w16cid:durableId="1217162461">
    <w:abstractNumId w:val="12"/>
  </w:num>
  <w:num w:numId="11" w16cid:durableId="1643539557">
    <w:abstractNumId w:val="16"/>
  </w:num>
  <w:num w:numId="12" w16cid:durableId="446897912">
    <w:abstractNumId w:val="23"/>
  </w:num>
  <w:num w:numId="13" w16cid:durableId="208080787">
    <w:abstractNumId w:val="11"/>
  </w:num>
  <w:num w:numId="14" w16cid:durableId="1534073199">
    <w:abstractNumId w:val="27"/>
  </w:num>
  <w:num w:numId="15" w16cid:durableId="1074544190">
    <w:abstractNumId w:val="9"/>
  </w:num>
  <w:num w:numId="16" w16cid:durableId="496387069">
    <w:abstractNumId w:val="34"/>
  </w:num>
  <w:num w:numId="17" w16cid:durableId="1565483355">
    <w:abstractNumId w:val="15"/>
  </w:num>
  <w:num w:numId="18" w16cid:durableId="1726445676">
    <w:abstractNumId w:val="6"/>
  </w:num>
  <w:num w:numId="19" w16cid:durableId="1877964968">
    <w:abstractNumId w:val="2"/>
  </w:num>
  <w:num w:numId="20" w16cid:durableId="100493932">
    <w:abstractNumId w:val="32"/>
  </w:num>
  <w:num w:numId="21" w16cid:durableId="2007635562">
    <w:abstractNumId w:val="32"/>
    <w:lvlOverride w:ilvl="0">
      <w:lvl w:ilvl="0">
        <w:start w:val="1"/>
        <w:numFmt w:val="decimal"/>
        <w:lvlText w:val="%1"/>
        <w:lvlJc w:val="left"/>
        <w:pPr>
          <w:ind w:left="432" w:hanging="432"/>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2" w16cid:durableId="157382355">
    <w:abstractNumId w:val="21"/>
  </w:num>
  <w:num w:numId="23" w16cid:durableId="917714419">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7869313">
    <w:abstractNumId w:val="33"/>
  </w:num>
  <w:num w:numId="25" w16cid:durableId="36242150">
    <w:abstractNumId w:val="31"/>
  </w:num>
  <w:num w:numId="26" w16cid:durableId="1988048793">
    <w:abstractNumId w:val="7"/>
  </w:num>
  <w:num w:numId="27" w16cid:durableId="1860850495">
    <w:abstractNumId w:val="29"/>
  </w:num>
  <w:num w:numId="28" w16cid:durableId="23412233">
    <w:abstractNumId w:val="10"/>
  </w:num>
  <w:num w:numId="29" w16cid:durableId="1990669305">
    <w:abstractNumId w:val="4"/>
  </w:num>
  <w:num w:numId="30" w16cid:durableId="1379167033">
    <w:abstractNumId w:val="18"/>
  </w:num>
  <w:num w:numId="31" w16cid:durableId="1604337460">
    <w:abstractNumId w:val="26"/>
  </w:num>
  <w:num w:numId="32" w16cid:durableId="968432628">
    <w:abstractNumId w:val="8"/>
  </w:num>
  <w:num w:numId="33" w16cid:durableId="1166433021">
    <w:abstractNumId w:val="22"/>
  </w:num>
  <w:num w:numId="34" w16cid:durableId="2072149469">
    <w:abstractNumId w:val="20"/>
  </w:num>
  <w:num w:numId="35" w16cid:durableId="888537542">
    <w:abstractNumId w:val="17"/>
  </w:num>
  <w:num w:numId="36" w16cid:durableId="276909984">
    <w:abstractNumId w:val="28"/>
  </w:num>
  <w:num w:numId="37" w16cid:durableId="10977517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548"/>
    <w:rsid w:val="00004A5A"/>
    <w:rsid w:val="000631D5"/>
    <w:rsid w:val="00076B85"/>
    <w:rsid w:val="000C21A2"/>
    <w:rsid w:val="000C4E72"/>
    <w:rsid w:val="000C56F3"/>
    <w:rsid w:val="000C7455"/>
    <w:rsid w:val="000D3E20"/>
    <w:rsid w:val="00104A6C"/>
    <w:rsid w:val="00110935"/>
    <w:rsid w:val="00122548"/>
    <w:rsid w:val="001469AE"/>
    <w:rsid w:val="001A2E14"/>
    <w:rsid w:val="001D1E58"/>
    <w:rsid w:val="001E3AB1"/>
    <w:rsid w:val="001F157C"/>
    <w:rsid w:val="00236BF7"/>
    <w:rsid w:val="002539B2"/>
    <w:rsid w:val="002B5B98"/>
    <w:rsid w:val="002C1CBF"/>
    <w:rsid w:val="0031522E"/>
    <w:rsid w:val="00353CFE"/>
    <w:rsid w:val="00356B99"/>
    <w:rsid w:val="00377B38"/>
    <w:rsid w:val="00382503"/>
    <w:rsid w:val="003A65C8"/>
    <w:rsid w:val="003B485B"/>
    <w:rsid w:val="00402CB0"/>
    <w:rsid w:val="004946AB"/>
    <w:rsid w:val="004A5F81"/>
    <w:rsid w:val="004E1758"/>
    <w:rsid w:val="004E7516"/>
    <w:rsid w:val="00521DF8"/>
    <w:rsid w:val="00525242"/>
    <w:rsid w:val="0055045D"/>
    <w:rsid w:val="005A00A2"/>
    <w:rsid w:val="005A62C6"/>
    <w:rsid w:val="005B260D"/>
    <w:rsid w:val="005C045F"/>
    <w:rsid w:val="005E49CB"/>
    <w:rsid w:val="006174C4"/>
    <w:rsid w:val="006437C4"/>
    <w:rsid w:val="00650975"/>
    <w:rsid w:val="00651913"/>
    <w:rsid w:val="00657DBF"/>
    <w:rsid w:val="0066316A"/>
    <w:rsid w:val="006835EF"/>
    <w:rsid w:val="00686C89"/>
    <w:rsid w:val="006A4F7F"/>
    <w:rsid w:val="006E30E9"/>
    <w:rsid w:val="006F30AF"/>
    <w:rsid w:val="007171D4"/>
    <w:rsid w:val="007655CA"/>
    <w:rsid w:val="00774EDC"/>
    <w:rsid w:val="00780AC0"/>
    <w:rsid w:val="007B74BF"/>
    <w:rsid w:val="007C19DE"/>
    <w:rsid w:val="007D6D59"/>
    <w:rsid w:val="007D7362"/>
    <w:rsid w:val="00846656"/>
    <w:rsid w:val="00913F2D"/>
    <w:rsid w:val="00917FBB"/>
    <w:rsid w:val="00935FF0"/>
    <w:rsid w:val="00945E4B"/>
    <w:rsid w:val="00950CF6"/>
    <w:rsid w:val="00972084"/>
    <w:rsid w:val="009E1B88"/>
    <w:rsid w:val="00A0696F"/>
    <w:rsid w:val="00A24D29"/>
    <w:rsid w:val="00A6659B"/>
    <w:rsid w:val="00A8494F"/>
    <w:rsid w:val="00A931AC"/>
    <w:rsid w:val="00AB3706"/>
    <w:rsid w:val="00AC2D58"/>
    <w:rsid w:val="00AE20F9"/>
    <w:rsid w:val="00B019DD"/>
    <w:rsid w:val="00B212A6"/>
    <w:rsid w:val="00B45F96"/>
    <w:rsid w:val="00B65FFB"/>
    <w:rsid w:val="00B93194"/>
    <w:rsid w:val="00B9414B"/>
    <w:rsid w:val="00BA512D"/>
    <w:rsid w:val="00BF2493"/>
    <w:rsid w:val="00BF3BB8"/>
    <w:rsid w:val="00BF63CA"/>
    <w:rsid w:val="00C131EA"/>
    <w:rsid w:val="00C15FB9"/>
    <w:rsid w:val="00C34D8D"/>
    <w:rsid w:val="00C42104"/>
    <w:rsid w:val="00CF1CE2"/>
    <w:rsid w:val="00D13C10"/>
    <w:rsid w:val="00D560EC"/>
    <w:rsid w:val="00D83A5B"/>
    <w:rsid w:val="00DB7D75"/>
    <w:rsid w:val="00DE6BD3"/>
    <w:rsid w:val="00DF0BCF"/>
    <w:rsid w:val="00E06EEB"/>
    <w:rsid w:val="00E1458D"/>
    <w:rsid w:val="00E611B9"/>
    <w:rsid w:val="00E822D2"/>
    <w:rsid w:val="00E86094"/>
    <w:rsid w:val="00EC4984"/>
    <w:rsid w:val="00F12B59"/>
    <w:rsid w:val="00F7112B"/>
    <w:rsid w:val="00F86E7C"/>
    <w:rsid w:val="00F92172"/>
    <w:rsid w:val="00FA38F4"/>
    <w:rsid w:val="00FB1C0A"/>
    <w:rsid w:val="00FF7E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9F70"/>
  <w15:chartTrackingRefBased/>
  <w15:docId w15:val="{5212D3D0-8357-4627-BAA3-C038CA098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2548"/>
    <w:pPr>
      <w:keepNext/>
      <w:keepLines/>
      <w:numPr>
        <w:numId w:val="37"/>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2548"/>
    <w:pPr>
      <w:keepNext/>
      <w:keepLines/>
      <w:numPr>
        <w:ilvl w:val="1"/>
        <w:numId w:val="37"/>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2548"/>
    <w:pPr>
      <w:keepNext/>
      <w:keepLines/>
      <w:numPr>
        <w:ilvl w:val="2"/>
        <w:numId w:val="37"/>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2548"/>
    <w:pPr>
      <w:keepNext/>
      <w:keepLines/>
      <w:numPr>
        <w:ilvl w:val="3"/>
        <w:numId w:val="37"/>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2548"/>
    <w:pPr>
      <w:keepNext/>
      <w:keepLines/>
      <w:numPr>
        <w:ilvl w:val="4"/>
        <w:numId w:val="37"/>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2548"/>
    <w:pPr>
      <w:keepNext/>
      <w:keepLines/>
      <w:numPr>
        <w:ilvl w:val="5"/>
        <w:numId w:val="3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548"/>
    <w:pPr>
      <w:keepNext/>
      <w:keepLines/>
      <w:numPr>
        <w:ilvl w:val="6"/>
        <w:numId w:val="3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548"/>
    <w:pPr>
      <w:keepNext/>
      <w:keepLines/>
      <w:numPr>
        <w:ilvl w:val="7"/>
        <w:numId w:val="3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548"/>
    <w:pPr>
      <w:keepNext/>
      <w:keepLines/>
      <w:numPr>
        <w:ilvl w:val="8"/>
        <w:numId w:val="3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5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25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25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25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25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25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5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5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548"/>
    <w:rPr>
      <w:rFonts w:eastAsiaTheme="majorEastAsia" w:cstheme="majorBidi"/>
      <w:color w:val="272727" w:themeColor="text1" w:themeTint="D8"/>
    </w:rPr>
  </w:style>
  <w:style w:type="paragraph" w:styleId="Title">
    <w:name w:val="Title"/>
    <w:basedOn w:val="Normal"/>
    <w:next w:val="Normal"/>
    <w:link w:val="TitleChar"/>
    <w:uiPriority w:val="10"/>
    <w:qFormat/>
    <w:rsid w:val="001225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5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5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5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548"/>
    <w:pPr>
      <w:spacing w:before="160"/>
      <w:jc w:val="center"/>
    </w:pPr>
    <w:rPr>
      <w:i/>
      <w:iCs/>
      <w:color w:val="404040" w:themeColor="text1" w:themeTint="BF"/>
    </w:rPr>
  </w:style>
  <w:style w:type="character" w:customStyle="1" w:styleId="QuoteChar">
    <w:name w:val="Quote Char"/>
    <w:basedOn w:val="DefaultParagraphFont"/>
    <w:link w:val="Quote"/>
    <w:uiPriority w:val="29"/>
    <w:rsid w:val="00122548"/>
    <w:rPr>
      <w:i/>
      <w:iCs/>
      <w:color w:val="404040" w:themeColor="text1" w:themeTint="BF"/>
    </w:rPr>
  </w:style>
  <w:style w:type="paragraph" w:styleId="ListParagraph">
    <w:name w:val="List Paragraph"/>
    <w:basedOn w:val="Normal"/>
    <w:uiPriority w:val="34"/>
    <w:qFormat/>
    <w:rsid w:val="00122548"/>
    <w:pPr>
      <w:ind w:left="720"/>
      <w:contextualSpacing/>
    </w:pPr>
  </w:style>
  <w:style w:type="character" w:styleId="IntenseEmphasis">
    <w:name w:val="Intense Emphasis"/>
    <w:basedOn w:val="DefaultParagraphFont"/>
    <w:uiPriority w:val="21"/>
    <w:qFormat/>
    <w:rsid w:val="00122548"/>
    <w:rPr>
      <w:i/>
      <w:iCs/>
      <w:color w:val="0F4761" w:themeColor="accent1" w:themeShade="BF"/>
    </w:rPr>
  </w:style>
  <w:style w:type="paragraph" w:styleId="IntenseQuote">
    <w:name w:val="Intense Quote"/>
    <w:basedOn w:val="Normal"/>
    <w:next w:val="Normal"/>
    <w:link w:val="IntenseQuoteChar"/>
    <w:uiPriority w:val="30"/>
    <w:qFormat/>
    <w:rsid w:val="001225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2548"/>
    <w:rPr>
      <w:i/>
      <w:iCs/>
      <w:color w:val="0F4761" w:themeColor="accent1" w:themeShade="BF"/>
    </w:rPr>
  </w:style>
  <w:style w:type="character" w:styleId="IntenseReference">
    <w:name w:val="Intense Reference"/>
    <w:basedOn w:val="DefaultParagraphFont"/>
    <w:uiPriority w:val="32"/>
    <w:qFormat/>
    <w:rsid w:val="00122548"/>
    <w:rPr>
      <w:b/>
      <w:bCs/>
      <w:smallCaps/>
      <w:color w:val="0F4761" w:themeColor="accent1" w:themeShade="BF"/>
      <w:spacing w:val="5"/>
    </w:rPr>
  </w:style>
  <w:style w:type="paragraph" w:styleId="NormalWeb">
    <w:name w:val="Normal (Web)"/>
    <w:basedOn w:val="Normal"/>
    <w:uiPriority w:val="99"/>
    <w:semiHidden/>
    <w:unhideWhenUsed/>
    <w:rsid w:val="00AE20F9"/>
    <w:rPr>
      <w:rFonts w:ascii="Times New Roman" w:hAnsi="Times New Roman" w:cs="Times New Roman"/>
    </w:rPr>
  </w:style>
  <w:style w:type="paragraph" w:styleId="Header">
    <w:name w:val="header"/>
    <w:basedOn w:val="Normal"/>
    <w:link w:val="HeaderChar"/>
    <w:uiPriority w:val="99"/>
    <w:unhideWhenUsed/>
    <w:rsid w:val="00F921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2172"/>
  </w:style>
  <w:style w:type="paragraph" w:styleId="Footer">
    <w:name w:val="footer"/>
    <w:basedOn w:val="Normal"/>
    <w:link w:val="FooterChar"/>
    <w:uiPriority w:val="99"/>
    <w:unhideWhenUsed/>
    <w:rsid w:val="00F921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2172"/>
  </w:style>
  <w:style w:type="table" w:styleId="TableGrid">
    <w:name w:val="Table Grid"/>
    <w:basedOn w:val="TableNormal"/>
    <w:uiPriority w:val="39"/>
    <w:rsid w:val="007171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004A5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004A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004A5A"/>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NoSpacing">
    <w:name w:val="No Spacing"/>
    <w:link w:val="NoSpacingChar"/>
    <w:uiPriority w:val="1"/>
    <w:qFormat/>
    <w:rsid w:val="00004A5A"/>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004A5A"/>
    <w:rPr>
      <w:rFonts w:eastAsiaTheme="minorEastAsia"/>
      <w:kern w:val="0"/>
      <w:sz w:val="22"/>
      <w:szCs w:val="22"/>
      <w14:ligatures w14:val="none"/>
    </w:rPr>
  </w:style>
  <w:style w:type="character" w:styleId="Hyperlink">
    <w:name w:val="Hyperlink"/>
    <w:basedOn w:val="DefaultParagraphFont"/>
    <w:uiPriority w:val="99"/>
    <w:unhideWhenUsed/>
    <w:rsid w:val="00972084"/>
    <w:rPr>
      <w:color w:val="467886" w:themeColor="hyperlink"/>
      <w:u w:val="single"/>
    </w:rPr>
  </w:style>
  <w:style w:type="character" w:styleId="UnresolvedMention">
    <w:name w:val="Unresolved Mention"/>
    <w:basedOn w:val="DefaultParagraphFont"/>
    <w:uiPriority w:val="99"/>
    <w:semiHidden/>
    <w:unhideWhenUsed/>
    <w:rsid w:val="009720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mpra.ub.uni-muenchen.de/77496/" TargetMode="External"/><Relationship Id="rId18" Type="http://schemas.openxmlformats.org/officeDocument/2006/relationships/hyperlink" Target="https://dc.cbn.gov.ng/jas/vol7/iss1/12"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brookings.edu/bpea-articles/causes-and-consequences-of-the-oil-shock-of-2007-08"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doi.org/10.1111/opec.12015" TargetMode="External"/><Relationship Id="rId25" Type="http://schemas.openxmlformats.org/officeDocument/2006/relationships/hyperlink" Target="https://doi.org/10.2307/1912017" TargetMode="External"/><Relationship Id="rId2" Type="http://schemas.openxmlformats.org/officeDocument/2006/relationships/customXml" Target="../customXml/item2.xml"/><Relationship Id="rId16" Type="http://schemas.openxmlformats.org/officeDocument/2006/relationships/hyperlink" Target="https://doi.org/10.9734/ajpas/2025/v27i4735" TargetMode="External"/><Relationship Id="rId20" Type="http://schemas.openxmlformats.org/officeDocument/2006/relationships/hyperlink" Target="https://doi.org/10.32602/jafas.2023.01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npa.gov.gh/wp-content/uploads/2023/09/Petroleum-Pricing-Formula-Regulations-LI-2186-1.pdf" TargetMode="External"/><Relationship Id="rId5" Type="http://schemas.openxmlformats.org/officeDocument/2006/relationships/numbering" Target="numbering.xml"/><Relationship Id="rId15" Type="http://schemas.openxmlformats.org/officeDocument/2006/relationships/hyperlink" Target="https://doi.org/10.9734/ajeba/2024/v24i51333" TargetMode="External"/><Relationship Id="rId23" Type="http://schemas.openxmlformats.org/officeDocument/2006/relationships/hyperlink" Target="https://doi.org/10.1257/aer.99.3.1053"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i.org/10.1111/iere.120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080/00036846.2024.2339188" TargetMode="External"/><Relationship Id="rId22" Type="http://schemas.openxmlformats.org/officeDocument/2006/relationships/hyperlink" Target="https://doi.org/10.1016/j.eneco.2011.07.018"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9A79401FCA20B48BC2D5BC3B4486ECB" ma:contentTypeVersion="10" ma:contentTypeDescription="Create a new document." ma:contentTypeScope="" ma:versionID="70af42405b8a534e5b54171e7be91a3d">
  <xsd:schema xmlns:xsd="http://www.w3.org/2001/XMLSchema" xmlns:xs="http://www.w3.org/2001/XMLSchema" xmlns:p="http://schemas.microsoft.com/office/2006/metadata/properties" xmlns:ns3="919c896f-2556-40fa-a2e5-a327a5cfdc9b" targetNamespace="http://schemas.microsoft.com/office/2006/metadata/properties" ma:root="true" ma:fieldsID="4271f00df38a4456bc8ee7a19ba00849" ns3:_="">
    <xsd:import namespace="919c896f-2556-40fa-a2e5-a327a5cfdc9b"/>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9c896f-2556-40fa-a2e5-a327a5cfdc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9392C20-DE12-4B8A-B1B1-BC4E0A96A4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9c896f-2556-40fa-a2e5-a327a5cfdc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11A9490-CDDD-44CC-B042-3560735403CA}">
  <ds:schemaRefs>
    <ds:schemaRef ds:uri="http://schemas.microsoft.com/sharepoint/v3/contenttype/forms"/>
  </ds:schemaRefs>
</ds:datastoreItem>
</file>

<file path=customXml/itemProps3.xml><?xml version="1.0" encoding="utf-8"?>
<ds:datastoreItem xmlns:ds="http://schemas.openxmlformats.org/officeDocument/2006/customXml" ds:itemID="{5F6D3DD5-5BB6-44E0-B634-0CA747C695F3}">
  <ds:schemaRefs>
    <ds:schemaRef ds:uri="http://schemas.openxmlformats.org/officeDocument/2006/bibliography"/>
  </ds:schemaRefs>
</ds:datastoreItem>
</file>

<file path=customXml/itemProps4.xml><?xml version="1.0" encoding="utf-8"?>
<ds:datastoreItem xmlns:ds="http://schemas.openxmlformats.org/officeDocument/2006/customXml" ds:itemID="{DE667BEA-8480-46C5-AE16-7FDBEAF6475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760</TotalTime>
  <Pages>19</Pages>
  <Words>7650</Words>
  <Characters>43605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Adams Emmanuel Paddy</dc:creator>
  <cp:keywords/>
  <dc:description/>
  <cp:lastModifiedBy>Adams Emmanuel Paddy</cp:lastModifiedBy>
  <cp:revision>1</cp:revision>
  <dcterms:created xsi:type="dcterms:W3CDTF">2026-06-30T09:11:00Z</dcterms:created>
  <dcterms:modified xsi:type="dcterms:W3CDTF">2026-07-18T20:58:00Z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db45a2f2-db53-498b-bc8a-1a363da63c00</vt:lpwstr>
  </property>
  <property fmtid="{D5CDD505-2E9C-101B-9397-08002B2CF9AE}" pid="3" name="ContentTypeId">
    <vt:lpwstr>0x01010069A79401FCA20B48BC2D5BC3B4486ECB</vt:lpwstr>
  </property>
</Properties>
</file>