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C156D" w14:textId="77777777" w:rsidR="00122548" w:rsidRPr="00122548" w:rsidRDefault="00122548" w:rsidP="00122548">
      <w:pPr>
        <w:rPr>
          <w:rFonts w:ascii="Times New Roman" w:hAnsi="Times New Roman" w:cs="Times New Roman"/>
          <w:b/>
          <w:bCs/>
        </w:rPr>
      </w:pPr>
      <w:r w:rsidRPr="00122548">
        <w:rPr>
          <w:rFonts w:ascii="Times New Roman" w:hAnsi="Times New Roman" w:cs="Times New Roman"/>
          <w:b/>
          <w:bCs/>
        </w:rPr>
        <w:t>CHAPTER 1: INTRODUCTION</w:t>
      </w:r>
    </w:p>
    <w:p w14:paraId="3D8EB709" w14:textId="77777777" w:rsidR="00122548" w:rsidRPr="00122548" w:rsidRDefault="00122548" w:rsidP="00122548">
      <w:pPr>
        <w:rPr>
          <w:rFonts w:ascii="Times New Roman" w:hAnsi="Times New Roman" w:cs="Times New Roman"/>
          <w:b/>
          <w:bCs/>
        </w:rPr>
      </w:pPr>
      <w:r w:rsidRPr="00122548">
        <w:rPr>
          <w:rFonts w:ascii="Times New Roman" w:hAnsi="Times New Roman" w:cs="Times New Roman"/>
          <w:b/>
          <w:bCs/>
        </w:rPr>
        <w:t>1.1 Background of the Study</w:t>
      </w:r>
    </w:p>
    <w:p w14:paraId="2710B634" w14:textId="36D0C612" w:rsidR="00122548" w:rsidRPr="00122548" w:rsidRDefault="00122548" w:rsidP="00122548">
      <w:pPr>
        <w:rPr>
          <w:rFonts w:ascii="Times New Roman" w:hAnsi="Times New Roman" w:cs="Times New Roman"/>
        </w:rPr>
      </w:pPr>
      <w:r w:rsidRPr="00122548">
        <w:rPr>
          <w:rFonts w:ascii="Times New Roman" w:hAnsi="Times New Roman" w:cs="Times New Roman"/>
        </w:rPr>
        <w:t xml:space="preserve">Energy prices occupy a central position in the functioning of modern economies. Fuel </w:t>
      </w:r>
      <w:r w:rsidR="005C045F">
        <w:rPr>
          <w:rFonts w:ascii="Times New Roman" w:hAnsi="Times New Roman" w:cs="Times New Roman"/>
        </w:rPr>
        <w:t xml:space="preserve">– </w:t>
      </w:r>
      <w:r w:rsidRPr="00122548">
        <w:rPr>
          <w:rFonts w:ascii="Times New Roman" w:hAnsi="Times New Roman" w:cs="Times New Roman"/>
        </w:rPr>
        <w:t>in its various forms</w:t>
      </w:r>
      <w:r w:rsidRPr="000C56F3">
        <w:rPr>
          <w:rFonts w:ascii="Times New Roman" w:hAnsi="Times New Roman" w:cs="Times New Roman"/>
        </w:rPr>
        <w:t>,</w:t>
      </w:r>
      <w:r w:rsidRPr="00122548">
        <w:rPr>
          <w:rFonts w:ascii="Times New Roman" w:hAnsi="Times New Roman" w:cs="Times New Roman"/>
        </w:rPr>
        <w:t xml:space="preserve"> including petrol, diesel, and liquefied petroleum gas (LPG)</w:t>
      </w:r>
      <w:r w:rsidR="005C045F">
        <w:rPr>
          <w:rFonts w:ascii="Times New Roman" w:hAnsi="Times New Roman" w:cs="Times New Roman"/>
        </w:rPr>
        <w:t xml:space="preserve"> –</w:t>
      </w:r>
      <w:r w:rsidRPr="00122548">
        <w:rPr>
          <w:rFonts w:ascii="Times New Roman" w:hAnsi="Times New Roman" w:cs="Times New Roman"/>
        </w:rPr>
        <w:t xml:space="preserve"> serves as a foundational input for transportation, manufacturing, agriculture, and household energy consumption. As a result, fluctuations in fuel prices transmit rapidly across the broader economy, affecting the cost of living, inflation, business operating costs, and ultimately the welfare of ordinary citizens (Hamilton, 2009). The ability to anticipate such price movements, even </w:t>
      </w:r>
      <w:r w:rsidRPr="000C56F3">
        <w:rPr>
          <w:rFonts w:ascii="Times New Roman" w:hAnsi="Times New Roman" w:cs="Times New Roman"/>
        </w:rPr>
        <w:t>to a limited extent</w:t>
      </w:r>
      <w:r w:rsidRPr="00122548">
        <w:rPr>
          <w:rFonts w:ascii="Times New Roman" w:hAnsi="Times New Roman" w:cs="Times New Roman"/>
        </w:rPr>
        <w:t>, is therefore of considerable practical and policy value.</w:t>
      </w:r>
    </w:p>
    <w:p w14:paraId="472AABE0" w14:textId="22C86240" w:rsidR="00122548" w:rsidRPr="00122548" w:rsidRDefault="00122548" w:rsidP="00122548">
      <w:pPr>
        <w:rPr>
          <w:rFonts w:ascii="Times New Roman" w:hAnsi="Times New Roman" w:cs="Times New Roman"/>
        </w:rPr>
      </w:pPr>
      <w:r w:rsidRPr="00122548">
        <w:rPr>
          <w:rFonts w:ascii="Times New Roman" w:hAnsi="Times New Roman" w:cs="Times New Roman"/>
        </w:rPr>
        <w:t xml:space="preserve">At the global level, fuel price dynamics are largely governed by crude oil markets. International crude oil prices </w:t>
      </w:r>
      <w:r w:rsidR="005C045F">
        <w:rPr>
          <w:rFonts w:ascii="Times New Roman" w:hAnsi="Times New Roman" w:cs="Times New Roman"/>
        </w:rPr>
        <w:t xml:space="preserve">– </w:t>
      </w:r>
      <w:r w:rsidRPr="00122548">
        <w:rPr>
          <w:rFonts w:ascii="Times New Roman" w:hAnsi="Times New Roman" w:cs="Times New Roman"/>
        </w:rPr>
        <w:t xml:space="preserve">particularly Brent crude, the global benchmark </w:t>
      </w:r>
      <w:r w:rsidR="005C045F">
        <w:rPr>
          <w:rFonts w:ascii="Times New Roman" w:hAnsi="Times New Roman" w:cs="Times New Roman"/>
        </w:rPr>
        <w:t xml:space="preserve">– </w:t>
      </w:r>
      <w:r w:rsidRPr="00122548">
        <w:rPr>
          <w:rFonts w:ascii="Times New Roman" w:hAnsi="Times New Roman" w:cs="Times New Roman"/>
        </w:rPr>
        <w:t>have historically exhibited high volatility driven by geopolitical tensions, supply decisions by the Organisation of Petroleum Exporting Countries (OPEC), global demand cycles, and macroeconomic shocks (Kilian, 2009). This volatility has motivated a substantial body of research into fuel and energy price forecasting, employing a wide range of time series and econometric methods</w:t>
      </w:r>
      <w:r w:rsidRPr="000C56F3">
        <w:rPr>
          <w:rFonts w:ascii="Times New Roman" w:hAnsi="Times New Roman" w:cs="Times New Roman"/>
        </w:rPr>
        <w:t>,</w:t>
      </w:r>
      <w:r w:rsidRPr="00122548">
        <w:rPr>
          <w:rFonts w:ascii="Times New Roman" w:hAnsi="Times New Roman" w:cs="Times New Roman"/>
        </w:rPr>
        <w:t xml:space="preserve"> including Autoregressive Integrated Moving Average (ARIMA) models, Vector Autoregression (VAR), and machine learning techniques (</w:t>
      </w:r>
      <w:proofErr w:type="spellStart"/>
      <w:r w:rsidRPr="00122548">
        <w:rPr>
          <w:rFonts w:ascii="Times New Roman" w:hAnsi="Times New Roman" w:cs="Times New Roman"/>
        </w:rPr>
        <w:t>Jammazi</w:t>
      </w:r>
      <w:proofErr w:type="spellEnd"/>
      <w:r w:rsidRPr="00122548">
        <w:rPr>
          <w:rFonts w:ascii="Times New Roman" w:hAnsi="Times New Roman" w:cs="Times New Roman"/>
        </w:rPr>
        <w:t xml:space="preserve"> &amp; Aloui, 2012; Baumeister &amp; Kilian, 2014).</w:t>
      </w:r>
    </w:p>
    <w:p w14:paraId="4B10990D" w14:textId="4E97196B" w:rsidR="00122548" w:rsidRPr="00122548" w:rsidRDefault="00122548" w:rsidP="00122548">
      <w:pPr>
        <w:rPr>
          <w:rFonts w:ascii="Times New Roman" w:hAnsi="Times New Roman" w:cs="Times New Roman"/>
        </w:rPr>
      </w:pPr>
      <w:r w:rsidRPr="00122548">
        <w:rPr>
          <w:rFonts w:ascii="Times New Roman" w:hAnsi="Times New Roman" w:cs="Times New Roman"/>
        </w:rPr>
        <w:t xml:space="preserve">In Sub-Saharan Africa, the consequences of fuel price volatility are particularly acute. Unlike advanced economies with diversified energy sources and established price stabilisation mechanisms, many African countries are heavily dependent on imported petroleum products. This structural dependence means that international crude oil price shocks are transmitted directly into domestic fuel prices, often with little buffer. Additionally, the depreciation of local currencies against the United States dollar </w:t>
      </w:r>
      <w:r w:rsidR="005C045F">
        <w:rPr>
          <w:rFonts w:ascii="Times New Roman" w:hAnsi="Times New Roman" w:cs="Times New Roman"/>
        </w:rPr>
        <w:t xml:space="preserve">– </w:t>
      </w:r>
      <w:r w:rsidRPr="00122548">
        <w:rPr>
          <w:rFonts w:ascii="Times New Roman" w:hAnsi="Times New Roman" w:cs="Times New Roman"/>
        </w:rPr>
        <w:t xml:space="preserve">the currency in which crude oil is traded internationally </w:t>
      </w:r>
      <w:r w:rsidR="005C045F">
        <w:rPr>
          <w:rFonts w:ascii="Times New Roman" w:hAnsi="Times New Roman" w:cs="Times New Roman"/>
        </w:rPr>
        <w:t xml:space="preserve">– </w:t>
      </w:r>
      <w:r w:rsidRPr="00122548">
        <w:rPr>
          <w:rFonts w:ascii="Times New Roman" w:hAnsi="Times New Roman" w:cs="Times New Roman"/>
        </w:rPr>
        <w:t>amplifies the domestic price impact of global oil market movements (Alom et al., 2013). For these economies, external price shocks are not merely cyclical disruptions but can precipitate broader macroeconomic instability, including inflationary pressures that erode household purchasing power.</w:t>
      </w:r>
    </w:p>
    <w:p w14:paraId="56CC580B" w14:textId="29381150" w:rsidR="00122548" w:rsidRPr="00122548" w:rsidRDefault="00122548" w:rsidP="00122548">
      <w:pPr>
        <w:rPr>
          <w:rFonts w:ascii="Times New Roman" w:hAnsi="Times New Roman" w:cs="Times New Roman"/>
        </w:rPr>
      </w:pPr>
      <w:r w:rsidRPr="00122548">
        <w:rPr>
          <w:rFonts w:ascii="Times New Roman" w:hAnsi="Times New Roman" w:cs="Times New Roman"/>
        </w:rPr>
        <w:t>Ghana presents a particularly instructive case within this regional context. As a net importer of refined petroleum products, Ghana's domestic fuel prices are highly sensitive to movements in both international crude oil prices and the Ghana cedi</w:t>
      </w:r>
      <w:r w:rsidR="005C045F">
        <w:rPr>
          <w:rFonts w:ascii="Times New Roman" w:hAnsi="Times New Roman" w:cs="Times New Roman"/>
        </w:rPr>
        <w:t xml:space="preserve"> – </w:t>
      </w:r>
      <w:r w:rsidRPr="00122548">
        <w:rPr>
          <w:rFonts w:ascii="Times New Roman" w:hAnsi="Times New Roman" w:cs="Times New Roman"/>
        </w:rPr>
        <w:t xml:space="preserve">US dollar exchange rate. The National Petroleum Authority (NPA), which regulates the downstream petroleum sector, adjusts ex-pump prices of petrol, diesel, and LPG on a bi-weekly basis using a price build-up formula that explicitly incorporates international benchmark prices and the prevailing exchange rate (NPA, 2023). Consequently, the sustained depreciation of the cedi </w:t>
      </w:r>
      <w:r w:rsidR="005C045F">
        <w:rPr>
          <w:rFonts w:ascii="Times New Roman" w:hAnsi="Times New Roman" w:cs="Times New Roman"/>
        </w:rPr>
        <w:t>–</w:t>
      </w:r>
      <w:r w:rsidRPr="00122548">
        <w:rPr>
          <w:rFonts w:ascii="Times New Roman" w:hAnsi="Times New Roman" w:cs="Times New Roman"/>
        </w:rPr>
        <w:t xml:space="preserve">which lost over 40% of its value against the dollar in 2022 alone </w:t>
      </w:r>
      <w:r w:rsidR="005C045F">
        <w:rPr>
          <w:rFonts w:ascii="Times New Roman" w:hAnsi="Times New Roman" w:cs="Times New Roman"/>
        </w:rPr>
        <w:t xml:space="preserve">– </w:t>
      </w:r>
      <w:r w:rsidRPr="00122548">
        <w:rPr>
          <w:rFonts w:ascii="Times New Roman" w:hAnsi="Times New Roman" w:cs="Times New Roman"/>
        </w:rPr>
        <w:t>combined with global crude oil price surges following the Russia-Ukraine conflict, drove domestic fuel prices to historic highs, placing severe strain on households and businesses alike (Bank of Ghana, 2023; World Bank, 2023).</w:t>
      </w:r>
    </w:p>
    <w:p w14:paraId="785A9368" w14:textId="77777777" w:rsidR="00122548" w:rsidRPr="00122548" w:rsidRDefault="00122548" w:rsidP="00122548">
      <w:pPr>
        <w:rPr>
          <w:rFonts w:ascii="Times New Roman" w:hAnsi="Times New Roman" w:cs="Times New Roman"/>
        </w:rPr>
      </w:pPr>
      <w:r w:rsidRPr="00122548">
        <w:rPr>
          <w:rFonts w:ascii="Times New Roman" w:hAnsi="Times New Roman" w:cs="Times New Roman"/>
        </w:rPr>
        <w:lastRenderedPageBreak/>
        <w:t>The relationship between fuel prices and inflation in Ghana further complicates this picture. Because fuel costs are embedded in the production and distribution of nearly all goods and services, upward fuel price movements exert significant pass-through effects on the general price level (Bawa et al., 2016). At the same time, broader inflationary conditions influence consumer demand and policy responses in ways that feed back into energy markets. This bidirectional relationship means that inflation cannot be treated as a simple unidirectional predictor of fuel prices; rather, it must be examined as part of a dynamic system in which fuel prices, inflation, exchange rates, and crude oil prices interact simultaneously over time.</w:t>
      </w:r>
    </w:p>
    <w:p w14:paraId="45D5EED2" w14:textId="14A6A835" w:rsidR="00122548" w:rsidRPr="00122548" w:rsidRDefault="00122548" w:rsidP="00122548">
      <w:pPr>
        <w:rPr>
          <w:rFonts w:ascii="Times New Roman" w:hAnsi="Times New Roman" w:cs="Times New Roman"/>
        </w:rPr>
      </w:pPr>
      <w:r w:rsidRPr="00122548">
        <w:rPr>
          <w:rFonts w:ascii="Times New Roman" w:hAnsi="Times New Roman" w:cs="Times New Roman"/>
        </w:rPr>
        <w:t xml:space="preserve">Despite the clear economic significance of fuel price dynamics in Ghana, the empirical literature on forecasting domestic fuel prices in the Ghanaian context remains limited. Most existing forecasting studies in the sub-region focus on general commodity prices or inflation indices rather than sector-specific fuel price series (Ackah &amp; Asante, 2012). Furthermore, few studies have explicitly examined how external shocks </w:t>
      </w:r>
      <w:r w:rsidR="005C045F">
        <w:rPr>
          <w:rFonts w:ascii="Times New Roman" w:hAnsi="Times New Roman" w:cs="Times New Roman"/>
        </w:rPr>
        <w:t xml:space="preserve">– </w:t>
      </w:r>
      <w:r w:rsidRPr="00122548">
        <w:rPr>
          <w:rFonts w:ascii="Times New Roman" w:hAnsi="Times New Roman" w:cs="Times New Roman"/>
        </w:rPr>
        <w:t xml:space="preserve">particularly exchange rate volatility, international crude oil price movements, and inflationary dynamics </w:t>
      </w:r>
      <w:r w:rsidR="005C045F">
        <w:rPr>
          <w:rFonts w:ascii="Times New Roman" w:hAnsi="Times New Roman" w:cs="Times New Roman"/>
        </w:rPr>
        <w:t xml:space="preserve">– </w:t>
      </w:r>
      <w:r w:rsidRPr="00122548">
        <w:rPr>
          <w:rFonts w:ascii="Times New Roman" w:hAnsi="Times New Roman" w:cs="Times New Roman"/>
        </w:rPr>
        <w:t xml:space="preserve">affect the accuracy of time series forecasts for domestic fuel prices in Ghana. This gap is consequential: forecast models that ignore these external drivers may perform adequately under stable global conditions but deteriorate precisely when accurate forecasts are most needed </w:t>
      </w:r>
      <w:r w:rsidR="005C045F">
        <w:rPr>
          <w:rFonts w:ascii="Times New Roman" w:hAnsi="Times New Roman" w:cs="Times New Roman"/>
        </w:rPr>
        <w:t xml:space="preserve">– </w:t>
      </w:r>
      <w:r w:rsidRPr="00122548">
        <w:rPr>
          <w:rFonts w:ascii="Times New Roman" w:hAnsi="Times New Roman" w:cs="Times New Roman"/>
        </w:rPr>
        <w:t>during periods of economic turbulence.</w:t>
      </w:r>
    </w:p>
    <w:p w14:paraId="3B37D9D0" w14:textId="77777777" w:rsidR="00122548" w:rsidRPr="00122548" w:rsidRDefault="00122548" w:rsidP="00122548">
      <w:pPr>
        <w:rPr>
          <w:rFonts w:ascii="Times New Roman" w:hAnsi="Times New Roman" w:cs="Times New Roman"/>
        </w:rPr>
      </w:pPr>
      <w:r w:rsidRPr="00122548">
        <w:rPr>
          <w:rFonts w:ascii="Times New Roman" w:hAnsi="Times New Roman" w:cs="Times New Roman"/>
        </w:rPr>
        <w:t>This study therefore seeks to address this gap by developing and evaluating time series forecasting models for petrol, diesel, and LPG prices in Ghana, with explicit attention to the role of exchange rate shocks, crude oil price movements, and inflationary dynamics in influencing forecast performance. By doing so, the study contributes both to the methodological literature on energy price forecasting and to the evidence base available to Ghanaian policymakers and consumers for anticipating fuel price movements.</w:t>
      </w:r>
    </w:p>
    <w:p w14:paraId="01DD494D" w14:textId="77777777" w:rsidR="006437C4" w:rsidRPr="000C56F3" w:rsidRDefault="006437C4">
      <w:pPr>
        <w:rPr>
          <w:rFonts w:ascii="Times New Roman" w:hAnsi="Times New Roman" w:cs="Times New Roman"/>
        </w:rPr>
      </w:pPr>
    </w:p>
    <w:p w14:paraId="25A064B5" w14:textId="096ECA07" w:rsidR="00122548" w:rsidRPr="00122548" w:rsidRDefault="00122548" w:rsidP="00122548">
      <w:pPr>
        <w:rPr>
          <w:rFonts w:ascii="Times New Roman" w:hAnsi="Times New Roman" w:cs="Times New Roman"/>
          <w:b/>
          <w:bCs/>
        </w:rPr>
      </w:pPr>
      <w:r w:rsidRPr="00122548">
        <w:rPr>
          <w:rFonts w:ascii="Times New Roman" w:hAnsi="Times New Roman" w:cs="Times New Roman"/>
          <w:b/>
          <w:bCs/>
        </w:rPr>
        <w:t xml:space="preserve">1.2 Problem Statement </w:t>
      </w:r>
    </w:p>
    <w:p w14:paraId="15443279" w14:textId="77295C40" w:rsidR="00122548" w:rsidRPr="00122548" w:rsidRDefault="00122548" w:rsidP="00122548">
      <w:pPr>
        <w:rPr>
          <w:rFonts w:ascii="Times New Roman" w:hAnsi="Times New Roman" w:cs="Times New Roman"/>
        </w:rPr>
      </w:pPr>
      <w:r w:rsidRPr="00122548">
        <w:rPr>
          <w:rFonts w:ascii="Times New Roman" w:hAnsi="Times New Roman" w:cs="Times New Roman"/>
        </w:rPr>
        <w:t xml:space="preserve">Fuel prices in Ghana have exhibited persistent and often sharp volatility over the past decade, driven by a confluence of external and domestic factors including fluctuations in international crude oil prices, the progressive depreciation of the Ghana cedi against the US dollar, and rising inflationary pressures. The scale of this volatility has been particularly acute in recent years: between the end of 2021 and the end of 2022 alone, retail petrol prices rose from GH¢6.66 to GH¢16.58 per litre </w:t>
      </w:r>
      <w:r w:rsidR="005C045F">
        <w:rPr>
          <w:rFonts w:ascii="Times New Roman" w:hAnsi="Times New Roman" w:cs="Times New Roman"/>
        </w:rPr>
        <w:t xml:space="preserve">– </w:t>
      </w:r>
      <w:r w:rsidRPr="00122548">
        <w:rPr>
          <w:rFonts w:ascii="Times New Roman" w:hAnsi="Times New Roman" w:cs="Times New Roman"/>
        </w:rPr>
        <w:t xml:space="preserve">an increase of approximately 149% </w:t>
      </w:r>
      <w:r w:rsidR="005C045F">
        <w:rPr>
          <w:rFonts w:ascii="Times New Roman" w:hAnsi="Times New Roman" w:cs="Times New Roman"/>
        </w:rPr>
        <w:t xml:space="preserve">– </w:t>
      </w:r>
      <w:r w:rsidRPr="00122548">
        <w:rPr>
          <w:rFonts w:ascii="Times New Roman" w:hAnsi="Times New Roman" w:cs="Times New Roman"/>
        </w:rPr>
        <w:t xml:space="preserve">while diesel prices surged from GH¢6.67 to GH¢19.61 per litre, representing an increase of approximately 194% (Bank of Ghana, 2023). These price movements coincided with a 40.05% depreciation of the Ghana cedi against the US dollar in 2022 and a surge in headline inflation to 54.1% by December of that year (Zubairu et al., 2024; Bank of Ghana, 2023). The consequences for Ghanaian households, businesses, and public institutions have been severe, as fuel costs directly influence transportation fares, food prices, industrial production costs, and government expenditure. The ability to forecast fuel price movements with reasonable accuracy </w:t>
      </w:r>
      <w:r w:rsidR="005C045F">
        <w:rPr>
          <w:rFonts w:ascii="Times New Roman" w:hAnsi="Times New Roman" w:cs="Times New Roman"/>
        </w:rPr>
        <w:t xml:space="preserve">– </w:t>
      </w:r>
      <w:r w:rsidRPr="00122548">
        <w:rPr>
          <w:rFonts w:ascii="Times New Roman" w:hAnsi="Times New Roman" w:cs="Times New Roman"/>
        </w:rPr>
        <w:t xml:space="preserve">even over a short horizon of one to six months ahead </w:t>
      </w:r>
      <w:r w:rsidR="005C045F">
        <w:rPr>
          <w:rFonts w:ascii="Times New Roman" w:hAnsi="Times New Roman" w:cs="Times New Roman"/>
        </w:rPr>
        <w:t xml:space="preserve">– </w:t>
      </w:r>
      <w:r w:rsidRPr="00122548">
        <w:rPr>
          <w:rFonts w:ascii="Times New Roman" w:hAnsi="Times New Roman" w:cs="Times New Roman"/>
        </w:rPr>
        <w:t xml:space="preserve">would therefore provide </w:t>
      </w:r>
      <w:r w:rsidRPr="00122548">
        <w:rPr>
          <w:rFonts w:ascii="Times New Roman" w:hAnsi="Times New Roman" w:cs="Times New Roman"/>
        </w:rPr>
        <w:lastRenderedPageBreak/>
        <w:t>consumers, businesses, and policymakers with critical advance information for planning and decision-making.</w:t>
      </w:r>
    </w:p>
    <w:p w14:paraId="745100B4" w14:textId="09281905" w:rsidR="00122548" w:rsidRPr="00122548" w:rsidRDefault="00122548" w:rsidP="00122548">
      <w:pPr>
        <w:rPr>
          <w:rFonts w:ascii="Times New Roman" w:hAnsi="Times New Roman" w:cs="Times New Roman"/>
        </w:rPr>
      </w:pPr>
      <w:r w:rsidRPr="00122548">
        <w:rPr>
          <w:rFonts w:ascii="Times New Roman" w:hAnsi="Times New Roman" w:cs="Times New Roman"/>
        </w:rPr>
        <w:t>A distinctive feature of Ghana's fuel pricing environment is the operation of the Unified Pricing Formula (UPF), administered by the National Petroleum Authority, which determines ex-pump prices through a structured build-up of international product costs, exchange rate adjustments, taxes, levies, and margins payable to Bulk Distribution Companies (</w:t>
      </w:r>
      <w:proofErr w:type="spellStart"/>
      <w:r w:rsidRPr="00122548">
        <w:rPr>
          <w:rFonts w:ascii="Times New Roman" w:hAnsi="Times New Roman" w:cs="Times New Roman"/>
        </w:rPr>
        <w:t>BDCs</w:t>
      </w:r>
      <w:proofErr w:type="spellEnd"/>
      <w:r w:rsidRPr="00122548">
        <w:rPr>
          <w:rFonts w:ascii="Times New Roman" w:hAnsi="Times New Roman" w:cs="Times New Roman"/>
        </w:rPr>
        <w:t xml:space="preserve">) and Oil Marketing Companies (OMCs) (NPA, 2023). This institutional mechanism means that domestic fuel prices are not freely market-determined but are instead administratively set based on external benchmarks </w:t>
      </w:r>
      <w:r w:rsidR="005C045F">
        <w:rPr>
          <w:rFonts w:ascii="Times New Roman" w:hAnsi="Times New Roman" w:cs="Times New Roman"/>
        </w:rPr>
        <w:t xml:space="preserve">– </w:t>
      </w:r>
      <w:r w:rsidRPr="00122548">
        <w:rPr>
          <w:rFonts w:ascii="Times New Roman" w:hAnsi="Times New Roman" w:cs="Times New Roman"/>
        </w:rPr>
        <w:t>a feature that distinguishes Ghana's fuel price dynamics from those modelled in the broader energy forecasting literature and that must be explicitly accounted for in any forecasting framework applied to the Ghanaian context.</w:t>
      </w:r>
    </w:p>
    <w:p w14:paraId="6294F4CC" w14:textId="07303B6E" w:rsidR="00122548" w:rsidRPr="00122548" w:rsidRDefault="00122548" w:rsidP="00122548">
      <w:pPr>
        <w:rPr>
          <w:rFonts w:ascii="Times New Roman" w:hAnsi="Times New Roman" w:cs="Times New Roman"/>
        </w:rPr>
      </w:pPr>
      <w:r w:rsidRPr="00122548">
        <w:rPr>
          <w:rFonts w:ascii="Times New Roman" w:hAnsi="Times New Roman" w:cs="Times New Roman"/>
        </w:rPr>
        <w:t xml:space="preserve">However, despite the economic importance of fuel price stability in Ghana, the forecasting of domestic petroleum product prices remains an underexplored area in the empirical literature. Existing studies on energy price forecasting in Africa have largely focused on crude oil prices at the international level (Alom et al., 2013; Baumeister &amp; Kilian, 2014) or on general inflation and commodity price dynamics within Ghana (Ackah &amp; Asante, 2012; Bawa et al., 2016), rather than on the retail prices of specific petroleum products </w:t>
      </w:r>
      <w:r w:rsidR="005C045F">
        <w:rPr>
          <w:rFonts w:ascii="Times New Roman" w:hAnsi="Times New Roman" w:cs="Times New Roman"/>
        </w:rPr>
        <w:t xml:space="preserve">– </w:t>
      </w:r>
      <w:r w:rsidRPr="00122548">
        <w:rPr>
          <w:rFonts w:ascii="Times New Roman" w:hAnsi="Times New Roman" w:cs="Times New Roman"/>
        </w:rPr>
        <w:t xml:space="preserve">petrol, diesel, and LPG </w:t>
      </w:r>
      <w:r w:rsidR="005C045F">
        <w:rPr>
          <w:rFonts w:ascii="Times New Roman" w:hAnsi="Times New Roman" w:cs="Times New Roman"/>
        </w:rPr>
        <w:t xml:space="preserve">– </w:t>
      </w:r>
      <w:r w:rsidRPr="00122548">
        <w:rPr>
          <w:rFonts w:ascii="Times New Roman" w:hAnsi="Times New Roman" w:cs="Times New Roman"/>
        </w:rPr>
        <w:t>as regulated and consumed domestically. This represents a significant gap, as international crude oil price forecasts do not directly translate into actionable predictions of domestic ex-pump prices, which are additionally shaped by exchange rate movements, import costs, taxes, and regulatory adjustments.</w:t>
      </w:r>
    </w:p>
    <w:p w14:paraId="0780163F" w14:textId="09339E08" w:rsidR="00122548" w:rsidRPr="00122548" w:rsidRDefault="00122548" w:rsidP="00122548">
      <w:pPr>
        <w:rPr>
          <w:rFonts w:ascii="Times New Roman" w:hAnsi="Times New Roman" w:cs="Times New Roman"/>
        </w:rPr>
      </w:pPr>
      <w:r w:rsidRPr="00122548">
        <w:rPr>
          <w:rFonts w:ascii="Times New Roman" w:hAnsi="Times New Roman" w:cs="Times New Roman"/>
        </w:rPr>
        <w:t>Furthermore, the few forecasting studies that do address fuel or energy prices in sub-Saharan African contexts have predominantly employed univariate time series models such as ARIMA, which capture internal price dynamics but do not account for the influence of external macroeconomic shocks (</w:t>
      </w:r>
      <w:proofErr w:type="spellStart"/>
      <w:r w:rsidRPr="00122548">
        <w:rPr>
          <w:rFonts w:ascii="Times New Roman" w:hAnsi="Times New Roman" w:cs="Times New Roman"/>
        </w:rPr>
        <w:t>Jammazi</w:t>
      </w:r>
      <w:proofErr w:type="spellEnd"/>
      <w:r w:rsidRPr="00122548">
        <w:rPr>
          <w:rFonts w:ascii="Times New Roman" w:hAnsi="Times New Roman" w:cs="Times New Roman"/>
        </w:rPr>
        <w:t xml:space="preserve"> &amp; Aloui, 2012). In the Ghanaian context, where domestic fuel prices are structurally linked to both the international crude oil market and the cedi</w:t>
      </w:r>
      <w:r w:rsidR="005C045F">
        <w:rPr>
          <w:rFonts w:ascii="Times New Roman" w:hAnsi="Times New Roman" w:cs="Times New Roman"/>
        </w:rPr>
        <w:t xml:space="preserve"> – </w:t>
      </w:r>
      <w:r w:rsidRPr="00122548">
        <w:rPr>
          <w:rFonts w:ascii="Times New Roman" w:hAnsi="Times New Roman" w:cs="Times New Roman"/>
        </w:rPr>
        <w:t xml:space="preserve">dollar exchange rate, univariate models may produce systematically biased forecasts during periods of external </w:t>
      </w:r>
      <w:r w:rsidR="005C045F" w:rsidRPr="00122548">
        <w:rPr>
          <w:rFonts w:ascii="Times New Roman" w:hAnsi="Times New Roman" w:cs="Times New Roman"/>
        </w:rPr>
        <w:t xml:space="preserve">turbulence </w:t>
      </w:r>
      <w:r w:rsidR="005C045F">
        <w:rPr>
          <w:rFonts w:ascii="Times New Roman" w:hAnsi="Times New Roman" w:cs="Times New Roman"/>
        </w:rPr>
        <w:t>precisely</w:t>
      </w:r>
      <w:r w:rsidRPr="00122548">
        <w:rPr>
          <w:rFonts w:ascii="Times New Roman" w:hAnsi="Times New Roman" w:cs="Times New Roman"/>
        </w:rPr>
        <w:t xml:space="preserve"> the periods when accurate forecasts are most consequential. The absence of studies that rigorously compare univariate and multivariate forecasting approaches for Ghana-specific fuel price series, while explicitly testing the effect of external shocks on forecast accuracy, constitutes a clear methodological gap in the literature.</w:t>
      </w:r>
    </w:p>
    <w:p w14:paraId="57E22416" w14:textId="5E521405" w:rsidR="00122548" w:rsidRPr="00122548" w:rsidRDefault="00122548" w:rsidP="00122548">
      <w:pPr>
        <w:rPr>
          <w:rFonts w:ascii="Times New Roman" w:hAnsi="Times New Roman" w:cs="Times New Roman"/>
        </w:rPr>
      </w:pPr>
      <w:r w:rsidRPr="00122548">
        <w:rPr>
          <w:rFonts w:ascii="Times New Roman" w:hAnsi="Times New Roman" w:cs="Times New Roman"/>
        </w:rPr>
        <w:t xml:space="preserve">This study therefore seeks to fill this gap by developing, comparing, and evaluating univariate and multivariate time series models </w:t>
      </w:r>
      <w:r w:rsidR="005C045F">
        <w:rPr>
          <w:rFonts w:ascii="Times New Roman" w:hAnsi="Times New Roman" w:cs="Times New Roman"/>
        </w:rPr>
        <w:t xml:space="preserve">– </w:t>
      </w:r>
      <w:r w:rsidRPr="00122548">
        <w:rPr>
          <w:rFonts w:ascii="Times New Roman" w:hAnsi="Times New Roman" w:cs="Times New Roman"/>
        </w:rPr>
        <w:t xml:space="preserve">including ARIMA, ARIMAX, and VAR </w:t>
      </w:r>
      <w:r w:rsidR="005C045F">
        <w:rPr>
          <w:rFonts w:ascii="Times New Roman" w:hAnsi="Times New Roman" w:cs="Times New Roman"/>
        </w:rPr>
        <w:t xml:space="preserve">– </w:t>
      </w:r>
      <w:r w:rsidRPr="00122548">
        <w:rPr>
          <w:rFonts w:ascii="Times New Roman" w:hAnsi="Times New Roman" w:cs="Times New Roman"/>
        </w:rPr>
        <w:t>for forecasting the retail prices of petrol, diesel, and LPG in Ghana using monthly data sourced from the National Petroleum Authority and the Bank of Ghana, and by assessing the extent to which the incorporation of exchange rate shocks, crude oil price movements, and inflationary dynamics improves forecast accuracy over the study period.</w:t>
      </w:r>
    </w:p>
    <w:p w14:paraId="5DDE019E" w14:textId="77777777" w:rsidR="00122548" w:rsidRDefault="00122548">
      <w:pPr>
        <w:rPr>
          <w:rFonts w:ascii="Times New Roman" w:hAnsi="Times New Roman" w:cs="Times New Roman"/>
        </w:rPr>
      </w:pPr>
    </w:p>
    <w:p w14:paraId="09F41148" w14:textId="0918EFA7" w:rsidR="00FF7EA6" w:rsidRPr="00FF7EA6" w:rsidRDefault="00FF7EA6" w:rsidP="00FF7EA6">
      <w:pPr>
        <w:rPr>
          <w:rFonts w:ascii="Times New Roman" w:hAnsi="Times New Roman" w:cs="Times New Roman"/>
        </w:rPr>
      </w:pPr>
      <w:r w:rsidRPr="00FF7EA6">
        <w:rPr>
          <w:rFonts w:ascii="Times New Roman" w:hAnsi="Times New Roman" w:cs="Times New Roman"/>
          <w:b/>
          <w:bCs/>
        </w:rPr>
        <w:t xml:space="preserve">Section 1.3 </w:t>
      </w:r>
      <w:r w:rsidR="005C045F">
        <w:rPr>
          <w:rFonts w:ascii="Times New Roman" w:hAnsi="Times New Roman" w:cs="Times New Roman"/>
          <w:b/>
          <w:bCs/>
        </w:rPr>
        <w:t xml:space="preserve">– </w:t>
      </w:r>
      <w:r w:rsidRPr="00FF7EA6">
        <w:rPr>
          <w:rFonts w:ascii="Times New Roman" w:hAnsi="Times New Roman" w:cs="Times New Roman"/>
          <w:b/>
          <w:bCs/>
        </w:rPr>
        <w:t>Objectives</w:t>
      </w:r>
    </w:p>
    <w:p w14:paraId="7347BE8F" w14:textId="77777777" w:rsidR="00FF7EA6" w:rsidRPr="00FF7EA6" w:rsidRDefault="00000000" w:rsidP="00FF7EA6">
      <w:pPr>
        <w:rPr>
          <w:rFonts w:ascii="Times New Roman" w:hAnsi="Times New Roman" w:cs="Times New Roman"/>
        </w:rPr>
      </w:pPr>
      <w:r>
        <w:rPr>
          <w:rFonts w:ascii="Times New Roman" w:hAnsi="Times New Roman" w:cs="Times New Roman"/>
        </w:rPr>
        <w:lastRenderedPageBreak/>
        <w:pict w14:anchorId="50222C20">
          <v:rect id="_x0000_i1025" style="width:0;height:1.5pt" o:hralign="center" o:hrstd="t" o:hr="t" fillcolor="#a0a0a0" stroked="f"/>
        </w:pict>
      </w:r>
    </w:p>
    <w:p w14:paraId="22667820" w14:textId="77777777" w:rsidR="00FF7EA6" w:rsidRPr="00FF7EA6" w:rsidRDefault="00FF7EA6" w:rsidP="00FF7EA6">
      <w:pPr>
        <w:rPr>
          <w:rFonts w:ascii="Times New Roman" w:hAnsi="Times New Roman" w:cs="Times New Roman"/>
        </w:rPr>
      </w:pPr>
      <w:r w:rsidRPr="00FF7EA6">
        <w:rPr>
          <w:rFonts w:ascii="Times New Roman" w:hAnsi="Times New Roman" w:cs="Times New Roman"/>
          <w:b/>
          <w:bCs/>
        </w:rPr>
        <w:t>Main Objective</w:t>
      </w:r>
    </w:p>
    <w:p w14:paraId="3CB376B3" w14:textId="6F751598" w:rsidR="00FF7EA6" w:rsidRPr="00FF7EA6" w:rsidRDefault="007B74BF" w:rsidP="00FF7EA6">
      <w:pPr>
        <w:rPr>
          <w:rFonts w:ascii="Times New Roman" w:hAnsi="Times New Roman" w:cs="Times New Roman"/>
        </w:rPr>
      </w:pPr>
      <w:r w:rsidRPr="007B74BF">
        <w:rPr>
          <w:rFonts w:ascii="Times New Roman" w:hAnsi="Times New Roman" w:cs="Times New Roman"/>
        </w:rPr>
        <w:t>To evaluate the forecasting accuracy of ARIMA, ARIMAX, and VAR models in predicting fuel prices in Ghana over a 1</w:t>
      </w:r>
      <w:r w:rsidR="005C045F">
        <w:rPr>
          <w:rFonts w:ascii="Times New Roman" w:hAnsi="Times New Roman" w:cs="Times New Roman"/>
        </w:rPr>
        <w:t xml:space="preserve">– </w:t>
      </w:r>
      <w:proofErr w:type="gramStart"/>
      <w:r w:rsidRPr="007B74BF">
        <w:rPr>
          <w:rFonts w:ascii="Times New Roman" w:hAnsi="Times New Roman" w:cs="Times New Roman"/>
        </w:rPr>
        <w:t>6 month</w:t>
      </w:r>
      <w:proofErr w:type="gramEnd"/>
      <w:r w:rsidRPr="007B74BF">
        <w:rPr>
          <w:rFonts w:ascii="Times New Roman" w:hAnsi="Times New Roman" w:cs="Times New Roman"/>
        </w:rPr>
        <w:t xml:space="preserve"> horizon, with emphasis on the role of external shocks in determining model performance.</w:t>
      </w:r>
      <w:r w:rsidR="00000000">
        <w:rPr>
          <w:rFonts w:ascii="Times New Roman" w:hAnsi="Times New Roman" w:cs="Times New Roman"/>
        </w:rPr>
        <w:pict w14:anchorId="4A03AC41">
          <v:rect id="_x0000_i1026" style="width:0;height:1.5pt" o:hralign="center" o:hrstd="t" o:hr="t" fillcolor="#a0a0a0" stroked="f"/>
        </w:pict>
      </w:r>
    </w:p>
    <w:p w14:paraId="4BDD931C" w14:textId="77777777" w:rsidR="00FF7EA6" w:rsidRPr="00FF7EA6" w:rsidRDefault="00FF7EA6" w:rsidP="00FF7EA6">
      <w:pPr>
        <w:rPr>
          <w:rFonts w:ascii="Times New Roman" w:hAnsi="Times New Roman" w:cs="Times New Roman"/>
        </w:rPr>
      </w:pPr>
      <w:r w:rsidRPr="00FF7EA6">
        <w:rPr>
          <w:rFonts w:ascii="Times New Roman" w:hAnsi="Times New Roman" w:cs="Times New Roman"/>
          <w:b/>
          <w:bCs/>
        </w:rPr>
        <w:t>Specific Objectives</w:t>
      </w:r>
    </w:p>
    <w:p w14:paraId="39CFCE0D" w14:textId="4097DFE7" w:rsidR="007B74BF" w:rsidRPr="007B74BF" w:rsidRDefault="007B74BF" w:rsidP="007B74BF">
      <w:pPr>
        <w:numPr>
          <w:ilvl w:val="0"/>
          <w:numId w:val="4"/>
        </w:numPr>
        <w:rPr>
          <w:rFonts w:ascii="Times New Roman" w:hAnsi="Times New Roman" w:cs="Times New Roman"/>
        </w:rPr>
      </w:pPr>
      <w:r w:rsidRPr="007B74BF">
        <w:rPr>
          <w:rFonts w:ascii="Times New Roman" w:hAnsi="Times New Roman" w:cs="Times New Roman"/>
        </w:rPr>
        <w:t>To analyse the statistical properties and trends of petrol, diesel, and LPG prices in Ghana over the period 2013</w:t>
      </w:r>
      <w:r w:rsidR="005C045F">
        <w:rPr>
          <w:rFonts w:ascii="Times New Roman" w:hAnsi="Times New Roman" w:cs="Times New Roman"/>
        </w:rPr>
        <w:t xml:space="preserve"> </w:t>
      </w:r>
      <w:r w:rsidR="006F30AF">
        <w:rPr>
          <w:rFonts w:ascii="Times New Roman" w:hAnsi="Times New Roman" w:cs="Times New Roman"/>
        </w:rPr>
        <w:t>– 2023</w:t>
      </w:r>
      <w:r w:rsidRPr="007B74BF">
        <w:rPr>
          <w:rFonts w:ascii="Times New Roman" w:hAnsi="Times New Roman" w:cs="Times New Roman"/>
        </w:rPr>
        <w:t>.</w:t>
      </w:r>
    </w:p>
    <w:p w14:paraId="7420AB07" w14:textId="77777777" w:rsidR="007B74BF" w:rsidRPr="007B74BF" w:rsidRDefault="007B74BF" w:rsidP="007B74BF">
      <w:pPr>
        <w:numPr>
          <w:ilvl w:val="0"/>
          <w:numId w:val="4"/>
        </w:numPr>
        <w:rPr>
          <w:rFonts w:ascii="Times New Roman" w:hAnsi="Times New Roman" w:cs="Times New Roman"/>
        </w:rPr>
      </w:pPr>
      <w:r w:rsidRPr="007B74BF">
        <w:rPr>
          <w:rFonts w:ascii="Times New Roman" w:hAnsi="Times New Roman" w:cs="Times New Roman"/>
        </w:rPr>
        <w:t>To develop ARIMA, ARIMAX, and VAR models for forecasting fuel prices, incorporating exchange rate (GHS/USD), Brent crude oil prices, and inflation (CPI) as relevant external variables.</w:t>
      </w:r>
    </w:p>
    <w:p w14:paraId="244E115F" w14:textId="77777777" w:rsidR="007B74BF" w:rsidRPr="007B74BF" w:rsidRDefault="007B74BF" w:rsidP="007B74BF">
      <w:pPr>
        <w:numPr>
          <w:ilvl w:val="0"/>
          <w:numId w:val="4"/>
        </w:numPr>
        <w:rPr>
          <w:rFonts w:ascii="Times New Roman" w:hAnsi="Times New Roman" w:cs="Times New Roman"/>
        </w:rPr>
      </w:pPr>
      <w:r w:rsidRPr="007B74BF">
        <w:rPr>
          <w:rFonts w:ascii="Times New Roman" w:hAnsi="Times New Roman" w:cs="Times New Roman"/>
        </w:rPr>
        <w:t>To assess the influence of exchange rate and Brent crude oil shocks on fuel price movements in Ghana using Granger causality tests.</w:t>
      </w:r>
    </w:p>
    <w:p w14:paraId="61FD3DA8" w14:textId="7C43521A" w:rsidR="007B74BF" w:rsidRPr="007B74BF" w:rsidRDefault="007B74BF" w:rsidP="007B74BF">
      <w:pPr>
        <w:numPr>
          <w:ilvl w:val="0"/>
          <w:numId w:val="4"/>
        </w:numPr>
        <w:rPr>
          <w:rFonts w:ascii="Times New Roman" w:hAnsi="Times New Roman" w:cs="Times New Roman"/>
        </w:rPr>
      </w:pPr>
      <w:r w:rsidRPr="007B74BF">
        <w:rPr>
          <w:rFonts w:ascii="Times New Roman" w:hAnsi="Times New Roman" w:cs="Times New Roman"/>
        </w:rPr>
        <w:t>To compare the forecasting accuracy of the three models across 1</w:t>
      </w:r>
      <w:r w:rsidR="005C045F">
        <w:rPr>
          <w:rFonts w:ascii="Times New Roman" w:hAnsi="Times New Roman" w:cs="Times New Roman"/>
        </w:rPr>
        <w:t xml:space="preserve">– </w:t>
      </w:r>
      <w:proofErr w:type="gramStart"/>
      <w:r w:rsidRPr="007B74BF">
        <w:rPr>
          <w:rFonts w:ascii="Times New Roman" w:hAnsi="Times New Roman" w:cs="Times New Roman"/>
        </w:rPr>
        <w:t>6 month</w:t>
      </w:r>
      <w:proofErr w:type="gramEnd"/>
      <w:r w:rsidRPr="007B74BF">
        <w:rPr>
          <w:rFonts w:ascii="Times New Roman" w:hAnsi="Times New Roman" w:cs="Times New Roman"/>
        </w:rPr>
        <w:t xml:space="preserve"> forecast horizons using RMSE, MAE, MAPE, and the Diebold-Mariano test.</w:t>
      </w:r>
    </w:p>
    <w:p w14:paraId="4B332F32" w14:textId="65B1D95B" w:rsidR="007B74BF" w:rsidRPr="007B74BF" w:rsidRDefault="007B74BF" w:rsidP="007B74BF">
      <w:pPr>
        <w:numPr>
          <w:ilvl w:val="0"/>
          <w:numId w:val="4"/>
        </w:numPr>
        <w:rPr>
          <w:rFonts w:ascii="Times New Roman" w:hAnsi="Times New Roman" w:cs="Times New Roman"/>
        </w:rPr>
      </w:pPr>
      <w:r w:rsidRPr="007B74BF">
        <w:rPr>
          <w:rFonts w:ascii="Times New Roman" w:hAnsi="Times New Roman" w:cs="Times New Roman"/>
        </w:rPr>
        <w:t>To evaluate the practical utility of the models in providing 1</w:t>
      </w:r>
      <w:r w:rsidR="005C045F">
        <w:rPr>
          <w:rFonts w:ascii="Times New Roman" w:hAnsi="Times New Roman" w:cs="Times New Roman"/>
        </w:rPr>
        <w:t xml:space="preserve">– </w:t>
      </w:r>
      <w:proofErr w:type="gramStart"/>
      <w:r w:rsidRPr="007B74BF">
        <w:rPr>
          <w:rFonts w:ascii="Times New Roman" w:hAnsi="Times New Roman" w:cs="Times New Roman"/>
        </w:rPr>
        <w:t>6 month</w:t>
      </w:r>
      <w:proofErr w:type="gramEnd"/>
      <w:r w:rsidRPr="007B74BF">
        <w:rPr>
          <w:rFonts w:ascii="Times New Roman" w:hAnsi="Times New Roman" w:cs="Times New Roman"/>
        </w:rPr>
        <w:t xml:space="preserve"> advance warning of fuel price changes to consumers and policymakers in Ghana.</w:t>
      </w:r>
    </w:p>
    <w:p w14:paraId="05A670DA" w14:textId="77777777" w:rsidR="007B74BF" w:rsidRPr="007B74BF" w:rsidRDefault="00000000" w:rsidP="007B74BF">
      <w:pPr>
        <w:rPr>
          <w:rFonts w:ascii="Times New Roman" w:hAnsi="Times New Roman" w:cs="Times New Roman"/>
        </w:rPr>
      </w:pPr>
      <w:r>
        <w:rPr>
          <w:rFonts w:ascii="Times New Roman" w:hAnsi="Times New Roman" w:cs="Times New Roman"/>
        </w:rPr>
        <w:pict w14:anchorId="03A1620D">
          <v:rect id="_x0000_i1027" style="width:0;height:0" o:hralign="center" o:hrstd="t" o:hr="t" fillcolor="#a0a0a0" stroked="f"/>
        </w:pict>
      </w:r>
    </w:p>
    <w:p w14:paraId="42B6017C" w14:textId="77777777" w:rsidR="00FF7EA6" w:rsidRDefault="00FF7EA6">
      <w:pPr>
        <w:rPr>
          <w:rFonts w:ascii="Times New Roman" w:hAnsi="Times New Roman" w:cs="Times New Roman"/>
        </w:rPr>
      </w:pPr>
    </w:p>
    <w:p w14:paraId="17EF770A" w14:textId="725EB013" w:rsidR="00521DF8" w:rsidRPr="00521DF8" w:rsidRDefault="00521DF8" w:rsidP="00521DF8">
      <w:pPr>
        <w:rPr>
          <w:rFonts w:ascii="Times New Roman" w:hAnsi="Times New Roman" w:cs="Times New Roman"/>
        </w:rPr>
      </w:pPr>
      <w:r w:rsidRPr="00521DF8">
        <w:rPr>
          <w:rFonts w:ascii="Times New Roman" w:hAnsi="Times New Roman" w:cs="Times New Roman"/>
          <w:b/>
          <w:bCs/>
        </w:rPr>
        <w:t xml:space="preserve">Section 1.4 </w:t>
      </w:r>
      <w:r w:rsidR="005C045F">
        <w:rPr>
          <w:rFonts w:ascii="Times New Roman" w:hAnsi="Times New Roman" w:cs="Times New Roman"/>
          <w:b/>
          <w:bCs/>
        </w:rPr>
        <w:t xml:space="preserve">– </w:t>
      </w:r>
      <w:r w:rsidRPr="00521DF8">
        <w:rPr>
          <w:rFonts w:ascii="Times New Roman" w:hAnsi="Times New Roman" w:cs="Times New Roman"/>
          <w:b/>
          <w:bCs/>
        </w:rPr>
        <w:t>Significance of the Study</w:t>
      </w:r>
    </w:p>
    <w:p w14:paraId="58B67886" w14:textId="77777777" w:rsidR="00521DF8" w:rsidRPr="00521DF8" w:rsidRDefault="00000000" w:rsidP="00521DF8">
      <w:pPr>
        <w:rPr>
          <w:rFonts w:ascii="Times New Roman" w:hAnsi="Times New Roman" w:cs="Times New Roman"/>
        </w:rPr>
      </w:pPr>
      <w:r>
        <w:rPr>
          <w:rFonts w:ascii="Times New Roman" w:hAnsi="Times New Roman" w:cs="Times New Roman"/>
        </w:rPr>
        <w:pict w14:anchorId="1628025D">
          <v:rect id="_x0000_i1028" style="width:0;height:1.5pt" o:hralign="center" o:hrstd="t" o:hr="t" fillcolor="#a0a0a0" stroked="f"/>
        </w:pict>
      </w:r>
    </w:p>
    <w:p w14:paraId="6B3A87DD" w14:textId="77777777" w:rsidR="00521DF8" w:rsidRPr="00521DF8" w:rsidRDefault="00521DF8" w:rsidP="00521DF8">
      <w:pPr>
        <w:rPr>
          <w:rFonts w:ascii="Times New Roman" w:hAnsi="Times New Roman" w:cs="Times New Roman"/>
        </w:rPr>
      </w:pPr>
      <w:r w:rsidRPr="00521DF8">
        <w:rPr>
          <w:rFonts w:ascii="Times New Roman" w:hAnsi="Times New Roman" w:cs="Times New Roman"/>
        </w:rPr>
        <w:t>The findings of this study are expected to be of relevance to a range of stakeholders, including policymakers, consumers, regulatory bodies, and the academic community. Specifically, the study offers the following contributions:</w:t>
      </w:r>
    </w:p>
    <w:p w14:paraId="3F7B2BA9" w14:textId="77777777" w:rsidR="00521DF8" w:rsidRPr="00521DF8" w:rsidRDefault="00521DF8" w:rsidP="00521DF8">
      <w:pPr>
        <w:rPr>
          <w:rFonts w:ascii="Times New Roman" w:hAnsi="Times New Roman" w:cs="Times New Roman"/>
        </w:rPr>
      </w:pPr>
      <w:r w:rsidRPr="00521DF8">
        <w:rPr>
          <w:rFonts w:ascii="Times New Roman" w:hAnsi="Times New Roman" w:cs="Times New Roman"/>
          <w:b/>
          <w:bCs/>
        </w:rPr>
        <w:t>Policymakers and Government Agencies:</w:t>
      </w:r>
      <w:r w:rsidRPr="00521DF8">
        <w:rPr>
          <w:rFonts w:ascii="Times New Roman" w:hAnsi="Times New Roman" w:cs="Times New Roman"/>
        </w:rPr>
        <w:t xml:space="preserve"> The forecasting models developed in this study provide an empirical tool to support proactive fiscal and energy policy decisions. By anticipating fuel price movements, government agencies can design timely interventions to cushion the economy against the adverse effects of price volatility.</w:t>
      </w:r>
    </w:p>
    <w:p w14:paraId="7346CE54" w14:textId="77777777" w:rsidR="00521DF8" w:rsidRPr="00521DF8" w:rsidRDefault="00521DF8" w:rsidP="00521DF8">
      <w:pPr>
        <w:rPr>
          <w:rFonts w:ascii="Times New Roman" w:hAnsi="Times New Roman" w:cs="Times New Roman"/>
        </w:rPr>
      </w:pPr>
      <w:r w:rsidRPr="00521DF8">
        <w:rPr>
          <w:rFonts w:ascii="Times New Roman" w:hAnsi="Times New Roman" w:cs="Times New Roman"/>
          <w:b/>
          <w:bCs/>
        </w:rPr>
        <w:t>The National Petroleum Authority (NPA):</w:t>
      </w:r>
      <w:r w:rsidRPr="00521DF8">
        <w:rPr>
          <w:rFonts w:ascii="Times New Roman" w:hAnsi="Times New Roman" w:cs="Times New Roman"/>
        </w:rPr>
        <w:t xml:space="preserve"> As the regulatory body responsible for fuel pricing in Ghana, the NPA stands to benefit directly from accurate short-term forecasts. Such forecasts can inform adjustments to the Unified Pricing Formula and support more transparent and data-driven pricing decisions.</w:t>
      </w:r>
    </w:p>
    <w:p w14:paraId="7E6667D8" w14:textId="3E04A0E2" w:rsidR="00521DF8" w:rsidRPr="00521DF8" w:rsidRDefault="00521DF8" w:rsidP="00521DF8">
      <w:pPr>
        <w:rPr>
          <w:rFonts w:ascii="Times New Roman" w:hAnsi="Times New Roman" w:cs="Times New Roman"/>
        </w:rPr>
      </w:pPr>
      <w:r w:rsidRPr="00521DF8">
        <w:rPr>
          <w:rFonts w:ascii="Times New Roman" w:hAnsi="Times New Roman" w:cs="Times New Roman"/>
          <w:b/>
          <w:bCs/>
        </w:rPr>
        <w:lastRenderedPageBreak/>
        <w:t>Consumers and Households:</w:t>
      </w:r>
      <w:r w:rsidRPr="00521DF8">
        <w:rPr>
          <w:rFonts w:ascii="Times New Roman" w:hAnsi="Times New Roman" w:cs="Times New Roman"/>
        </w:rPr>
        <w:t xml:space="preserve"> </w:t>
      </w:r>
      <w:r w:rsidR="006F30AF" w:rsidRPr="00521DF8">
        <w:rPr>
          <w:rFonts w:ascii="Times New Roman" w:hAnsi="Times New Roman" w:cs="Times New Roman"/>
        </w:rPr>
        <w:t>Warning</w:t>
      </w:r>
      <w:r w:rsidRPr="00521DF8">
        <w:rPr>
          <w:rFonts w:ascii="Times New Roman" w:hAnsi="Times New Roman" w:cs="Times New Roman"/>
        </w:rPr>
        <w:t xml:space="preserve"> of fuel price changes enables households and businesses to plan expenditure more effectively, particularly in a context where fuel costs directly influence the prices of goods, transportation, and essential services.</w:t>
      </w:r>
    </w:p>
    <w:p w14:paraId="39AAC913" w14:textId="3E06826E" w:rsidR="00521DF8" w:rsidRPr="00521DF8" w:rsidRDefault="00521DF8" w:rsidP="00521DF8">
      <w:pPr>
        <w:rPr>
          <w:rFonts w:ascii="Times New Roman" w:hAnsi="Times New Roman" w:cs="Times New Roman"/>
        </w:rPr>
      </w:pPr>
      <w:r w:rsidRPr="00521DF8">
        <w:rPr>
          <w:rFonts w:ascii="Times New Roman" w:hAnsi="Times New Roman" w:cs="Times New Roman"/>
          <w:b/>
          <w:bCs/>
        </w:rPr>
        <w:t>Researchers and Academics:</w:t>
      </w:r>
      <w:r w:rsidRPr="00521DF8">
        <w:rPr>
          <w:rFonts w:ascii="Times New Roman" w:hAnsi="Times New Roman" w:cs="Times New Roman"/>
        </w:rPr>
        <w:t xml:space="preserve"> This study contributes to the growing body of literature on time series forecasting in developing economies. The comparative framework </w:t>
      </w:r>
      <w:r w:rsidR="005C045F">
        <w:rPr>
          <w:rFonts w:ascii="Times New Roman" w:hAnsi="Times New Roman" w:cs="Times New Roman"/>
        </w:rPr>
        <w:t xml:space="preserve">– </w:t>
      </w:r>
      <w:r w:rsidRPr="00521DF8">
        <w:rPr>
          <w:rFonts w:ascii="Times New Roman" w:hAnsi="Times New Roman" w:cs="Times New Roman"/>
        </w:rPr>
        <w:t xml:space="preserve">applying ARIMA, ARIMAX, and VAR models within a single Ghanaian context </w:t>
      </w:r>
      <w:r w:rsidR="005C045F">
        <w:rPr>
          <w:rFonts w:ascii="Times New Roman" w:hAnsi="Times New Roman" w:cs="Times New Roman"/>
        </w:rPr>
        <w:t xml:space="preserve">– </w:t>
      </w:r>
      <w:r w:rsidRPr="00521DF8">
        <w:rPr>
          <w:rFonts w:ascii="Times New Roman" w:hAnsi="Times New Roman" w:cs="Times New Roman"/>
        </w:rPr>
        <w:t>provides a methodological reference for future studies on commodity price forecasting in Sub-Saharan Africa.</w:t>
      </w:r>
    </w:p>
    <w:p w14:paraId="67F09E43" w14:textId="77777777" w:rsidR="00521DF8" w:rsidRPr="00521DF8" w:rsidRDefault="00521DF8" w:rsidP="00521DF8">
      <w:pPr>
        <w:rPr>
          <w:rFonts w:ascii="Times New Roman" w:hAnsi="Times New Roman" w:cs="Times New Roman"/>
        </w:rPr>
      </w:pPr>
      <w:r w:rsidRPr="00521DF8">
        <w:rPr>
          <w:rFonts w:ascii="Times New Roman" w:hAnsi="Times New Roman" w:cs="Times New Roman"/>
          <w:b/>
          <w:bCs/>
        </w:rPr>
        <w:t>Bulk Distribution Companies (</w:t>
      </w:r>
      <w:proofErr w:type="spellStart"/>
      <w:r w:rsidRPr="00521DF8">
        <w:rPr>
          <w:rFonts w:ascii="Times New Roman" w:hAnsi="Times New Roman" w:cs="Times New Roman"/>
          <w:b/>
          <w:bCs/>
        </w:rPr>
        <w:t>BDCs</w:t>
      </w:r>
      <w:proofErr w:type="spellEnd"/>
      <w:r w:rsidRPr="00521DF8">
        <w:rPr>
          <w:rFonts w:ascii="Times New Roman" w:hAnsi="Times New Roman" w:cs="Times New Roman"/>
          <w:b/>
          <w:bCs/>
        </w:rPr>
        <w:t>):</w:t>
      </w:r>
      <w:r w:rsidRPr="00521DF8">
        <w:rPr>
          <w:rFonts w:ascii="Times New Roman" w:hAnsi="Times New Roman" w:cs="Times New Roman"/>
        </w:rPr>
        <w:t xml:space="preserve"> Fuel distributors can leverage price forecasts to optimise procurement, inventory management, and pricing strategies, reducing exposure to supply-side shocks.</w:t>
      </w:r>
    </w:p>
    <w:p w14:paraId="2B6F2235" w14:textId="77777777" w:rsidR="00521DF8" w:rsidRDefault="00521DF8">
      <w:pPr>
        <w:rPr>
          <w:rFonts w:ascii="Times New Roman" w:hAnsi="Times New Roman" w:cs="Times New Roman"/>
        </w:rPr>
      </w:pPr>
    </w:p>
    <w:p w14:paraId="3B952C47" w14:textId="4BB03DDD" w:rsidR="00935FF0" w:rsidRPr="00935FF0" w:rsidRDefault="00935FF0" w:rsidP="00935FF0">
      <w:pPr>
        <w:rPr>
          <w:rFonts w:ascii="Times New Roman" w:hAnsi="Times New Roman" w:cs="Times New Roman"/>
        </w:rPr>
      </w:pPr>
      <w:r w:rsidRPr="00935FF0">
        <w:rPr>
          <w:rFonts w:ascii="Times New Roman" w:hAnsi="Times New Roman" w:cs="Times New Roman"/>
          <w:b/>
          <w:bCs/>
        </w:rPr>
        <w:t xml:space="preserve">Section 1.5 </w:t>
      </w:r>
      <w:r w:rsidR="005C045F">
        <w:rPr>
          <w:rFonts w:ascii="Times New Roman" w:hAnsi="Times New Roman" w:cs="Times New Roman"/>
          <w:b/>
          <w:bCs/>
        </w:rPr>
        <w:t xml:space="preserve">– </w:t>
      </w:r>
      <w:r w:rsidRPr="00935FF0">
        <w:rPr>
          <w:rFonts w:ascii="Times New Roman" w:hAnsi="Times New Roman" w:cs="Times New Roman"/>
          <w:b/>
          <w:bCs/>
        </w:rPr>
        <w:t>Methodology Overview</w:t>
      </w:r>
    </w:p>
    <w:p w14:paraId="64D076EF" w14:textId="77777777" w:rsidR="00935FF0" w:rsidRPr="00935FF0" w:rsidRDefault="00000000" w:rsidP="00935FF0">
      <w:pPr>
        <w:rPr>
          <w:rFonts w:ascii="Times New Roman" w:hAnsi="Times New Roman" w:cs="Times New Roman"/>
        </w:rPr>
      </w:pPr>
      <w:r>
        <w:rPr>
          <w:rFonts w:ascii="Times New Roman" w:hAnsi="Times New Roman" w:cs="Times New Roman"/>
        </w:rPr>
        <w:pict w14:anchorId="110DB475">
          <v:rect id="_x0000_i1029" style="width:0;height:1.5pt" o:hralign="center" o:hrstd="t" o:hr="t" fillcolor="#a0a0a0" stroked="f"/>
        </w:pict>
      </w:r>
    </w:p>
    <w:p w14:paraId="2C6F922E" w14:textId="77777777" w:rsidR="00935FF0" w:rsidRPr="00935FF0" w:rsidRDefault="00935FF0" w:rsidP="00935FF0">
      <w:pPr>
        <w:rPr>
          <w:rFonts w:ascii="Times New Roman" w:hAnsi="Times New Roman" w:cs="Times New Roman"/>
        </w:rPr>
      </w:pPr>
      <w:r w:rsidRPr="00935FF0">
        <w:rPr>
          <w:rFonts w:ascii="Times New Roman" w:hAnsi="Times New Roman" w:cs="Times New Roman"/>
        </w:rPr>
        <w:t>This study relies on secondary data obtained from three primary sources. Monthly fuel price data for petrol, diesel, and LPG were sourced from the National Petroleum Authority (NPA) of Ghana. Exchange rate data (GHS/USD) were obtained from the Bank of Ghana, while Brent crude oil price data were retrieved from the U.S. Energy Information Administration (EIA). Inflation data, measured by the Consumer Price Index (CPI), were sourced from the Ghana Statistical Service (GSS). The study covers a monthly time series spanning from January 2013 to December 2023, yielding 132 observations per variable.</w:t>
      </w:r>
    </w:p>
    <w:p w14:paraId="4F47C301" w14:textId="360F8276" w:rsidR="00935FF0" w:rsidRPr="00935FF0" w:rsidRDefault="00935FF0" w:rsidP="00935FF0">
      <w:pPr>
        <w:rPr>
          <w:rFonts w:ascii="Times New Roman" w:hAnsi="Times New Roman" w:cs="Times New Roman"/>
        </w:rPr>
      </w:pPr>
      <w:r w:rsidRPr="00935FF0">
        <w:rPr>
          <w:rFonts w:ascii="Times New Roman" w:hAnsi="Times New Roman" w:cs="Times New Roman"/>
        </w:rPr>
        <w:t xml:space="preserve">Three time series models were employed to forecast fuel prices. First, an Autoregressive Integrated Moving Average (ARIMA) model was fitted to each fuel price series as a univariate baseline model. Second, an ARIMAX model was developed by incorporating exchange rate and Brent crude oil prices as external regressors to capture the influence of external shocks on fuel prices. Third, a Vector Autoregression (VAR) model was estimated to jointly model fuel prices alongside exchange rate, Brent crude oil prices, and inflation (CPI), allowing for dynamic interactions among all variables. Prior to model estimation, stationarity tests </w:t>
      </w:r>
      <w:r w:rsidR="005C045F">
        <w:rPr>
          <w:rFonts w:ascii="Times New Roman" w:hAnsi="Times New Roman" w:cs="Times New Roman"/>
        </w:rPr>
        <w:t xml:space="preserve">– </w:t>
      </w:r>
      <w:r w:rsidRPr="00935FF0">
        <w:rPr>
          <w:rFonts w:ascii="Times New Roman" w:hAnsi="Times New Roman" w:cs="Times New Roman"/>
        </w:rPr>
        <w:t xml:space="preserve">including the Augmented Dickey-Fuller (ADF) test </w:t>
      </w:r>
      <w:r w:rsidR="005C045F">
        <w:rPr>
          <w:rFonts w:ascii="Times New Roman" w:hAnsi="Times New Roman" w:cs="Times New Roman"/>
        </w:rPr>
        <w:t xml:space="preserve">– </w:t>
      </w:r>
      <w:r w:rsidRPr="00935FF0">
        <w:rPr>
          <w:rFonts w:ascii="Times New Roman" w:hAnsi="Times New Roman" w:cs="Times New Roman"/>
        </w:rPr>
        <w:t>were conducted on all series. Model performance was evaluated using the Root Mean Square Error (RMSE), Mean Absolute Error (MAE), and Mean Absolute Percentage Error (MAPE).</w:t>
      </w:r>
    </w:p>
    <w:p w14:paraId="64A95FB6" w14:textId="68FD535B" w:rsidR="00C42104" w:rsidRDefault="00B93194" w:rsidP="00C42104">
      <w:pPr>
        <w:rPr>
          <w:rFonts w:ascii="Times New Roman" w:hAnsi="Times New Roman" w:cs="Times New Roman"/>
        </w:rPr>
      </w:pPr>
      <w:r w:rsidRPr="00935FF0">
        <w:rPr>
          <w:rFonts w:ascii="Times New Roman" w:hAnsi="Times New Roman" w:cs="Times New Roman"/>
        </w:rPr>
        <w:t xml:space="preserve">All data processing, model estimation, and forecast evaluation were carried out using Python (version 3.x). Key libraries employed include </w:t>
      </w:r>
      <w:proofErr w:type="spellStart"/>
      <w:r w:rsidRPr="00935FF0">
        <w:rPr>
          <w:rFonts w:ascii="Times New Roman" w:hAnsi="Times New Roman" w:cs="Times New Roman"/>
          <w:i/>
          <w:iCs/>
        </w:rPr>
        <w:t>statsmodels</w:t>
      </w:r>
      <w:proofErr w:type="spellEnd"/>
      <w:r w:rsidRPr="00935FF0">
        <w:rPr>
          <w:rFonts w:ascii="Times New Roman" w:hAnsi="Times New Roman" w:cs="Times New Roman"/>
        </w:rPr>
        <w:t xml:space="preserve"> (Seabold &amp; </w:t>
      </w:r>
      <w:proofErr w:type="spellStart"/>
      <w:r w:rsidRPr="00935FF0">
        <w:rPr>
          <w:rFonts w:ascii="Times New Roman" w:hAnsi="Times New Roman" w:cs="Times New Roman"/>
        </w:rPr>
        <w:t>Perktold</w:t>
      </w:r>
      <w:proofErr w:type="spellEnd"/>
      <w:r w:rsidRPr="00935FF0">
        <w:rPr>
          <w:rFonts w:ascii="Times New Roman" w:hAnsi="Times New Roman" w:cs="Times New Roman"/>
        </w:rPr>
        <w:t xml:space="preserve">, 2010) for ARIMA, ARIMAX, and VAR model estimation, </w:t>
      </w:r>
      <w:r w:rsidRPr="00935FF0">
        <w:rPr>
          <w:rFonts w:ascii="Times New Roman" w:hAnsi="Times New Roman" w:cs="Times New Roman"/>
          <w:i/>
          <w:iCs/>
        </w:rPr>
        <w:t>pandas</w:t>
      </w:r>
      <w:r w:rsidRPr="00935FF0">
        <w:rPr>
          <w:rFonts w:ascii="Times New Roman" w:hAnsi="Times New Roman" w:cs="Times New Roman"/>
        </w:rPr>
        <w:t xml:space="preserve"> (McKinney, 2010) for data manipulation, and </w:t>
      </w:r>
      <w:r w:rsidRPr="00935FF0">
        <w:rPr>
          <w:rFonts w:ascii="Times New Roman" w:hAnsi="Times New Roman" w:cs="Times New Roman"/>
          <w:i/>
          <w:iCs/>
        </w:rPr>
        <w:t>matplotlib</w:t>
      </w:r>
      <w:r w:rsidRPr="00935FF0">
        <w:rPr>
          <w:rFonts w:ascii="Times New Roman" w:hAnsi="Times New Roman" w:cs="Times New Roman"/>
        </w:rPr>
        <w:t xml:space="preserve"> and </w:t>
      </w:r>
      <w:r w:rsidRPr="00935FF0">
        <w:rPr>
          <w:rFonts w:ascii="Times New Roman" w:hAnsi="Times New Roman" w:cs="Times New Roman"/>
          <w:i/>
          <w:iCs/>
        </w:rPr>
        <w:t>seaborn</w:t>
      </w:r>
      <w:r w:rsidRPr="00935FF0">
        <w:rPr>
          <w:rFonts w:ascii="Times New Roman" w:hAnsi="Times New Roman" w:cs="Times New Roman"/>
        </w:rPr>
        <w:t xml:space="preserve"> for graphical visualisation. Model diagnostic tests and forecast accuracy metrics were computed using built-in functions within the </w:t>
      </w:r>
      <w:proofErr w:type="spellStart"/>
      <w:r w:rsidRPr="00935FF0">
        <w:rPr>
          <w:rFonts w:ascii="Times New Roman" w:hAnsi="Times New Roman" w:cs="Times New Roman"/>
          <w:i/>
          <w:iCs/>
        </w:rPr>
        <w:t>statsmodels</w:t>
      </w:r>
      <w:proofErr w:type="spellEnd"/>
      <w:r w:rsidRPr="00935FF0">
        <w:rPr>
          <w:rFonts w:ascii="Times New Roman" w:hAnsi="Times New Roman" w:cs="Times New Roman"/>
        </w:rPr>
        <w:t xml:space="preserve"> and </w:t>
      </w:r>
      <w:r w:rsidRPr="00935FF0">
        <w:rPr>
          <w:rFonts w:ascii="Times New Roman" w:hAnsi="Times New Roman" w:cs="Times New Roman"/>
          <w:i/>
          <w:iCs/>
        </w:rPr>
        <w:t>scikit-learn</w:t>
      </w:r>
      <w:r w:rsidRPr="00935FF0">
        <w:rPr>
          <w:rFonts w:ascii="Times New Roman" w:hAnsi="Times New Roman" w:cs="Times New Roman"/>
        </w:rPr>
        <w:t xml:space="preserve"> (Pedregosa et al., 2011) libraries.</w:t>
      </w:r>
    </w:p>
    <w:p w14:paraId="6C25E20B" w14:textId="5F9F368C" w:rsidR="00935FF0" w:rsidRPr="00935FF0" w:rsidRDefault="00935FF0" w:rsidP="00935FF0">
      <w:pPr>
        <w:numPr>
          <w:ilvl w:val="0"/>
          <w:numId w:val="3"/>
        </w:numPr>
        <w:rPr>
          <w:rFonts w:ascii="Times New Roman" w:hAnsi="Times New Roman" w:cs="Times New Roman"/>
        </w:rPr>
      </w:pPr>
      <w:r w:rsidRPr="00935FF0">
        <w:rPr>
          <w:rFonts w:ascii="Times New Roman" w:hAnsi="Times New Roman" w:cs="Times New Roman"/>
        </w:rPr>
        <w:t xml:space="preserve">Seabold, S., &amp; </w:t>
      </w:r>
      <w:proofErr w:type="spellStart"/>
      <w:r w:rsidRPr="00935FF0">
        <w:rPr>
          <w:rFonts w:ascii="Times New Roman" w:hAnsi="Times New Roman" w:cs="Times New Roman"/>
        </w:rPr>
        <w:t>Perktold</w:t>
      </w:r>
      <w:proofErr w:type="spellEnd"/>
      <w:r w:rsidRPr="00935FF0">
        <w:rPr>
          <w:rFonts w:ascii="Times New Roman" w:hAnsi="Times New Roman" w:cs="Times New Roman"/>
        </w:rPr>
        <w:t xml:space="preserve">, J. (2010). </w:t>
      </w:r>
      <w:proofErr w:type="spellStart"/>
      <w:r w:rsidRPr="00935FF0">
        <w:rPr>
          <w:rFonts w:ascii="Times New Roman" w:hAnsi="Times New Roman" w:cs="Times New Roman"/>
        </w:rPr>
        <w:t>Statsmodels</w:t>
      </w:r>
      <w:proofErr w:type="spellEnd"/>
      <w:r w:rsidRPr="00935FF0">
        <w:rPr>
          <w:rFonts w:ascii="Times New Roman" w:hAnsi="Times New Roman" w:cs="Times New Roman"/>
        </w:rPr>
        <w:t xml:space="preserve">: Econometric and statistical </w:t>
      </w:r>
      <w:proofErr w:type="spellStart"/>
      <w:r w:rsidRPr="00935FF0">
        <w:rPr>
          <w:rFonts w:ascii="Times New Roman" w:hAnsi="Times New Roman" w:cs="Times New Roman"/>
        </w:rPr>
        <w:t>modeling</w:t>
      </w:r>
      <w:proofErr w:type="spellEnd"/>
      <w:r w:rsidRPr="00935FF0">
        <w:rPr>
          <w:rFonts w:ascii="Times New Roman" w:hAnsi="Times New Roman" w:cs="Times New Roman"/>
        </w:rPr>
        <w:t xml:space="preserve"> with Python. </w:t>
      </w:r>
      <w:r w:rsidRPr="00935FF0">
        <w:rPr>
          <w:rFonts w:ascii="Times New Roman" w:hAnsi="Times New Roman" w:cs="Times New Roman"/>
          <w:i/>
          <w:iCs/>
        </w:rPr>
        <w:t>Proceedings of the 9th Python in Science Conference</w:t>
      </w:r>
      <w:r w:rsidRPr="00935FF0">
        <w:rPr>
          <w:rFonts w:ascii="Times New Roman" w:hAnsi="Times New Roman" w:cs="Times New Roman"/>
        </w:rPr>
        <w:t>, 57</w:t>
      </w:r>
      <w:r w:rsidR="005C045F">
        <w:rPr>
          <w:rFonts w:ascii="Times New Roman" w:hAnsi="Times New Roman" w:cs="Times New Roman"/>
        </w:rPr>
        <w:t xml:space="preserve"> – </w:t>
      </w:r>
      <w:r w:rsidRPr="00935FF0">
        <w:rPr>
          <w:rFonts w:ascii="Times New Roman" w:hAnsi="Times New Roman" w:cs="Times New Roman"/>
        </w:rPr>
        <w:t>61.</w:t>
      </w:r>
    </w:p>
    <w:p w14:paraId="045DB663" w14:textId="66167FB2" w:rsidR="00935FF0" w:rsidRPr="00935FF0" w:rsidRDefault="00935FF0" w:rsidP="00935FF0">
      <w:pPr>
        <w:numPr>
          <w:ilvl w:val="0"/>
          <w:numId w:val="3"/>
        </w:numPr>
        <w:rPr>
          <w:rFonts w:ascii="Times New Roman" w:hAnsi="Times New Roman" w:cs="Times New Roman"/>
        </w:rPr>
      </w:pPr>
      <w:r w:rsidRPr="00935FF0">
        <w:rPr>
          <w:rFonts w:ascii="Times New Roman" w:hAnsi="Times New Roman" w:cs="Times New Roman"/>
        </w:rPr>
        <w:lastRenderedPageBreak/>
        <w:t xml:space="preserve">McKinney, W. (2010). Data structures for statistical computing in Python. </w:t>
      </w:r>
      <w:r w:rsidRPr="00935FF0">
        <w:rPr>
          <w:rFonts w:ascii="Times New Roman" w:hAnsi="Times New Roman" w:cs="Times New Roman"/>
          <w:i/>
          <w:iCs/>
        </w:rPr>
        <w:t>Proceedings of the 9th Python in Science Conference</w:t>
      </w:r>
      <w:r w:rsidRPr="00935FF0">
        <w:rPr>
          <w:rFonts w:ascii="Times New Roman" w:hAnsi="Times New Roman" w:cs="Times New Roman"/>
        </w:rPr>
        <w:t>, 51</w:t>
      </w:r>
      <w:r w:rsidR="005C045F">
        <w:rPr>
          <w:rFonts w:ascii="Times New Roman" w:hAnsi="Times New Roman" w:cs="Times New Roman"/>
        </w:rPr>
        <w:t xml:space="preserve"> – </w:t>
      </w:r>
      <w:r w:rsidRPr="00935FF0">
        <w:rPr>
          <w:rFonts w:ascii="Times New Roman" w:hAnsi="Times New Roman" w:cs="Times New Roman"/>
        </w:rPr>
        <w:t>56.</w:t>
      </w:r>
    </w:p>
    <w:p w14:paraId="0063D723" w14:textId="5DDA685B" w:rsidR="00C42104" w:rsidRDefault="00935FF0" w:rsidP="00C42104">
      <w:pPr>
        <w:numPr>
          <w:ilvl w:val="0"/>
          <w:numId w:val="3"/>
        </w:numPr>
        <w:rPr>
          <w:rFonts w:ascii="Times New Roman" w:hAnsi="Times New Roman" w:cs="Times New Roman"/>
        </w:rPr>
      </w:pPr>
      <w:r w:rsidRPr="00935FF0">
        <w:rPr>
          <w:rFonts w:ascii="Times New Roman" w:hAnsi="Times New Roman" w:cs="Times New Roman"/>
        </w:rPr>
        <w:t xml:space="preserve">Pedregosa, F., et al. (2011). Scikit-learn: Machine learning in Python. </w:t>
      </w:r>
      <w:r w:rsidRPr="00935FF0">
        <w:rPr>
          <w:rFonts w:ascii="Times New Roman" w:hAnsi="Times New Roman" w:cs="Times New Roman"/>
          <w:i/>
          <w:iCs/>
        </w:rPr>
        <w:t>Journal of Machine Learning Research, 12</w:t>
      </w:r>
      <w:r w:rsidRPr="00935FF0">
        <w:rPr>
          <w:rFonts w:ascii="Times New Roman" w:hAnsi="Times New Roman" w:cs="Times New Roman"/>
        </w:rPr>
        <w:t>, 2825</w:t>
      </w:r>
      <w:r w:rsidR="005C045F">
        <w:rPr>
          <w:rFonts w:ascii="Times New Roman" w:hAnsi="Times New Roman" w:cs="Times New Roman"/>
        </w:rPr>
        <w:t xml:space="preserve"> – </w:t>
      </w:r>
      <w:r w:rsidRPr="00935FF0">
        <w:rPr>
          <w:rFonts w:ascii="Times New Roman" w:hAnsi="Times New Roman" w:cs="Times New Roman"/>
        </w:rPr>
        <w:t>2830.</w:t>
      </w:r>
    </w:p>
    <w:p w14:paraId="31A2CFE2" w14:textId="6DE68A45" w:rsidR="00A931AC" w:rsidRPr="00A931AC" w:rsidRDefault="00A931AC" w:rsidP="00A931AC">
      <w:pPr>
        <w:rPr>
          <w:rFonts w:ascii="Times New Roman" w:hAnsi="Times New Roman" w:cs="Times New Roman"/>
        </w:rPr>
      </w:pPr>
      <w:r w:rsidRPr="00A931AC">
        <w:rPr>
          <w:rFonts w:ascii="Times New Roman" w:hAnsi="Times New Roman" w:cs="Times New Roman"/>
          <w:b/>
          <w:bCs/>
        </w:rPr>
        <w:t xml:space="preserve">Section 1.6 </w:t>
      </w:r>
      <w:r w:rsidR="005C045F">
        <w:rPr>
          <w:rFonts w:ascii="Times New Roman" w:hAnsi="Times New Roman" w:cs="Times New Roman"/>
          <w:b/>
          <w:bCs/>
        </w:rPr>
        <w:t xml:space="preserve">– </w:t>
      </w:r>
      <w:r w:rsidRPr="00A931AC">
        <w:rPr>
          <w:rFonts w:ascii="Times New Roman" w:hAnsi="Times New Roman" w:cs="Times New Roman"/>
          <w:b/>
          <w:bCs/>
        </w:rPr>
        <w:t>Organisation of the Study</w:t>
      </w:r>
    </w:p>
    <w:p w14:paraId="4E0DCC12" w14:textId="77777777" w:rsidR="00A931AC" w:rsidRPr="00A931AC" w:rsidRDefault="00000000" w:rsidP="00A931AC">
      <w:pPr>
        <w:rPr>
          <w:rFonts w:ascii="Times New Roman" w:hAnsi="Times New Roman" w:cs="Times New Roman"/>
        </w:rPr>
      </w:pPr>
      <w:r>
        <w:rPr>
          <w:rFonts w:ascii="Times New Roman" w:hAnsi="Times New Roman" w:cs="Times New Roman"/>
        </w:rPr>
        <w:pict w14:anchorId="7E9EEACE">
          <v:rect id="_x0000_i1030" style="width:0;height:1.5pt" o:hralign="center" o:hrstd="t" o:hr="t" fillcolor="#a0a0a0" stroked="f"/>
        </w:pict>
      </w:r>
    </w:p>
    <w:p w14:paraId="025AA682" w14:textId="77777777" w:rsidR="00A931AC" w:rsidRPr="00A931AC" w:rsidRDefault="00A931AC" w:rsidP="00A931AC">
      <w:pPr>
        <w:rPr>
          <w:rFonts w:ascii="Times New Roman" w:hAnsi="Times New Roman" w:cs="Times New Roman"/>
        </w:rPr>
      </w:pPr>
      <w:r w:rsidRPr="00A931AC">
        <w:rPr>
          <w:rFonts w:ascii="Times New Roman" w:hAnsi="Times New Roman" w:cs="Times New Roman"/>
        </w:rPr>
        <w:t>This study is organised into five chapters. Chapter One introduces the study by presenting the background of the study, problem statement, objectives, significance, a brief overview of the methodology, and the organisation of the study. Chapter Two presents a review of relevant literature, covering theoretical frameworks and empirical studies related to fuel price dynamics, time series forecasting, and the application of ARIMA, ARIMAX, and VAR models in commodity price forecasting. Chapter Three details the methodology adopted for the study, including the data sources, variable descriptions, model specifications, stationarity testing procedures, and forecast evaluation criteria. Chapter Four presents and discusses the results of the data analysis, including descriptive statistics, model estimation outputs, forecast performance, and a comparative evaluation of the three models. Chapter Five provides a summary of the key findings, conclusions drawn from the study, and recommendations for policymakers, regulatory bodies, and future researchers.</w:t>
      </w:r>
    </w:p>
    <w:p w14:paraId="4E0175CD" w14:textId="77777777" w:rsidR="00A931AC" w:rsidRPr="00A931AC" w:rsidRDefault="00A931AC" w:rsidP="00A931AC">
      <w:pPr>
        <w:rPr>
          <w:rFonts w:ascii="Times New Roman" w:hAnsi="Times New Roman" w:cs="Times New Roman"/>
        </w:rPr>
      </w:pPr>
    </w:p>
    <w:sectPr w:rsidR="00A931AC" w:rsidRPr="00A931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6DDB"/>
    <w:multiLevelType w:val="multilevel"/>
    <w:tmpl w:val="6916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B2DFE"/>
    <w:multiLevelType w:val="multilevel"/>
    <w:tmpl w:val="304AD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5167AD"/>
    <w:multiLevelType w:val="multilevel"/>
    <w:tmpl w:val="3200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360BDA"/>
    <w:multiLevelType w:val="multilevel"/>
    <w:tmpl w:val="96B04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3898999">
    <w:abstractNumId w:val="3"/>
  </w:num>
  <w:num w:numId="2" w16cid:durableId="1900094933">
    <w:abstractNumId w:val="2"/>
  </w:num>
  <w:num w:numId="3" w16cid:durableId="1765958862">
    <w:abstractNumId w:val="0"/>
  </w:num>
  <w:num w:numId="4" w16cid:durableId="759955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548"/>
    <w:rsid w:val="000C56F3"/>
    <w:rsid w:val="00122548"/>
    <w:rsid w:val="001E3AB1"/>
    <w:rsid w:val="00353CFE"/>
    <w:rsid w:val="00521DF8"/>
    <w:rsid w:val="005C045F"/>
    <w:rsid w:val="006437C4"/>
    <w:rsid w:val="00686C89"/>
    <w:rsid w:val="006F30AF"/>
    <w:rsid w:val="007B74BF"/>
    <w:rsid w:val="00917FBB"/>
    <w:rsid w:val="00935FF0"/>
    <w:rsid w:val="00A931AC"/>
    <w:rsid w:val="00B93194"/>
    <w:rsid w:val="00BF3BB8"/>
    <w:rsid w:val="00C34D8D"/>
    <w:rsid w:val="00C42104"/>
    <w:rsid w:val="00D13C10"/>
    <w:rsid w:val="00D560EC"/>
    <w:rsid w:val="00EC4984"/>
    <w:rsid w:val="00F7112B"/>
    <w:rsid w:val="00FB1C0A"/>
    <w:rsid w:val="00FF7EA6"/>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69F70"/>
  <w15:chartTrackingRefBased/>
  <w15:docId w15:val="{F4511BED-FC73-43BC-A984-5EBBF45AA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548"/>
    <w:rPr>
      <w:rFonts w:eastAsiaTheme="majorEastAsia" w:cstheme="majorBidi"/>
      <w:color w:val="272727" w:themeColor="text1" w:themeTint="D8"/>
    </w:rPr>
  </w:style>
  <w:style w:type="paragraph" w:styleId="Title">
    <w:name w:val="Title"/>
    <w:basedOn w:val="Normal"/>
    <w:next w:val="Normal"/>
    <w:link w:val="TitleChar"/>
    <w:uiPriority w:val="10"/>
    <w:qFormat/>
    <w:rsid w:val="00122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548"/>
    <w:pPr>
      <w:spacing w:before="160"/>
      <w:jc w:val="center"/>
    </w:pPr>
    <w:rPr>
      <w:i/>
      <w:iCs/>
      <w:color w:val="404040" w:themeColor="text1" w:themeTint="BF"/>
    </w:rPr>
  </w:style>
  <w:style w:type="character" w:customStyle="1" w:styleId="QuoteChar">
    <w:name w:val="Quote Char"/>
    <w:basedOn w:val="DefaultParagraphFont"/>
    <w:link w:val="Quote"/>
    <w:uiPriority w:val="29"/>
    <w:rsid w:val="00122548"/>
    <w:rPr>
      <w:i/>
      <w:iCs/>
      <w:color w:val="404040" w:themeColor="text1" w:themeTint="BF"/>
    </w:rPr>
  </w:style>
  <w:style w:type="paragraph" w:styleId="ListParagraph">
    <w:name w:val="List Paragraph"/>
    <w:basedOn w:val="Normal"/>
    <w:uiPriority w:val="34"/>
    <w:qFormat/>
    <w:rsid w:val="00122548"/>
    <w:pPr>
      <w:ind w:left="720"/>
      <w:contextualSpacing/>
    </w:pPr>
  </w:style>
  <w:style w:type="character" w:styleId="IntenseEmphasis">
    <w:name w:val="Intense Emphasis"/>
    <w:basedOn w:val="DefaultParagraphFont"/>
    <w:uiPriority w:val="21"/>
    <w:qFormat/>
    <w:rsid w:val="00122548"/>
    <w:rPr>
      <w:i/>
      <w:iCs/>
      <w:color w:val="0F4761" w:themeColor="accent1" w:themeShade="BF"/>
    </w:rPr>
  </w:style>
  <w:style w:type="paragraph" w:styleId="IntenseQuote">
    <w:name w:val="Intense Quote"/>
    <w:basedOn w:val="Normal"/>
    <w:next w:val="Normal"/>
    <w:link w:val="IntenseQuoteChar"/>
    <w:uiPriority w:val="30"/>
    <w:qFormat/>
    <w:rsid w:val="00122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548"/>
    <w:rPr>
      <w:i/>
      <w:iCs/>
      <w:color w:val="0F4761" w:themeColor="accent1" w:themeShade="BF"/>
    </w:rPr>
  </w:style>
  <w:style w:type="character" w:styleId="IntenseReference">
    <w:name w:val="Intense Reference"/>
    <w:basedOn w:val="DefaultParagraphFont"/>
    <w:uiPriority w:val="32"/>
    <w:qFormat/>
    <w:rsid w:val="001225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9A79401FCA20B48BC2D5BC3B4486ECB" ma:contentTypeVersion="10" ma:contentTypeDescription="Create a new document." ma:contentTypeScope="" ma:versionID="70af42405b8a534e5b54171e7be91a3d">
  <xsd:schema xmlns:xsd="http://www.w3.org/2001/XMLSchema" xmlns:xs="http://www.w3.org/2001/XMLSchema" xmlns:p="http://schemas.microsoft.com/office/2006/metadata/properties" xmlns:ns3="919c896f-2556-40fa-a2e5-a327a5cfdc9b" targetNamespace="http://schemas.microsoft.com/office/2006/metadata/properties" ma:root="true" ma:fieldsID="4271f00df38a4456bc8ee7a19ba00849" ns3:_="">
    <xsd:import namespace="919c896f-2556-40fa-a2e5-a327a5cfdc9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9c896f-2556-40fa-a2e5-a327a5cfdc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1A9490-CDDD-44CC-B042-3560735403CA}">
  <ds:schemaRefs>
    <ds:schemaRef ds:uri="http://schemas.microsoft.com/sharepoint/v3/contenttype/forms"/>
  </ds:schemaRefs>
</ds:datastoreItem>
</file>

<file path=customXml/itemProps2.xml><?xml version="1.0" encoding="utf-8"?>
<ds:datastoreItem xmlns:ds="http://schemas.openxmlformats.org/officeDocument/2006/customXml" ds:itemID="{DE667BEA-8480-46C5-AE16-7FDBEAF6475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9392C20-DE12-4B8A-B1B1-BC4E0A96A4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9c896f-2556-40fa-a2e5-a327a5cfdc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7427</TotalTime>
  <Pages>6</Pages>
  <Words>2407</Words>
  <Characters>13603</Characters>
  <Application>Microsoft Office Word</Application>
  <DocSecurity>0</DocSecurity>
  <Lines>377</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Adams Emmanuel Paddy</dc:creator>
  <cp:keywords/>
  <dc:description/>
  <cp:lastModifiedBy>Adams Emmanuel Paddy</cp:lastModifiedBy>
  <cp:revision>6</cp:revision>
  <dcterms:created xsi:type="dcterms:W3CDTF">2026-05-05T09:58:00Z</dcterms:created>
  <dcterms:modified xsi:type="dcterms:W3CDTF">2026-05-15T12:50:00Z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db45a2f2-db53-498b-bc8a-1a363da63c00</vt:lpwstr>
  </property>
  <property fmtid="{D5CDD505-2E9C-101B-9397-08002B2CF9AE}" pid="3" name="ContentTypeId">
    <vt:lpwstr>0x01010069A79401FCA20B48BC2D5BC3B4486ECB</vt:lpwstr>
  </property>
</Properties>
</file>