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DE" w:rsidRPr="00C00EA7" w:rsidRDefault="00000245">
      <w:pPr>
        <w:pStyle w:val="Ttulo2"/>
        <w:rPr>
          <w:lang w:val="en-GB"/>
        </w:rPr>
      </w:pPr>
      <w:r w:rsidRPr="00C00EA7">
        <w:rPr>
          <w:lang w:val="en-GB"/>
        </w:rPr>
        <w:t>Procurem</w:t>
      </w:r>
      <w:bookmarkStart w:id="0" w:name="_GoBack"/>
      <w:bookmarkEnd w:id="0"/>
      <w:r w:rsidRPr="00C00EA7">
        <w:rPr>
          <w:lang w:val="en-GB"/>
        </w:rPr>
        <w:t>ent Terms diagram</w:t>
      </w:r>
    </w:p>
    <w:p w:rsidR="00117CDE" w:rsidRPr="00C00EA7" w:rsidRDefault="00000245">
      <w:pPr>
        <w:pStyle w:val="Notes"/>
        <w:rPr>
          <w:lang w:val="en-GB"/>
        </w:rPr>
      </w:pPr>
      <w:r w:rsidRPr="00C00EA7">
        <w:rPr>
          <w:rStyle w:val="Italics"/>
          <w:color w:val="000000"/>
          <w:lang w:val="en-GB"/>
        </w:rPr>
        <w:t>Class diagram in package 'epo'</w:t>
      </w:r>
    </w:p>
    <w:p w:rsidR="00117CDE" w:rsidRPr="00C00EA7" w:rsidRDefault="00117CDE">
      <w:pPr>
        <w:pStyle w:val="Notes"/>
        <w:rPr>
          <w:lang w:val="en-GB"/>
        </w:rPr>
      </w:pPr>
    </w:p>
    <w:p w:rsidR="00117CDE" w:rsidRPr="00C00EA7" w:rsidRDefault="00000245">
      <w:pPr>
        <w:pStyle w:val="Notes"/>
        <w:numPr>
          <w:ilvl w:val="0"/>
          <w:numId w:val="5"/>
        </w:numPr>
        <w:ind w:left="360" w:hanging="360"/>
        <w:rPr>
          <w:color w:val="000000"/>
          <w:lang w:val="en-GB"/>
        </w:rPr>
      </w:pPr>
      <w:r w:rsidRPr="00C00EA7">
        <w:rPr>
          <w:color w:val="000000"/>
          <w:lang w:val="en-GB"/>
        </w:rPr>
        <w:t>Any Procurement Procedure has properties that define the procedure itself on the one hand, but also the "terms" that limit or specify the procurement activity.</w:t>
      </w:r>
    </w:p>
    <w:p w:rsidR="00117CDE" w:rsidRPr="00C00EA7" w:rsidRDefault="00000245">
      <w:pPr>
        <w:pStyle w:val="Notes"/>
        <w:numPr>
          <w:ilvl w:val="0"/>
          <w:numId w:val="5"/>
        </w:numPr>
        <w:ind w:left="360" w:hanging="360"/>
        <w:rPr>
          <w:color w:val="000000"/>
          <w:lang w:val="en-GB"/>
        </w:rPr>
      </w:pPr>
      <w:r w:rsidRPr="00C00EA7">
        <w:rPr>
          <w:color w:val="000000"/>
          <w:lang w:val="en-GB"/>
        </w:rPr>
        <w:t>The Procurement Terms are "conditions or stipulations establish by the Procuring Entity limiting what is proposed to be granted or done by the Economic Operator" (see the ePO Glossary definition):</w:t>
      </w:r>
    </w:p>
    <w:p w:rsidR="00117CDE" w:rsidRPr="00C00EA7" w:rsidRDefault="00000245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C00EA7">
        <w:rPr>
          <w:color w:val="000000"/>
          <w:u w:val="single"/>
          <w:lang w:val="en-GB"/>
        </w:rPr>
        <w:t>Financial Terms</w:t>
      </w:r>
      <w:r w:rsidRPr="00C00EA7">
        <w:rPr>
          <w:color w:val="000000"/>
          <w:lang w:val="en-GB"/>
        </w:rPr>
        <w:t>: economic conditions and stipulations refer</w:t>
      </w:r>
      <w:r w:rsidRPr="00C00EA7">
        <w:rPr>
          <w:color w:val="000000"/>
          <w:lang w:val="en-GB"/>
        </w:rPr>
        <w:t xml:space="preserve"> to the procurement. Beware that the information related to the funding of the procurement are not considered terms but general information, see the diagram Procurement Project for more details.</w:t>
      </w:r>
    </w:p>
    <w:p w:rsidR="00117CDE" w:rsidRPr="00C00EA7" w:rsidRDefault="00000245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C00EA7">
        <w:rPr>
          <w:color w:val="000000"/>
          <w:u w:val="single"/>
          <w:lang w:val="en-GB"/>
        </w:rPr>
        <w:t>Subcontract Terms</w:t>
      </w:r>
      <w:r w:rsidRPr="00C00EA7">
        <w:rPr>
          <w:color w:val="000000"/>
          <w:lang w:val="en-GB"/>
        </w:rPr>
        <w:t>: conditions and stipulations about the work</w:t>
      </w:r>
      <w:r w:rsidRPr="00C00EA7">
        <w:rPr>
          <w:color w:val="000000"/>
          <w:lang w:val="en-GB"/>
        </w:rPr>
        <w:t>s or services that the Economic Operator will be able to rely on 3rd parties.</w:t>
      </w:r>
    </w:p>
    <w:p w:rsidR="00117CDE" w:rsidRPr="00C00EA7" w:rsidRDefault="00000245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C00EA7">
        <w:rPr>
          <w:color w:val="000000"/>
          <w:u w:val="single"/>
          <w:lang w:val="en-GB"/>
        </w:rPr>
        <w:t>Tender Submission Terms</w:t>
      </w:r>
      <w:r w:rsidRPr="00C00EA7">
        <w:rPr>
          <w:color w:val="000000"/>
          <w:lang w:val="en-GB"/>
        </w:rPr>
        <w:t>: conditions and stipulations about the Tender and how it is required to be submitted.</w:t>
      </w:r>
    </w:p>
    <w:p w:rsidR="00117CDE" w:rsidRPr="00C00EA7" w:rsidRDefault="00000245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C00EA7">
        <w:rPr>
          <w:color w:val="000000"/>
          <w:u w:val="single"/>
          <w:lang w:val="en-GB"/>
        </w:rPr>
        <w:t>Contract Terms</w:t>
      </w:r>
      <w:r w:rsidRPr="00C00EA7">
        <w:rPr>
          <w:color w:val="000000"/>
          <w:lang w:val="en-GB"/>
        </w:rPr>
        <w:t>: conditions and stipulations that will affect the fut</w:t>
      </w:r>
      <w:r w:rsidRPr="00C00EA7">
        <w:rPr>
          <w:color w:val="000000"/>
          <w:lang w:val="en-GB"/>
        </w:rPr>
        <w:t>ure contract(s) once awarded.</w:t>
      </w:r>
    </w:p>
    <w:p w:rsidR="00117CDE" w:rsidRPr="00C00EA7" w:rsidRDefault="00000245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C00EA7">
        <w:rPr>
          <w:color w:val="000000"/>
          <w:u w:val="single"/>
          <w:lang w:val="en-GB"/>
        </w:rPr>
        <w:t>Tender Evaluation Terms</w:t>
      </w:r>
      <w:r w:rsidRPr="00C00EA7">
        <w:rPr>
          <w:color w:val="000000"/>
          <w:lang w:val="en-GB"/>
        </w:rPr>
        <w:t>: conditions and stipulations aimed to evaluate the tenders.</w:t>
      </w:r>
    </w:p>
    <w:p w:rsidR="00117CDE" w:rsidRPr="00C00EA7" w:rsidRDefault="00000245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C00EA7">
        <w:rPr>
          <w:color w:val="000000"/>
          <w:u w:val="single"/>
          <w:lang w:val="en-GB"/>
        </w:rPr>
        <w:t>Notification Terms</w:t>
      </w:r>
      <w:r w:rsidRPr="00C00EA7">
        <w:rPr>
          <w:color w:val="000000"/>
          <w:lang w:val="en-GB"/>
        </w:rPr>
        <w:t>: conditions and stipulations regarding notification deadlines.</w:t>
      </w:r>
    </w:p>
    <w:p w:rsidR="00117CDE" w:rsidRPr="00C00EA7" w:rsidRDefault="00000245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C00EA7">
        <w:rPr>
          <w:color w:val="000000"/>
          <w:u w:val="single"/>
          <w:lang w:val="en-GB"/>
        </w:rPr>
        <w:t>Procedure Terms</w:t>
      </w:r>
      <w:r w:rsidRPr="00C00EA7">
        <w:rPr>
          <w:color w:val="000000"/>
          <w:lang w:val="en-GB"/>
        </w:rPr>
        <w:t>: conditions and stipulations determining how</w:t>
      </w:r>
      <w:r w:rsidRPr="00C00EA7">
        <w:rPr>
          <w:color w:val="000000"/>
          <w:lang w:val="en-GB"/>
        </w:rPr>
        <w:t xml:space="preserve"> the Procuring Entity requires the Economic Operator to execute certain steps of the procedure.</w:t>
      </w:r>
    </w:p>
    <w:p w:rsidR="00117CDE" w:rsidRPr="00C00EA7" w:rsidRDefault="00117CDE">
      <w:pPr>
        <w:pStyle w:val="Notes"/>
        <w:rPr>
          <w:color w:val="000000"/>
          <w:lang w:val="en-GB"/>
        </w:rPr>
      </w:pPr>
    </w:p>
    <w:p w:rsidR="00117CDE" w:rsidRDefault="00000245">
      <w:pPr>
        <w:pStyle w:val="Notes"/>
      </w:pPr>
      <w:r>
        <w:rPr>
          <w:noProof/>
          <w:sz w:val="0"/>
          <w:szCs w:val="0"/>
        </w:rPr>
        <w:drawing>
          <wp:inline distT="0" distB="0" distL="0" distR="0">
            <wp:extent cx="2038350" cy="153352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117CDE" w:rsidRDefault="00117CDE">
      <w:pPr>
        <w:pStyle w:val="Notes"/>
      </w:pPr>
    </w:p>
    <w:p w:rsidR="00117CDE" w:rsidRPr="00C00EA7" w:rsidRDefault="00000245">
      <w:pPr>
        <w:pStyle w:val="Properties"/>
        <w:tabs>
          <w:tab w:val="left" w:pos="720"/>
        </w:tabs>
        <w:rPr>
          <w:lang w:val="en-GB"/>
        </w:rPr>
      </w:pPr>
      <w:r w:rsidRPr="00C00EA7">
        <w:rPr>
          <w:lang w:val="en-GB"/>
        </w:rPr>
        <w:t>Procurement Terms</w:t>
      </w:r>
    </w:p>
    <w:p w:rsidR="00117CDE" w:rsidRPr="00C00EA7" w:rsidRDefault="00000245">
      <w:pPr>
        <w:pStyle w:val="Properties"/>
        <w:tabs>
          <w:tab w:val="left" w:pos="720"/>
        </w:tabs>
        <w:rPr>
          <w:lang w:val="en-GB"/>
        </w:rPr>
      </w:pPr>
      <w:r w:rsidRPr="00C00EA7">
        <w:rPr>
          <w:lang w:val="en-GB"/>
        </w:rPr>
        <w:t>Version 1.0</w:t>
      </w:r>
    </w:p>
    <w:p w:rsidR="00117CDE" w:rsidRDefault="00000245">
      <w:pPr>
        <w:pStyle w:val="Properties"/>
        <w:tabs>
          <w:tab w:val="left" w:pos="720"/>
        </w:tabs>
      </w:pPr>
      <w:r w:rsidRPr="00C00EA7">
        <w:rPr>
          <w:lang w:val="en-GB"/>
        </w:rPr>
        <w:t xml:space="preserve">lbotapor created on 21/03/2018.  </w:t>
      </w:r>
      <w:r>
        <w:t>Last modified 14/05/2018</w:t>
      </w:r>
    </w:p>
    <w:p w:rsidR="00117CDE" w:rsidRDefault="00117CDE">
      <w:pPr>
        <w:rPr>
          <w:sz w:val="20"/>
          <w:szCs w:val="20"/>
        </w:rPr>
      </w:pPr>
    </w:p>
    <w:p w:rsidR="00117CDE" w:rsidRDefault="00000245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6151880" cy="77044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770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CDE" w:rsidRDefault="00117CDE">
      <w:pPr>
        <w:pStyle w:val="DiagramImage"/>
        <w:rPr>
          <w:sz w:val="20"/>
          <w:szCs w:val="20"/>
        </w:rPr>
      </w:pPr>
    </w:p>
    <w:p w:rsidR="00117CDE" w:rsidRDefault="00000245">
      <w:pPr>
        <w:pStyle w:val="DiagramLabel"/>
        <w:rPr>
          <w:color w:val="000000"/>
        </w:rPr>
      </w:pPr>
      <w:r>
        <w:rPr>
          <w:color w:val="000000"/>
        </w:rPr>
        <w:t>Procurement Terms</w:t>
      </w:r>
    </w:p>
    <w:p w:rsidR="00117CDE" w:rsidRDefault="00117CDE">
      <w:bookmarkStart w:id="1" w:name="BKM_4F4D2BE8_EF59_46FD_A8DB_4F99F53818D6"/>
      <w:bookmarkEnd w:id="1"/>
    </w:p>
    <w:sectPr w:rsidR="00117CDE">
      <w:headerReference w:type="default" r:id="rId9"/>
      <w:footerReference w:type="default" r:id="rId10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245" w:rsidRDefault="00000245">
      <w:r>
        <w:separator/>
      </w:r>
    </w:p>
  </w:endnote>
  <w:endnote w:type="continuationSeparator" w:id="0">
    <w:p w:rsidR="00000245" w:rsidRDefault="0000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Liberation Sans Narrow">
    <w:panose1 w:val="020B0606020202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CDE" w:rsidRDefault="00000245">
    <w:pPr>
      <w:rPr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245" w:rsidRDefault="00000245">
      <w:r>
        <w:separator/>
      </w:r>
    </w:p>
  </w:footnote>
  <w:footnote w:type="continuationSeparator" w:id="0">
    <w:p w:rsidR="00000245" w:rsidRDefault="00000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CDE" w:rsidRDefault="00000245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Diagram Report</w:t>
    </w:r>
    <w:r>
      <w:tab/>
      <w:t xml:space="preserve">Page: </w:t>
    </w:r>
    <w:r>
      <w:fldChar w:fldCharType="begin"/>
    </w:r>
    <w:r>
      <w:instrText xml:space="preserve">PAGE </w:instrText>
    </w:r>
    <w:r>
      <w:fldChar w:fldCharType="separate"/>
    </w:r>
    <w:r w:rsidR="00C00EA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F9F60E16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7D742E60"/>
    <w:name w:val="TerOld1"/>
    <w:lvl w:ilvl="0">
      <w:numFmt w:val="decimal"/>
      <w:lvlText w:val="%1"/>
      <w:lvlJc w:val="left"/>
    </w:lvl>
  </w:abstractNum>
  <w:abstractNum w:abstractNumId="2" w15:restartNumberingAfterBreak="0">
    <w:nsid w:val="5F681E38"/>
    <w:multiLevelType w:val="multilevel"/>
    <w:tmpl w:val="E6B091A8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5F681FCE"/>
    <w:multiLevelType w:val="multilevel"/>
    <w:tmpl w:val="0B2E2AE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5F6820C8"/>
    <w:multiLevelType w:val="multilevel"/>
    <w:tmpl w:val="DE96A05A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5F6820D7"/>
    <w:multiLevelType w:val="multilevel"/>
    <w:tmpl w:val="4210AFB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5F682358"/>
    <w:multiLevelType w:val="multilevel"/>
    <w:tmpl w:val="8F44AB8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5F682423"/>
    <w:multiLevelType w:val="multilevel"/>
    <w:tmpl w:val="1222DE8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5F68251D"/>
    <w:multiLevelType w:val="multilevel"/>
    <w:tmpl w:val="9DA2C29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117CDE"/>
    <w:rsid w:val="00000245"/>
    <w:rsid w:val="00117CDE"/>
    <w:rsid w:val="00C0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8637F4-6AB3-441E-A876-F8CAAB93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de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 Font Sanchez</cp:lastModifiedBy>
  <cp:revision>1</cp:revision>
  <dcterms:created xsi:type="dcterms:W3CDTF">2018-05-14T14:29:00Z</dcterms:created>
  <dcterms:modified xsi:type="dcterms:W3CDTF">2018-05-14T12:30:00Z</dcterms:modified>
</cp:coreProperties>
</file>