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B6" w:rsidRDefault="003A18B6">
      <w:pPr>
        <w:pStyle w:val="Ttulo2"/>
        <w:rPr>
          <w:lang w:val="en-GB"/>
        </w:rPr>
      </w:pPr>
    </w:p>
    <w:p w:rsidR="00FB48B3" w:rsidRPr="003A18B6" w:rsidRDefault="00562C2F">
      <w:pPr>
        <w:pStyle w:val="Ttulo2"/>
        <w:rPr>
          <w:lang w:val="en-GB"/>
        </w:rPr>
      </w:pPr>
      <w:r w:rsidRPr="003A18B6">
        <w:rPr>
          <w:lang w:val="en-GB"/>
        </w:rPr>
        <w:t>Procuring Entity diagram</w:t>
      </w:r>
    </w:p>
    <w:p w:rsidR="00FB48B3" w:rsidRPr="003A18B6" w:rsidRDefault="00562C2F">
      <w:pPr>
        <w:pStyle w:val="Notes"/>
        <w:rPr>
          <w:lang w:val="en-GB"/>
        </w:rPr>
      </w:pPr>
      <w:r w:rsidRPr="003A18B6">
        <w:rPr>
          <w:rStyle w:val="Italics"/>
          <w:color w:val="000000"/>
          <w:lang w:val="en-GB"/>
        </w:rPr>
        <w:t>Class diagram in package 'epo'</w:t>
      </w:r>
    </w:p>
    <w:p w:rsidR="00FB48B3" w:rsidRPr="003A18B6" w:rsidRDefault="00FB48B3">
      <w:pPr>
        <w:pStyle w:val="Notes"/>
        <w:rPr>
          <w:lang w:val="en-GB"/>
        </w:rPr>
      </w:pPr>
    </w:p>
    <w:p w:rsidR="00FB48B3" w:rsidRPr="003A18B6" w:rsidRDefault="00562C2F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3A18B6">
        <w:rPr>
          <w:color w:val="000000"/>
          <w:lang w:val="en-GB"/>
        </w:rPr>
        <w:t>In any Procurement Procedure, there is at least one Procuring Entity;</w:t>
      </w:r>
    </w:p>
    <w:p w:rsidR="00FB48B3" w:rsidRPr="003A18B6" w:rsidRDefault="00562C2F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3A18B6">
        <w:rPr>
          <w:color w:val="000000"/>
          <w:lang w:val="en-GB"/>
        </w:rPr>
        <w:t>Procuring Entities are “Organizations”, appropriately identified and described (IDs, Names, Addresses, Contact Points, etc.);</w:t>
      </w:r>
    </w:p>
    <w:p w:rsidR="00FB48B3" w:rsidRPr="003A18B6" w:rsidRDefault="00562C2F" w:rsidP="003A18B6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3A18B6">
        <w:rPr>
          <w:color w:val="000000"/>
          <w:lang w:val="en-GB"/>
        </w:rPr>
        <w:t xml:space="preserve">Depending on its </w:t>
      </w:r>
      <w:r w:rsidR="003A18B6" w:rsidRPr="003A18B6">
        <w:rPr>
          <w:color w:val="000000"/>
          <w:lang w:val="en-GB"/>
        </w:rPr>
        <w:t xml:space="preserve">nature and </w:t>
      </w:r>
      <w:r w:rsidRPr="003A18B6">
        <w:rPr>
          <w:color w:val="000000"/>
          <w:lang w:val="en-GB"/>
        </w:rPr>
        <w:t xml:space="preserve">main activity a Procuring Entity may be identified simply as a Contracting Authority </w:t>
      </w:r>
      <w:r w:rsidR="003A18B6" w:rsidRPr="003A18B6">
        <w:rPr>
          <w:color w:val="000000"/>
          <w:lang w:val="en-GB"/>
        </w:rPr>
        <w:t xml:space="preserve">(general procurement) </w:t>
      </w:r>
      <w:r w:rsidRPr="003A18B6">
        <w:rPr>
          <w:color w:val="000000"/>
          <w:lang w:val="en-GB"/>
        </w:rPr>
        <w:t xml:space="preserve">or as a Contracting Entity </w:t>
      </w:r>
      <w:r w:rsidR="003A18B6" w:rsidRPr="003A18B6">
        <w:rPr>
          <w:color w:val="000000"/>
          <w:lang w:val="en-GB"/>
        </w:rPr>
        <w:t xml:space="preserve">pursuing the procurement of gas and </w:t>
      </w:r>
      <w:r w:rsidR="003A18B6" w:rsidRPr="003A18B6">
        <w:rPr>
          <w:color w:val="000000"/>
          <w:lang w:val="en-GB"/>
        </w:rPr>
        <w:t>heat, electricity, water, transport services, ports and airports, postal services and</w:t>
      </w:r>
      <w:r w:rsidR="003A18B6">
        <w:rPr>
          <w:color w:val="000000"/>
          <w:lang w:val="en-GB"/>
        </w:rPr>
        <w:t xml:space="preserve"> </w:t>
      </w:r>
      <w:r w:rsidR="003A18B6" w:rsidRPr="003A18B6">
        <w:rPr>
          <w:color w:val="000000"/>
          <w:lang w:val="en-GB"/>
        </w:rPr>
        <w:t>extraction of oil and gas and exploration for, or extraction of, coal or other solid fuels.</w:t>
      </w:r>
      <w:r w:rsidR="003A18B6">
        <w:rPr>
          <w:color w:val="000000"/>
          <w:lang w:val="en-GB"/>
        </w:rPr>
        <w:t xml:space="preserve"> Contracting Entities may </w:t>
      </w:r>
      <w:r w:rsidRPr="003A18B6">
        <w:rPr>
          <w:color w:val="000000"/>
          <w:lang w:val="en-GB"/>
        </w:rPr>
        <w:t>in turn may be a Contracting Authority, a Public Undertaking or entities with special or exclusive rights which activity i</w:t>
      </w:r>
      <w:r w:rsidRPr="003A18B6">
        <w:rPr>
          <w:color w:val="000000"/>
          <w:lang w:val="en-GB"/>
        </w:rPr>
        <w:t>s (Procuring Entity Type code list);</w:t>
      </w:r>
    </w:p>
    <w:p w:rsidR="00FB48B3" w:rsidRPr="003A18B6" w:rsidRDefault="00562C2F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3A18B6">
        <w:rPr>
          <w:color w:val="000000"/>
          <w:lang w:val="en-GB"/>
        </w:rPr>
        <w:t>For some Procurement Procedures, a Procuring Entity can join other Procuring Entities (Joint Procurement);</w:t>
      </w:r>
    </w:p>
    <w:p w:rsidR="00FB48B3" w:rsidRPr="003A18B6" w:rsidRDefault="00562C2F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3A18B6">
        <w:rPr>
          <w:color w:val="000000"/>
          <w:lang w:val="en-GB"/>
        </w:rPr>
        <w:t>In these cases, the Procuring Entities participating in the join procurement may adopt one role (Procuring Entit</w:t>
      </w:r>
      <w:r w:rsidRPr="003A18B6">
        <w:rPr>
          <w:color w:val="000000"/>
          <w:lang w:val="en-GB"/>
        </w:rPr>
        <w:t>y Role Type code list);</w:t>
      </w:r>
    </w:p>
    <w:p w:rsidR="00FB48B3" w:rsidRPr="003A18B6" w:rsidRDefault="00562C2F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3A18B6">
        <w:rPr>
          <w:color w:val="000000"/>
          <w:lang w:val="en-GB"/>
        </w:rPr>
        <w:t>Procuring Entities are in general responsible for the management of purchase, in which case, they also act as “Buyers”;</w:t>
      </w:r>
    </w:p>
    <w:p w:rsidR="00FB48B3" w:rsidRPr="003A18B6" w:rsidRDefault="00562C2F">
      <w:pPr>
        <w:pStyle w:val="Notes"/>
        <w:numPr>
          <w:ilvl w:val="0"/>
          <w:numId w:val="6"/>
        </w:numPr>
        <w:ind w:left="360" w:hanging="360"/>
        <w:rPr>
          <w:color w:val="000000"/>
          <w:lang w:val="en-GB"/>
        </w:rPr>
      </w:pPr>
      <w:r w:rsidRPr="003A18B6">
        <w:rPr>
          <w:color w:val="000000"/>
          <w:lang w:val="en-GB"/>
        </w:rPr>
        <w:t xml:space="preserve">This is not always the case, in some cases the Procuring Entity may buy through another Procuring Entity (Buyer </w:t>
      </w:r>
      <w:r w:rsidRPr="003A18B6">
        <w:rPr>
          <w:color w:val="000000"/>
          <w:lang w:val="en-GB"/>
        </w:rPr>
        <w:t>Role Type code list).</w:t>
      </w:r>
    </w:p>
    <w:p w:rsidR="00FB48B3" w:rsidRPr="003A18B6" w:rsidRDefault="00FB48B3">
      <w:pPr>
        <w:pStyle w:val="Notes"/>
        <w:rPr>
          <w:color w:val="0000FF"/>
          <w:u w:val="single"/>
          <w:lang w:val="en-GB"/>
        </w:rPr>
      </w:pPr>
    </w:p>
    <w:p w:rsidR="00FB48B3" w:rsidRDefault="00562C2F">
      <w:pPr>
        <w:pStyle w:val="Notes"/>
      </w:pPr>
      <w:r>
        <w:rPr>
          <w:noProof/>
          <w:sz w:val="0"/>
          <w:szCs w:val="0"/>
        </w:rPr>
        <w:drawing>
          <wp:inline distT="0" distB="0" distL="0" distR="0">
            <wp:extent cx="1181652" cy="889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228" cy="89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8B3" w:rsidRDefault="00FB48B3">
      <w:pPr>
        <w:pStyle w:val="Notes"/>
      </w:pPr>
    </w:p>
    <w:p w:rsidR="00FB48B3" w:rsidRDefault="00562C2F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425804" cy="4972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485" cy="498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8B3" w:rsidRDefault="00FB48B3">
      <w:pPr>
        <w:pStyle w:val="DiagramImage"/>
        <w:rPr>
          <w:sz w:val="20"/>
          <w:szCs w:val="20"/>
        </w:rPr>
      </w:pPr>
    </w:p>
    <w:p w:rsidR="00FB48B3" w:rsidRDefault="00562C2F">
      <w:pPr>
        <w:pStyle w:val="DiagramLabel"/>
        <w:rPr>
          <w:color w:val="000000"/>
        </w:rPr>
      </w:pPr>
      <w:r>
        <w:rPr>
          <w:color w:val="000000"/>
        </w:rPr>
        <w:t>Procuring Entity</w:t>
      </w:r>
    </w:p>
    <w:p w:rsidR="00FB48B3" w:rsidRDefault="00FB48B3">
      <w:bookmarkStart w:id="1" w:name="BKM_936F03D4_B841_48F7_A61A_32D9F6518A5C"/>
      <w:bookmarkEnd w:id="1"/>
    </w:p>
    <w:sectPr w:rsidR="00FB48B3">
      <w:headerReference w:type="default" r:id="rId9"/>
      <w:footerReference w:type="default" r:id="rId1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2F" w:rsidRDefault="00562C2F">
      <w:r>
        <w:separator/>
      </w:r>
    </w:p>
  </w:endnote>
  <w:endnote w:type="continuationSeparator" w:id="0">
    <w:p w:rsidR="00562C2F" w:rsidRDefault="0056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8B3" w:rsidRDefault="00562C2F">
    <w:pPr>
      <w:rPr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2F" w:rsidRDefault="00562C2F">
      <w:r>
        <w:separator/>
      </w:r>
    </w:p>
  </w:footnote>
  <w:footnote w:type="continuationSeparator" w:id="0">
    <w:p w:rsidR="00562C2F" w:rsidRDefault="00562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8B3" w:rsidRDefault="00562C2F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Diagram Report</w:t>
    </w:r>
    <w:r>
      <w:tab/>
      <w:t xml:space="preserve">Page: </w:t>
    </w:r>
    <w:r>
      <w:fldChar w:fldCharType="begin"/>
    </w:r>
    <w:r>
      <w:instrText xml:space="preserve">PAGE </w:instrText>
    </w:r>
    <w:r>
      <w:fldChar w:fldCharType="separate"/>
    </w:r>
    <w:r w:rsidR="003A18B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1E82E412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43F8006"/>
    <w:multiLevelType w:val="multilevel"/>
    <w:tmpl w:val="021070B2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43F814E"/>
    <w:multiLevelType w:val="multilevel"/>
    <w:tmpl w:val="EE20DEF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43F8546"/>
    <w:multiLevelType w:val="multilevel"/>
    <w:tmpl w:val="ECF29814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43F8555"/>
    <w:multiLevelType w:val="multilevel"/>
    <w:tmpl w:val="AC942C6C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43F8611"/>
    <w:multiLevelType w:val="multilevel"/>
    <w:tmpl w:val="A3821FA6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43F8778"/>
    <w:multiLevelType w:val="multilevel"/>
    <w:tmpl w:val="A15CF6FA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ABCDEF1"/>
    <w:multiLevelType w:val="singleLevel"/>
    <w:tmpl w:val="9FD8AECE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FB48B3"/>
    <w:rsid w:val="003A18B6"/>
    <w:rsid w:val="00562C2F"/>
    <w:rsid w:val="00F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E0D4C1-B4C8-4ABE-8694-826229B8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Enric Staromiejski Torregrosa</cp:lastModifiedBy>
  <cp:revision>1</cp:revision>
  <dcterms:created xsi:type="dcterms:W3CDTF">2018-05-15T11:51:00Z</dcterms:created>
  <dcterms:modified xsi:type="dcterms:W3CDTF">2018-05-15T10:04:00Z</dcterms:modified>
</cp:coreProperties>
</file>