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header0.xml" ContentType="application/vnd.openxmlformats-officedocument.wordprocessingml.header+xml"/>
  <Override PartName="/word/footer0.xml" ContentType="application/vnd.openxmlformats-officedocument.wordprocessingml.footer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" w:name="BKM_A2718EB1_7CF6_4939_BF5B_9489E319EA76_START"/>
      <w:bookmarkEnd w:id="1"/>
      <w:bookmarkStart w:id="2" w:name="EPO_START"/>
      <w:bookmarkEnd w:id="2"/>
      <w:bookmarkStart w:id="3" w:name="BKM_DF19ED10_DFE1_4304_B67F_605B4FF70A4F_START"/>
      <w:bookmarkEnd w:id="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Accelerated Procedure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diagram in package 'epo'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Accelerated Procedure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mfontsan created on 06/02/2018.  Last modified 15/05/2018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4467225" cy="2143125"/>
            <wp:effectExtent l="0" t="0" r="0" b="0"/>
            <wp:docPr id="1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/>
                    <pic:cNvPicPr/>
                  </pic:nvPicPr>
                  <pic:blipFill>
                    <a:blip r:embed="img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Accelerated Procedure</w:t>
      </w:r>
    </w:p>
    <w:p>
      <w:pPr>
        <w:pStyle w:val="Normal"/>
        <w:numId w:val="0"/>
        <w:ilvl w:val="0"/>
        <w:spacing w:before="0" w:after="0" w:line="240"/>
      </w:pPr>
      <w:bookmarkStart w:id="4" w:name="BKM_A2718EB1_7CF6_4939_BF5B_9489E319EA76_END"/>
      <w:bookmarkEnd w:id="4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" w:name="BKM_7853BE8E_8FC5_4D5A_8D14_A0389A3DAA0F_START"/>
      <w:bookmarkEnd w:id="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Contract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diagram in package 'epo'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Contract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estaromi created on 21/03/2018.  Last modified 15/05/2018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35370" cy="2526665"/>
            <wp:effectExtent l="0" t="0" r="0" b="0"/>
            <wp:docPr id="1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/>
                    <pic:cNvPicPr/>
                  </pic:nvPicPr>
                  <pic:blipFill>
                    <a:blip r:embed="img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370" cy="2526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Contract</w:t>
      </w:r>
    </w:p>
    <w:p>
      <w:pPr>
        <w:pStyle w:val="Normal"/>
        <w:numId w:val="0"/>
        <w:ilvl w:val="0"/>
        <w:spacing w:before="0" w:after="0" w:line="240"/>
      </w:pPr>
      <w:bookmarkStart w:id="6" w:name="BKM_7853BE8E_8FC5_4D5A_8D14_A0389A3DAA0F_END"/>
      <w:bookmarkEnd w:id="6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7" w:name="BKM_96092BAE_2DA9_4A81_B962_30B5BE984C2B_START"/>
      <w:bookmarkEnd w:id="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Criterion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diagram in package 'epo'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Criterion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mfontsan created on 07/02/2018.  Last modified 15/05/2018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53785" cy="5125720"/>
            <wp:effectExtent l="0" t="0" r="0" b="0"/>
            <wp:docPr id="1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/>
                    <pic:cNvPicPr/>
                  </pic:nvPicPr>
                  <pic:blipFill>
                    <a:blip r:embed="img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785" cy="512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Criterion</w:t>
      </w:r>
    </w:p>
    <w:p>
      <w:pPr>
        <w:pStyle w:val="Normal"/>
        <w:numId w:val="0"/>
        <w:ilvl w:val="0"/>
        <w:spacing w:before="0" w:after="0" w:line="240"/>
      </w:pPr>
      <w:bookmarkStart w:id="8" w:name="BKM_96092BAE_2DA9_4A81_B962_30B5BE984C2B_END"/>
      <w:bookmarkEnd w:id="8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9" w:name="BKM_D8A0E8DC_5F1D_4B50_9A92_7EDF6E3321A0_START"/>
      <w:bookmarkEnd w:id="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Documents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diagram in package 'epo'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Pr>
          <w:ilvl w:val="0"/>
          <w:numId w:val="2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Any Document can be seen as particular expression and manifestation of a Work, as defined in the IFLA Library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Reference Model (LRM). Thus a Notice, for example, could be a "Work" expressed in French and received as an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XML file (i.e. manifested as an XML). See </w:t>
      </w:r>
      <w:hyperlink r:id="HLink1" w:history="1">
        <w:r>
          <w:rPr>
            <w:rFonts w:ascii="Times New Roman" w:eastAsia="Times New Roman" w:hAnsi="Times New Roman" w:cs="Times New Roman"/>
            <w:sz w:val="20"/>
            <w:szCs w:val="20"/>
            <w:u w:val="single"/>
            <w:color w:val="0000ff"/>
          </w:rPr>
          <w:t xml:space="preserve">IFLA LRM</w:t>
        </w:r>
      </w:hyperlink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 ontology for more details.</w:t>
      </w:r>
    </w:p>
    <w:p>
      <w:pPr>
        <w:pStyle w:val="Notes"/>
        <w:numPr>
          <w:ilvl w:val="0"/>
          <w:numId w:val="2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 the scope of the e-Tendering, we can identify many different documents, e.g. at e-Notification and e-Access time,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one identify "Procurement Documents", whilst during the e-Submission, the Economic Operator prepares and sends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"Tender Documents".</w:t>
      </w:r>
    </w:p>
    <w:p>
      <w:pPr>
        <w:pStyle w:val="Notes"/>
        <w:numPr>
          <w:ilvl w:val="0"/>
          <w:numId w:val="2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Procurement Documents are prepared by the Procuring Entity and are always particular to a Procurement Procedure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with the exception of Prior Information Notices.</w:t>
      </w:r>
    </w:p>
    <w:p>
      <w:pPr>
        <w:pStyle w:val="Notes"/>
        <w:numPr>
          <w:ilvl w:val="0"/>
          <w:numId w:val="2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The very first documents in a Procurement Procedure are typically Notices. Three main groups of Notices can be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distinguished: Prior Information Notice (and variants of it), Contract Notice and Contract Award Notice. For details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on these, please consult the Directives and the rest of the documentation about the ePO.</w:t>
      </w:r>
    </w:p>
    <w:p>
      <w:pPr>
        <w:pStyle w:val="Notes"/>
        <w:numPr>
          <w:ilvl w:val="0"/>
          <w:numId w:val="2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Prior Information Notices (PIN) announce Procurement Projects. Because at PIN publications time these "projects"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have not been totally defined, the Procurement Procedures do not exist yet and therefore the PINs normally cannot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refer to one or more Procurement Procedures.</w:t>
      </w:r>
    </w:p>
    <w:p>
      <w:pPr>
        <w:pStyle w:val="Notes"/>
        <w:numPr>
          <w:ilvl w:val="0"/>
          <w:numId w:val="2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Contract Notices (CN) announce the initiation of Procurement Procedures. If the CN follows a PIN previously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published, the CN should refer to that PIN.</w:t>
      </w:r>
    </w:p>
    <w:p>
      <w:pPr>
        <w:pStyle w:val="Notes"/>
        <w:numPr>
          <w:ilvl w:val="0"/>
          <w:numId w:val="2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Contract Award Notices (CAN) in term announce the resolution about the awarding of the Contract(s). They should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always refer to the Contract Notice published in relation to the Procurement Procedure.</w:t>
      </w:r>
    </w:p>
    <w:p>
      <w:pPr>
        <w:pStyle w:val="Notes"/>
        <w:numPr>
          <w:ilvl w:val="0"/>
          <w:numId w:val="2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The administrative and Technical Specifications of a Procurement Procedure are part of the "Call for Competition"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documents. Depending on the type of Procurement Procedure, Call for Competitions can be either Call for Tenders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(e.g. in the case of Open Procedures) or Call for Proposals (typically in two-phased procedures).</w:t>
      </w:r>
    </w:p>
    <w:p>
      <w:pPr>
        <w:pStyle w:val="Notes"/>
        <w:numPr>
          <w:ilvl w:val="0"/>
          <w:numId w:val="2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 two-phased procedures the need of restricting the candidates to a short list may appear and for these cases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Invitations to Tender are send to each one of the candidates, normally as an e-mail. Candidates interested in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participate may be required to submit an Expression of Interest. The Invitation to Tender may refer to the Notices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previously published in the context of the Procurement Procedure.</w:t>
      </w:r>
    </w:p>
    <w:p>
      <w:pPr>
        <w:pStyle w:val="Notes"/>
        <w:numPr>
          <w:ilvl w:val="0"/>
          <w:numId w:val="2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At tendering time, the Economic Operator submits its own Tender Documents, which normally encompass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Financial Tender and a Technical Tender.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2038350" cy="1533525"/>
            <wp:effectExtent l="0" t="0" r="0" b="0"/>
            <wp:docPr id="1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/>
                    <pic:cNvPicPr/>
                  </pic:nvPicPr>
                  <pic:blipFill>
                    <a:blip r:embed="img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Documents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lbotapor created on 21/03/2018.  Last modified 15/05/2018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82360" cy="4660265"/>
            <wp:effectExtent l="0" t="0" r="0" b="0"/>
            <wp:docPr id="1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/>
                    <pic:cNvPicPr/>
                  </pic:nvPicPr>
                  <pic:blipFill>
                    <a:blip r:embed="img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360" cy="466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Documents</w:t>
      </w:r>
    </w:p>
    <w:p>
      <w:pPr>
        <w:pStyle w:val="Normal"/>
        <w:numId w:val="0"/>
        <w:ilvl w:val="0"/>
        <w:spacing w:before="0" w:after="0" w:line="240"/>
      </w:pPr>
      <w:bookmarkStart w:id="10" w:name="BKM_D8A0E8DC_5F1D_4B50_9A92_7EDF6E3321A0_END"/>
      <w:bookmarkEnd w:id="10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1" w:name="BKM_8EE7FF31_D5C3_4185_B4B6_F29B9C65D7E2_START"/>
      <w:bookmarkEnd w:id="1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Economic Operator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diagram in package 'epo'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Pr>
          <w:ilvl w:val="0"/>
          <w:numId w:val="3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Any Procurement Procedure refers always to one Economic Operator (as Tenders, Winner of the contract, etc.) or to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group of Economic Operators (Economic Operator Group), e.g. Consortia, Joint ventures, Undertaking (Group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Type code list).</w:t>
      </w:r>
    </w:p>
    <w:p>
      <w:pPr>
        <w:pStyle w:val="Notes"/>
        <w:numPr>
          <w:ilvl w:val="0"/>
          <w:numId w:val="3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When the Economic Operators are members of a group (Economic Operator Group), they play different roles in the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Procurement Procedure, e.g. Consortia, Joint ventures, Undertaking (Group Type code list).</w:t>
      </w:r>
    </w:p>
    <w:p>
      <w:pPr>
        <w:pStyle w:val="Notes"/>
        <w:numPr>
          <w:ilvl w:val="0"/>
          <w:numId w:val="3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One Economic Operator may rely on 3</w:t>
      </w:r>
      <w:r>
        <w:rPr>
          <w:rFonts w:ascii="Times New Roman" w:eastAsia="Times New Roman" w:hAnsi="Times New Roman" w:cs="Times New Roman"/>
          <w:sz w:val="20"/>
          <w:szCs w:val="20"/>
          <w:vertAlign w:val="superscript"/>
          <w:color w:val="000000"/>
        </w:rPr>
        <w:t xml:space="preserve">rd</w:t>
      </w:r>
      <w:r>
        <w:rPr>
          <w:rFonts w:ascii="Times New Roman" w:eastAsia="Times New Roman" w:hAnsi="Times New Roman" w:cs="Times New Roman"/>
          <w:sz w:val="20"/>
          <w:szCs w:val="20"/>
          <w:vertAlign w:val="none"/>
          <w:color w:val="000000"/>
        </w:rPr>
        <w:t xml:space="preserve"> parties; e.g. Economic Operator subcontracts other Economic Operators.</w:t>
      </w:r>
    </w:p>
    <w:p>
      <w:pPr>
        <w:pStyle w:val="Notes"/>
        <w:numPr>
          <w:ilvl w:val="0"/>
          <w:numId w:val="3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Economic Operators may be pre-qualified in a national Pre-Qualification System (PQS), which is an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“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Organization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”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</w:p>
    <w:p>
      <w:pPr>
        <w:pStyle w:val="Notes"/>
        <w:numPr>
          <w:ilvl w:val="0"/>
          <w:numId w:val="3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When guarantees are required by the Procuring Entity, Economic Operators may have to provide Financial Account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(e.g. a bank account data).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2038350" cy="1533525"/>
            <wp:effectExtent l="0" t="0" r="0" b="0"/>
            <wp:docPr id="2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/>
                    <pic:cNvPicPr/>
                  </pic:nvPicPr>
                  <pic:blipFill>
                    <a:blip r:embed="img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Economic Operator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mfontsan created on 07/02/2018.  Last modified 15/05/2018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72835" cy="4256405"/>
            <wp:effectExtent l="0" t="0" r="0" b="0"/>
            <wp:docPr id="2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/>
                    <pic:cNvPicPr/>
                  </pic:nvPicPr>
                  <pic:blipFill>
                    <a:blip r:embed="img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835" cy="425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Economic Operator</w:t>
      </w:r>
    </w:p>
    <w:p>
      <w:pPr>
        <w:pStyle w:val="Normal"/>
        <w:numId w:val="0"/>
        <w:ilvl w:val="0"/>
        <w:spacing w:before="0" w:after="0" w:line="240"/>
      </w:pPr>
      <w:bookmarkStart w:id="12" w:name="BKM_8EE7FF31_D5C3_4185_B4B6_F29B9C65D7E2_END"/>
      <w:bookmarkEnd w:id="12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3" w:name="BKM_77FA53A0_3C82_4EFC_B3DE_0DC58301BE7E_START"/>
      <w:bookmarkEnd w:id="1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Evaluation Criterion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diagram in package 'epo'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Evaluation Criterion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estaromi created on 24/03/2018.  Last modified 15/05/2018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215380" cy="8195310"/>
            <wp:effectExtent l="0" t="0" r="0" b="0"/>
            <wp:docPr id="2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/>
                    <pic:cNvPicPr/>
                  </pic:nvPicPr>
                  <pic:blipFill>
                    <a:blip r:embed="img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5380" cy="8195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Evaluation Criterion</w:t>
      </w:r>
    </w:p>
    <w:p>
      <w:pPr>
        <w:pStyle w:val="Normal"/>
        <w:numId w:val="0"/>
        <w:ilvl w:val="0"/>
        <w:spacing w:before="0" w:after="0" w:line="240"/>
      </w:pPr>
      <w:bookmarkStart w:id="14" w:name="BKM_77FA53A0_3C82_4EFC_B3DE_0DC58301BE7E_END"/>
      <w:bookmarkEnd w:id="14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5" w:name="BKM_DBE69433_BC69_4BC8_9E2D_6F109729C6C8_START"/>
      <w:bookmarkEnd w:id="1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Lots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diagram in package 'epo'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Lots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mfontsan created on 14/02/2018.  Last modified 15/05/2018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216015" cy="2402205"/>
            <wp:effectExtent l="0" t="0" r="0" b="0"/>
            <wp:docPr id="2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/>
                    <pic:cNvPicPr/>
                  </pic:nvPicPr>
                  <pic:blipFill>
                    <a:blip r:embed="img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015" cy="2402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Lots</w:t>
      </w:r>
    </w:p>
    <w:p>
      <w:pPr>
        <w:pStyle w:val="Normal"/>
        <w:numId w:val="0"/>
        <w:ilvl w:val="0"/>
        <w:spacing w:before="0" w:after="0" w:line="240"/>
      </w:pPr>
      <w:bookmarkStart w:id="16" w:name="BKM_DBE69433_BC69_4BC8_9E2D_6F109729C6C8_END"/>
      <w:bookmarkEnd w:id="16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7" w:name="BKM_D9CA9F8E_ECE3_4DC4_8C69_725C641469AE_START"/>
      <w:bookmarkEnd w:id="1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Procurement Procedure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diagram in package 'epo'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Procurement Procedure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mfontsan created on 02/02/2018.  Last modified 15/05/2018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76645" cy="7511415"/>
            <wp:effectExtent l="0" t="0" r="0" b="0"/>
            <wp:docPr id="2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/>
                    <pic:cNvPicPr/>
                  </pic:nvPicPr>
                  <pic:blipFill>
                    <a:blip r:embed="img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645" cy="7511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Procurement Procedure</w:t>
      </w:r>
    </w:p>
    <w:p>
      <w:pPr>
        <w:pStyle w:val="Normal"/>
        <w:numId w:val="0"/>
        <w:ilvl w:val="0"/>
        <w:spacing w:before="0" w:after="0" w:line="240"/>
      </w:pPr>
      <w:bookmarkStart w:id="18" w:name="BKM_D9CA9F8E_ECE3_4DC4_8C69_725C641469AE_END"/>
      <w:bookmarkEnd w:id="18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9" w:name="BKM_CA6370D8_5357_4244_9A90_F72DC8F4558E_START"/>
      <w:bookmarkEnd w:id="1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Procurement Project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diagram in package 'epo'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Group of procurement procedures, a procurement procedure, a lot or a group of lots.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Examples: A PIN advertising multiple procurement procedures; a procurement procedure divided in lots that are not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grouped; a procurement procedure divided into lots that have been grouped; a procurement procedure without lots.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All subclasses of Procurement Project are disjoint. In the case of Lots, if the procedure is divided into lots that are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grouped, it cannot contain individual lots outside of a group of lots.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The properties groups and dividedInto are disjoint.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Procurement Project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estaromi created on 21/03/2018.  Last modified 15/05/2018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20765" cy="2500630"/>
            <wp:effectExtent l="0" t="0" r="0" b="0"/>
            <wp:docPr id="2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/>
                    <pic:cNvPicPr/>
                  </pic:nvPicPr>
                  <pic:blipFill>
                    <a:blip r:embed="img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500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Procurement Project</w:t>
      </w:r>
    </w:p>
    <w:p>
      <w:pPr>
        <w:pStyle w:val="Normal"/>
        <w:numId w:val="0"/>
        <w:ilvl w:val="0"/>
        <w:spacing w:before="0" w:after="0" w:line="240"/>
      </w:pPr>
      <w:bookmarkStart w:id="20" w:name="BKM_CA6370D8_5357_4244_9A90_F72DC8F4558E_END"/>
      <w:bookmarkEnd w:id="20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1" w:name="BKM_4F4D2BE8_EF59_46FD_A8DB_4F99F53818D6_START"/>
      <w:bookmarkEnd w:id="2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Procurement Terms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diagram in package 'epo'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Pr>
          <w:ilvl w:val="0"/>
          <w:numId w:val="4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Any Procurement Procedure has properties that define the procedure itself on the one hand, but also the "terms" that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limit or specify the procurement activity.</w:t>
      </w:r>
    </w:p>
    <w:p>
      <w:pPr>
        <w:pStyle w:val="Notes"/>
        <w:numPr>
          <w:ilvl w:val="0"/>
          <w:numId w:val="4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The Procurement Terms are "conditions or stipulations establish by the Procuring Entity limiting what is proposed to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be granted or done by the Economic Operator" (see the ePO Glossary definition):</w:t>
      </w:r>
    </w:p>
    <w:p>
      <w:pPr>
        <w:pStyle w:val="Notes"/>
        <w:numPr>
          <w:ilvl w:val="0"/>
          <w:numId w:val="5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u w:val="single"/>
          <w:color w:val="000000"/>
        </w:rPr>
        <w:t xml:space="preserve">Financial Terms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: economic conditions and stipulations refer to the procurement. Beware that the information related 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to the funding of the procurement are not considered terms but general information, see the diagram Procurement 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Project for more details.</w:t>
      </w:r>
    </w:p>
    <w:p>
      <w:pPr>
        <w:pStyle w:val="Notes"/>
        <w:numPr>
          <w:ilvl w:val="0"/>
          <w:numId w:val="5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u w:val="single"/>
          <w:color w:val="000000"/>
        </w:rPr>
        <w:t xml:space="preserve">Subcontract Terms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: conditions and stipulations about the works or services that the Economic Operator will be able 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to rely on 3rd parties.</w:t>
      </w:r>
    </w:p>
    <w:p>
      <w:pPr>
        <w:pStyle w:val="Notes"/>
        <w:numPr>
          <w:ilvl w:val="0"/>
          <w:numId w:val="5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u w:val="single"/>
          <w:color w:val="000000"/>
        </w:rPr>
        <w:t xml:space="preserve">Tender Submission Terms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: conditions and stipulations about the Tender and how it is required to be submitted.</w:t>
      </w:r>
    </w:p>
    <w:p>
      <w:pPr>
        <w:pStyle w:val="Notes"/>
        <w:numPr>
          <w:ilvl w:val="0"/>
          <w:numId w:val="5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u w:val="single"/>
          <w:color w:val="000000"/>
        </w:rPr>
        <w:t xml:space="preserve">Contract Terms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: conditions and stipulations that will affect the future contract(s) once awarded.</w:t>
      </w:r>
    </w:p>
    <w:p>
      <w:pPr>
        <w:pStyle w:val="Notes"/>
        <w:numPr>
          <w:ilvl w:val="0"/>
          <w:numId w:val="5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u w:val="single"/>
          <w:color w:val="000000"/>
        </w:rPr>
        <w:t xml:space="preserve">Tender Evaluation Terms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: conditions and stipulations aimed to evaluate the tenders.</w:t>
      </w:r>
    </w:p>
    <w:p>
      <w:pPr>
        <w:pStyle w:val="Notes"/>
        <w:numPr>
          <w:ilvl w:val="0"/>
          <w:numId w:val="5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u w:val="single"/>
          <w:color w:val="000000"/>
        </w:rPr>
        <w:t xml:space="preserve">Notification Terms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: conditions and stipulations regarding notification deadlines.</w:t>
      </w:r>
    </w:p>
    <w:p>
      <w:pPr>
        <w:pStyle w:val="Notes"/>
        <w:numPr>
          <w:ilvl w:val="0"/>
          <w:numId w:val="5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u w:val="single"/>
          <w:color w:val="000000"/>
        </w:rPr>
        <w:t xml:space="preserve">Procedure Terms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: conditions and stipulations determining how the Procuring Entity requires the Economic Operator 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to execute certain steps of the procedure.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2038350" cy="1533525"/>
            <wp:effectExtent l="0" t="0" r="0" b="0"/>
            <wp:docPr id="2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/>
                    <pic:cNvPicPr/>
                  </pic:nvPicPr>
                  <pic:blipFill>
                    <a:blip r:embed="img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Procurement Terms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lbotapor created on 21/03/2018.  Last modified 15/05/2018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51880" cy="7704455"/>
            <wp:effectExtent l="0" t="0" r="0" b="0"/>
            <wp:docPr id="3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/>
                    <pic:cNvPicPr/>
                  </pic:nvPicPr>
                  <pic:blipFill>
                    <a:blip r:embed="img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770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Procurement Terms</w:t>
      </w:r>
    </w:p>
    <w:p>
      <w:pPr>
        <w:pStyle w:val="Normal"/>
        <w:numId w:val="0"/>
        <w:ilvl w:val="0"/>
        <w:spacing w:before="0" w:after="0" w:line="240"/>
      </w:pPr>
      <w:bookmarkStart w:id="22" w:name="BKM_4F4D2BE8_EF59_46FD_A8DB_4F99F53818D6_END"/>
      <w:bookmarkEnd w:id="22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3" w:name="BKM_936F03D4_B841_48F7_A61A_32D9F6518A5C_START"/>
      <w:bookmarkEnd w:id="2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Procuring Entity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diagram in package 'epo'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Pr>
          <w:ilvl w:val="0"/>
          <w:numId w:val="6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 any Procurement Procedure, there is at least one Procuring Entity;</w:t>
      </w:r>
    </w:p>
    <w:p>
      <w:pPr>
        <w:pStyle w:val="Notes"/>
        <w:numPr>
          <w:ilvl w:val="0"/>
          <w:numId w:val="6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Procuring Entities are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“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Organizations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”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appropriately identified and described (IDs, Names, Addresses, Contact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Points, etc.);</w:t>
      </w:r>
    </w:p>
    <w:p>
      <w:pPr>
        <w:pStyle w:val="Notes"/>
        <w:numPr>
          <w:ilvl w:val="0"/>
          <w:numId w:val="6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Depending on its main activity a Procuring Entity may be identified simply as a Contracting Authority or as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Contracting Entity that in turn may be a Contracting Authority, a Public Undertaking or entities with special or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exclusive rights which activity is (Procuring Entity Type code list);</w:t>
      </w:r>
    </w:p>
    <w:p>
      <w:pPr>
        <w:pStyle w:val="Notes"/>
        <w:numPr>
          <w:ilvl w:val="0"/>
          <w:numId w:val="6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For some Procurement Procedures, a Procuring Entity can join other Procuring Entities (Joint Procurement);</w:t>
      </w:r>
    </w:p>
    <w:p>
      <w:pPr>
        <w:pStyle w:val="Notes"/>
        <w:numPr>
          <w:ilvl w:val="0"/>
          <w:numId w:val="6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 these cases, the Procuring Entities participating in the join procurement may adopt one role (Procuring Entity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Role Type code list);</w:t>
      </w:r>
    </w:p>
    <w:p>
      <w:pPr>
        <w:pStyle w:val="Notes"/>
        <w:numPr>
          <w:ilvl w:val="0"/>
          <w:numId w:val="6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Procuring Entities are in general responsible for the management of purchase, in which case, they also act as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“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Buyers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”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;</w:t>
      </w:r>
    </w:p>
    <w:p>
      <w:pPr>
        <w:pStyle w:val="Notes"/>
        <w:numPr>
          <w:ilvl w:val="0"/>
          <w:numId w:val="6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This is not always the case, in some cases the Procuring Entity may buy through another Procuring Entity (Buyer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Role Type code list).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u w:val="single"/>
          <w:color w:val="0000ff"/>
        </w:rPr>
      </w:pPr>
      <w:r>
        <w:rPr>
          <w:rFonts w:ascii="Times New Roman" w:eastAsia="Times New Roman" w:hAnsi="Times New Roman" w:cs="Times New Roman"/>
          <w:sz w:val="20"/>
          <w:szCs w:val="20"/>
          <w:u w:val="single"/>
          <w:color w:val="0000f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2038350" cy="1533525"/>
            <wp:effectExtent l="0" t="0" r="0" b="0"/>
            <wp:docPr id="3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/>
                    <pic:cNvPicPr/>
                  </pic:nvPicPr>
                  <pic:blipFill>
                    <a:blip r:embed="img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Procuring Entity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estaromi created on 21/03/2018.  Last modified 15/05/2018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86170" cy="4786630"/>
            <wp:effectExtent l="0" t="0" r="0" b="0"/>
            <wp:docPr id="3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/>
                    <pic:cNvPicPr/>
                  </pic:nvPicPr>
                  <pic:blipFill>
                    <a:blip r:embed="img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4786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Procuring Entity</w:t>
      </w:r>
    </w:p>
    <w:p>
      <w:pPr>
        <w:pStyle w:val="Normal"/>
        <w:numId w:val="0"/>
        <w:ilvl w:val="0"/>
        <w:spacing w:before="0" w:after="0" w:line="240"/>
      </w:pPr>
      <w:bookmarkStart w:id="24" w:name="BKM_936F03D4_B841_48F7_A61A_32D9F6518A5C_END"/>
      <w:bookmarkEnd w:id="24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5" w:name="BKM_9280E4C2_6B11_4D3D_8FA0_E3CA219BC0FE_START"/>
      <w:bookmarkEnd w:id="2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Technique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diagram in package 'epo'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Technique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mfontsan created on 06/02/2018.  Last modified 15/05/2018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54420" cy="3253105"/>
            <wp:effectExtent l="0" t="0" r="0" b="0"/>
            <wp:docPr id="3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/>
                    <pic:cNvPicPr/>
                  </pic:nvPicPr>
                  <pic:blipFill>
                    <a:blip r:embed="img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420" cy="325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Technique</w:t>
      </w:r>
    </w:p>
    <w:p>
      <w:pPr>
        <w:pStyle w:val="Normal"/>
        <w:numId w:val="0"/>
        <w:ilvl w:val="0"/>
        <w:spacing w:before="0" w:after="0" w:line="240"/>
      </w:pPr>
      <w:bookmarkStart w:id="26" w:name="BKM_9280E4C2_6B11_4D3D_8FA0_E3CA219BC0FE_END"/>
      <w:bookmarkEnd w:id="26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7" w:name="BKM_27826D9A_74BD_498E_BC18_3999BBD9203C_START"/>
      <w:bookmarkEnd w:id="2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Tender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diagram in package 'epo'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Pr>
          <w:ilvl w:val="0"/>
          <w:numId w:val="7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According to Directive 2014/24/EU, the term Economic Operators can also refer to a sole Economic Operator or to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group of Economic Operators (Economic Operator Group), e.g. Consortium, Joint Venture, other;</w:t>
      </w:r>
    </w:p>
    <w:p>
      <w:pPr>
        <w:pStyle w:val="Notes"/>
        <w:numPr>
          <w:ilvl w:val="0"/>
          <w:numId w:val="7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 a Procurement Procedure, a Tender is submitted (and hence linked to a specific Procurement Procedure) by either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one sole Economic Operator, a member of a group (e.g., the lead of an Economic Operator Group) or a Service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Provider acting on behalf of one of them (disjoint axioms).</w:t>
      </w:r>
    </w:p>
    <w:p>
      <w:pPr>
        <w:pStyle w:val="Notes"/>
        <w:numPr>
          <w:ilvl w:val="0"/>
          <w:numId w:val="7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One Tender may attach one or more "Tender Documents" (e.g. the Financial Tender, the Technical Tender,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Technical annexes and specifications, etc.; see the Diagram "Documents");</w:t>
      </w:r>
    </w:p>
    <w:p>
      <w:pPr>
        <w:pStyle w:val="Notes"/>
        <w:numPr>
          <w:ilvl w:val="0"/>
          <w:numId w:val="7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 Procurement Procedures divided into Lots, one Economic Operator may present one Tender that specifies to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which Lots it applies.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2038350" cy="1533525"/>
            <wp:effectExtent l="0" t="0" r="0" b="0"/>
            <wp:docPr id="3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/>
                    <pic:cNvPicPr/>
                  </pic:nvPicPr>
                  <pic:blipFill>
                    <a:blip r:embed="img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Tender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estaromi created on 21/03/2018.  Last modified 15/05/2018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44895" cy="2796540"/>
            <wp:effectExtent l="0" t="0" r="0" b="0"/>
            <wp:docPr id="3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/>
                    <pic:cNvPicPr/>
                  </pic:nvPicPr>
                  <pic:blipFill>
                    <a:blip r:embed="img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95" cy="279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Tender</w:t>
      </w:r>
    </w:p>
    <w:p>
      <w:pPr>
        <w:pStyle w:val="Normal"/>
        <w:numId w:val="0"/>
        <w:ilvl w:val="0"/>
        <w:spacing w:before="0" w:after="0" w:line="240"/>
      </w:pPr>
      <w:bookmarkStart w:id="28" w:name="BKM_27826D9A_74BD_498E_BC18_3999BBD9203C_END"/>
      <w:bookmarkEnd w:id="28"/>
      <w:bookmarkStart w:id="29" w:name="EPO_END"/>
      <w:bookmarkEnd w:id="29"/>
      <w:bookmarkStart w:id="30" w:name="BKM_DF19ED10_DFE1_4304_B67F_605B4FF70A4F_END"/>
      <w:bookmarkEnd w:id="30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</w:rPr>
      </w:pPr>
      <w:r>
        <w:rPr/>
      </w:r>
    </w:p>
    <w:sectPr>
      <w:headerReference w:type="default" r:id="header0"/>
      <w:footerReference w:type="default" r:id="footer0"/>
      <w:pgSz w:w="11902" w:h="16835"/>
      <w:pgMar w:top="1080" w:bottom="1080" w:left="1080" w:right="1080" w:header="720" w:footer="720" w:gutter="0"/>
      <w:cols w:space="720"/>
      <w:paperSrc w:first="0" w:other="0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Symbol">
    <w:charset w:val="2"/>
    <w:family w:val="nil"/>
  </w:font>
  <w:font w:name="Times New Roman">
    <w:charset w:val="1"/>
    <w:family w:val="roman"/>
  </w:font>
  <w:font w:name="Calibri">
    <w:charset w:val="0"/>
    <w:family w:val="swiss"/>
  </w:font>
</w:fonts>
</file>

<file path=word/footer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Normal"/>
      <w:numId w:val="0"/>
      <w:ilvl w:val="0"/>
      <w:spacing w:before="0" w:after="0" w:line="240"/>
      <w:rPr>
        <w:rFonts w:hint="default"/>
        <w:sz w:val="20"/>
        <w:szCs w:val="20"/>
      </w:rPr>
    </w:pPr>
    <w:r>
      <w:rPr>
        <w:rFonts w:ascii="Times New Roman" w:eastAsia="Times New Roman" w:hAnsi="Times New Roman" w:cs="Times New Roman"/>
        <w:sz w:val="20"/>
        <w:szCs w:val="20"/>
      </w:rPr>
      <w:t xml:space="preserve"> </w:t>
    </w:r>
  </w:p>
</w:ftr>
</file>

<file path=word/header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"/>
      <w:numId w:val="0"/>
      <w:ilvl w:val="0"/>
      <w:pBdr>
        <w:bottom w:val="single" w:space="1" w:color="auto"/>
      </w:pBdr>
      <w:spacing w:before="0" w:after="20" w:line="240"/>
      <w:tabs>
        <w:tab w:val="right" w:pos="9720"/>
      </w:tabs>
      <w:rPr>
        <w:rFonts w:hint="default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t xml:space="preserve">Diagram Report	Page: 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PAGE </w:instrText>
      <w:fldChar w:fldCharType="separate"/>
      <w:t xml:space="preserve"> 1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2"/>
    <w:name w:val="Diagram"/>
    <w:multiLevelType w:val="SingleLevel"/>
    <w:lvl w:ilvl="0">
      <w:start w:val="1"/>
      <w:lvlText w:val="Figure %1: "/>
      <w:numFmt w:val="decimal"/>
      <w:suff w:val="space"/>
    </w:lvl>
  </w:abstractNum>
  <w:abstractNum w:abstractNumId="2">
    <w:nsid w:val="43f8006"/>
    <w:name w:val="HTML-List1"/>
    <w:multiLevelType w:val="multilevel"/>
    <w:lvl w:ilvl="0">
      <w:start w:val="1"/>
      <w:lvlText w:val="%1.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3">
    <w:nsid w:val="43f814e"/>
    <w:name w:val="HTML-List1"/>
    <w:multiLevelType w:val="multilevel"/>
    <w:lvl w:ilvl="0">
      <w:start w:val="1"/>
      <w:lvlText w:val="%1.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4">
    <w:nsid w:val="43f8546"/>
    <w:name w:val="HTML-List1"/>
    <w:multiLevelType w:val="multilevel"/>
    <w:lvl w:ilvl="0">
      <w:start w:val="1"/>
      <w:lvlText w:val="%1.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5">
    <w:nsid w:val="43f8555"/>
    <w:name w:val="HTML-List2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6">
    <w:nsid w:val="43f8611"/>
    <w:name w:val="HTML-List1"/>
    <w:multiLevelType w:val="multilevel"/>
    <w:lvl w:ilvl="0">
      <w:start w:val="1"/>
      <w:lvlText w:val="%1.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7">
    <w:nsid w:val="43f8778"/>
    <w:name w:val="HTML-List1"/>
    <w:multiLevelType w:val="multilevel"/>
    <w:lvl w:ilvl="0">
      <w:start w:val="1"/>
      <w:lvlText w:val="%1.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9">
    <w:nsid w:val="abcdef1"/>
    <w:name w:val="TerOld1"/>
    <w:multiLevelType w:val="SingleLevel"/>
    <w:lvl w:ilvl="0">
      <w:start w:val="0"/>
      <w:lvlText w:val="%1"/>
      <w:numFmt w:val="decimal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9">
    <w:abstractNumId w:val="9"/>
  </w:num>
</w:numbering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Italics">
    <w:name w:val="Italics"/>
    <w:basedOn w:val="Normal"/>
    <w:rPr>
      <w:i/>
    </w:rPr>
  </w:style>
  <w:style w:type="character" w:styleId="Bold">
    <w:name w:val="Bold"/>
    <w:basedOn w:val="Normal"/>
    <w:rPr>
      <w:b/>
    </w:rPr>
  </w:style>
  <w:style w:type="character" w:styleId="BoldItalics">
    <w:name w:val="Bold Italics"/>
    <w:basedOn w:val="Normal"/>
    <w:rPr>
      <w:b/>
      <w:i/>
    </w:rPr>
  </w:style>
  <w:style w:type="character" w:styleId="FieldLabel">
    <w:name w:val="Field Label"/>
    <w:basedOn w:val="Normal"/>
    <w:rPr>
      <w:rFonts w:ascii="Times New Roman" w:eastAsia="Times New Roman" w:hAnsi="Times New Roman" w:cs="Times New Roman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color w:val="000000"/>
      <w:shd w:fill="ffff80"/>
    </w:rPr>
  </w:style>
  <w:style w:type="paragraph" w:styleId="CoverHeading1">
    <w:name w:val="Cover Heading 1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72"/>
      <w:szCs w:val="72"/>
      <w:b/>
    </w:rPr>
  </w:style>
  <w:style w:type="paragraph" w:styleId="CoverHeading2">
    <w:name w:val="Cover Heading 2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60"/>
      <w:szCs w:val="60"/>
      <w:color w:val="800000"/>
    </w:rPr>
  </w:style>
  <w:style w:type="paragraph" w:styleId="CoverText1">
    <w:name w:val="Cover Text 1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styleId="CoverText2">
    <w:name w:val="Cover Text 2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0"/>
      <w:szCs w:val="20"/>
      <w:color w:val="7f7f7f"/>
    </w:rPr>
  </w:style>
  <w:style w:type="paragraph" w:styleId="Heading1">
    <w:name w:val="Heading 1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36"/>
      <w:szCs w:val="36"/>
      <w:b/>
      <w:color w:val="365f91"/>
    </w:rPr>
  </w:style>
  <w:style w:type="paragraph" w:styleId="Heading2">
    <w:name w:val="Heading 2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32"/>
      <w:szCs w:val="32"/>
      <w:b/>
      <w:color w:val="4f81bc"/>
    </w:rPr>
  </w:style>
  <w:style w:type="paragraph" w:styleId="Heading3">
    <w:name w:val="Heading 3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8"/>
      <w:szCs w:val="28"/>
      <w:b/>
      <w:color w:val="4f81bc"/>
    </w:rPr>
  </w:style>
  <w:style w:type="paragraph" w:styleId="Heading4">
    <w:name w:val="Heading 4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8"/>
      <w:szCs w:val="28"/>
      <w:b/>
      <w:i/>
      <w:color w:val="4f81bc"/>
    </w:rPr>
  </w:style>
  <w:style w:type="paragraph" w:styleId="Heading5">
    <w:name w:val="Heading 5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  <w:color w:val="233e5f"/>
    </w:rPr>
  </w:style>
  <w:style w:type="paragraph" w:styleId="Heading6">
    <w:name w:val="Heading 6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  <w:i/>
      <w:color w:val="233e5f"/>
    </w:rPr>
  </w:style>
  <w:style w:type="paragraph" w:styleId="Heading7">
    <w:name w:val="Heading 7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  <w:i/>
      <w:color w:val="3f3f3f"/>
    </w:rPr>
  </w:style>
  <w:style w:type="paragraph" w:styleId="Heading8">
    <w:name w:val="Heading 8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2"/>
      <w:szCs w:val="22"/>
      <w:b/>
      <w:color w:val="3f3f3f"/>
    </w:rPr>
  </w:style>
  <w:style w:type="paragraph" w:styleId="Heading9">
    <w:name w:val="Heading 9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2"/>
      <w:szCs w:val="22"/>
      <w:b/>
      <w:i/>
      <w:color w:val="3f3f3f"/>
    </w:rPr>
  </w:style>
  <w:style w:type="paragraph" w:styleId="TOCHeading">
    <w:name w:val="TOC Heading"/>
    <w:basedOn w:val="Normal"/>
    <w:next w:val="Normal"/>
    <w:pPr>
      <w:spacing w:before="240" w:after="80" w:line="240"/>
    </w:pPr>
    <w:rPr>
      <w:rFonts w:ascii="Calibri" w:eastAsia="Calibri" w:hAnsi="Calibri" w:cs="Calibri"/>
      <w:sz w:val="32"/>
      <w:szCs w:val="32"/>
      <w:b/>
    </w:rPr>
  </w:style>
  <w:style w:type="paragraph" w:styleId="TOC1">
    <w:name w:val="TOC 1"/>
    <w:basedOn w:val="Normal"/>
    <w:next w:val="Normal"/>
    <w:pPr>
      <w:spacing w:before="120" w:after="40" w:line="240"/>
      <w:ind w:left="0" w:right="720" w:firstLine="0"/>
    </w:pPr>
    <w:rPr>
      <w:rFonts w:ascii="Times New Roman" w:eastAsia="Times New Roman" w:hAnsi="Times New Roman" w:cs="Times New Roman"/>
      <w:sz w:val="20"/>
      <w:szCs w:val="20"/>
      <w:b/>
    </w:rPr>
  </w:style>
  <w:style w:type="paragraph" w:styleId="TOC2">
    <w:name w:val="TOC 2"/>
    <w:basedOn w:val="Normal"/>
    <w:next w:val="Normal"/>
    <w:pPr>
      <w:spacing w:before="40" w:after="20" w:line="240"/>
      <w:ind w:left="1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pPr>
      <w:spacing w:before="40" w:after="20" w:line="240"/>
      <w:ind w:left="3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4">
    <w:name w:val="TOC 4"/>
    <w:basedOn w:val="Normal"/>
    <w:next w:val="Normal"/>
    <w:pPr>
      <w:spacing w:before="40" w:after="20" w:line="240"/>
      <w:ind w:left="5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5">
    <w:name w:val="TOC 5"/>
    <w:basedOn w:val="Normal"/>
    <w:next w:val="Normal"/>
    <w:pPr>
      <w:spacing w:before="40" w:after="20" w:line="240"/>
      <w:ind w:left="72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6">
    <w:name w:val="TOC 6"/>
    <w:basedOn w:val="Normal"/>
    <w:next w:val="Normal"/>
    <w:pPr>
      <w:spacing w:before="40" w:after="20" w:line="240"/>
      <w:ind w:left="90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7">
    <w:name w:val="TOC 7"/>
    <w:basedOn w:val="Normal"/>
    <w:next w:val="Normal"/>
    <w:pPr>
      <w:spacing w:before="40" w:after="20" w:line="240"/>
      <w:ind w:left="10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8">
    <w:name w:val="TOC 8"/>
    <w:basedOn w:val="Normal"/>
    <w:next w:val="Normal"/>
    <w:pPr>
      <w:spacing w:before="40" w:after="20" w:line="240"/>
      <w:ind w:left="12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9">
    <w:name w:val="TOC 9"/>
    <w:basedOn w:val="Normal"/>
    <w:next w:val="Normal"/>
    <w:pPr>
      <w:spacing w:before="40" w:after="20" w:line="240"/>
      <w:ind w:left="14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Footer">
    <w:name w:val="Footer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Properties">
    <w:name w:val="Properties"/>
    <w:basedOn w:val="Normal"/>
    <w:next w:val="Normal"/>
    <w:pPr>
      <w:jc w:val="right"/>
      <w:spacing w:before="0" w:after="0" w:line="240"/>
      <w:ind w:left="0" w:right="0" w:firstLine="0"/>
    </w:pPr>
    <w:rPr>
      <w:rFonts w:ascii="Times New Roman" w:eastAsia="Times New Roman" w:hAnsi="Times New Roman" w:cs="Times New Roman"/>
      <w:sz w:val="20"/>
      <w:szCs w:val="20"/>
      <w:color w:val="4f4f4f"/>
    </w:rPr>
  </w:style>
  <w:style w:type="paragraph" w:styleId="Notes">
    <w:name w:val="Note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DiagramImage">
    <w:name w:val="Diagram Image"/>
    <w:basedOn w:val="Normal"/>
    <w:next w:val="Normal"/>
    <w:pPr>
      <w:jc w:val="center"/>
    </w:pPr>
    <w:rPr>
      <w:rFonts w:ascii="Times New Roman" w:eastAsia="Times New Roman" w:hAnsi="Times New Roman" w:cs="Times New Roman"/>
    </w:rPr>
  </w:style>
  <w:style w:type="paragraph" w:styleId="DiagramLabel">
    <w:name w:val="Diagram Label"/>
    <w:basedOn w:val="Normal"/>
    <w:next w:val="Normal"/>
    <w:pPr>
      <w:numPr>
        <w:ilvl w:val="0"/>
        <w:numId w:val="1"/>
      </w:num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TableLabel">
    <w:name w:val="Table Label"/>
    <w:basedOn w:val="Normal"/>
    <w:next w:val="Normal"/>
    <w:pPr>
      <w:ilvl w:val="0"/>
    </w:pPr>
    <w:rPr>
      <w:rFonts w:ascii="Times New Roman" w:eastAsia="Times New Roman" w:hAnsi="Times New Roman" w:cs="Times New Roman"/>
      <w:sz w:val="16"/>
      <w:szCs w:val="16"/>
    </w:rPr>
  </w:style>
  <w:style w:type="paragraph" w:styleId="TableHeading">
    <w:name w:val="Table Heading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TableTitle0">
    <w:name w:val="Table Title 0"/>
    <w:basedOn w:val="Normal"/>
    <w:next w:val="Normal"/>
    <w:pPr>
      <w:spacing w:before="0" w:after="0" w:line="240"/>
      <w:ind w:left="270" w:right="270" w:firstLine="0"/>
    </w:pPr>
    <w:rPr>
      <w:rFonts w:ascii="Times New Roman" w:eastAsia="Times New Roman" w:hAnsi="Times New Roman" w:cs="Times New Roman"/>
      <w:sz w:val="22"/>
      <w:szCs w:val="22"/>
      <w:b/>
    </w:rPr>
  </w:style>
  <w:style w:type="paragraph" w:styleId="TableTitle1">
    <w:name w:val="Table Title 1"/>
    <w:basedOn w:val="Normal"/>
    <w:next w:val="Normal"/>
    <w:pPr>
      <w:spacing w:before="80" w:after="80" w:line="240"/>
      <w:ind w:left="180" w:right="270" w:firstLine="0"/>
    </w:pPr>
    <w:rPr>
      <w:rFonts w:ascii="Times New Roman" w:eastAsia="Times New Roman" w:hAnsi="Times New Roman" w:cs="Times New Roman"/>
      <w:sz w:val="18"/>
      <w:szCs w:val="18"/>
      <w:b/>
      <w:u w:val="single" w:color="000000"/>
    </w:rPr>
  </w:style>
  <w:style w:type="paragraph" w:styleId="TableTitle2">
    <w:name w:val="Table Title 2"/>
    <w:basedOn w:val="Normal"/>
    <w:next w:val="Normal"/>
    <w:pPr>
      <w:spacing w:before="0" w:after="1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u w:val="single" w:color="000000"/>
    </w:rPr>
  </w:style>
  <w:style w:type="paragraph" w:styleId="TableTextNormal">
    <w:name w:val="Table Text Normal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</w:rPr>
  </w:style>
  <w:style w:type="paragraph" w:styleId="TableTextLight">
    <w:name w:val="Table Text Light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color w:val="2f2f2f"/>
    </w:rPr>
  </w:style>
  <w:style w:type="paragraph" w:styleId="TableTextBold">
    <w:name w:val="Table Text Bold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CoverText3">
    <w:name w:val="Cover Text 3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20"/>
      <w:szCs w:val="20"/>
      <w:b/>
      <w:color w:val="004080"/>
    </w:rPr>
  </w:style>
  <w:style w:type="paragraph" w:styleId="TitleSmall">
    <w:name w:val="Title Small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0"/>
      <w:szCs w:val="20"/>
      <w:b/>
      <w:i/>
      <w:color w:val="3f3f3f"/>
    </w:rPr>
  </w:style>
  <w:style w:type="paragraph" w:styleId="TableTextCode">
    <w:name w:val="Table Text Code"/>
    <w:basedOn w:val="Normal"/>
    <w:next w:val="Normal"/>
    <w:pPr>
      <w:spacing w:before="0" w:after="0" w:line="240"/>
      <w:ind w:left="90" w:right="90" w:firstLine="0"/>
    </w:pPr>
    <w:rPr>
      <w:rFonts w:ascii="Courier New" w:eastAsia="Courier New" w:hAnsi="Courier New" w:cs="Courier New"/>
      <w:sz w:val="16"/>
      <w:szCs w:val="16"/>
    </w:rPr>
  </w:style>
  <w:style w:type="character" w:styleId="Code">
    <w:name w:val="Code"/>
    <w:basedOn w:val="Normal"/>
    <w:rPr>
      <w:rFonts w:ascii="Courier New" w:eastAsia="Courier New" w:hAnsi="Courier New" w:cs="Courier New"/>
    </w:rPr>
  </w:style>
  <w:style w:type="paragraph" w:styleId="Items">
    <w:name w:val="Item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TableHeadingLight">
    <w:name w:val="Table Heading Light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  <w:color w:val="4f4f4f"/>
    </w:rPr>
  </w:style>
  <w:style w:type="character" w:styleId="TableFieldLabel">
    <w:name w:val="Table Field Label"/>
    <w:basedOn w:val="Normal"/>
    <w:rPr>
      <w:rFonts w:ascii="Times New Roman" w:eastAsia="Times New Roman" w:hAnsi="Times New Roman" w:cs="Times New Roman"/>
      <w:color w:val="6f6f6f"/>
    </w:rPr>
  </w:style>
  <w:style w:type="paragraph" w:styleId="PlainText">
    <w:name w:val="Plain Text"/>
    <w:basedOn w:val="Normal"/>
    <w:next w:val="Normal"/>
    <w:pPr>
      <w:spacing w:before="0" w:after="0" w:line="240"/>
      <w:ind w:left="0" w:right="0" w:firstLine="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DefaultStyle">
    <w:name w:val="Default Style"/>
    <w:basedOn w:val="Normal"/>
    <w:next w:val="Normal"/>
    <w:rPr>
      <w:rFonts w:ascii="Times New Roman" w:eastAsia="Times New Roman" w:hAnsi="Times New Roman" w:cs="Times New Roman"/>
      <w:sz w:val="24"/>
      <w:szCs w:val="24"/>
      <w:color w:val="000000"/>
    </w:rPr>
  </w:style>
  <w:style w:type="paragraph" w:styleId="TableContents">
    <w:name w:val="Table Contents"/>
    <w:basedOn w:val="Normal"/>
  </w:style>
  <w:style w:type="paragraph" w:styleId="Contents9">
    <w:name w:val="Contents 9"/>
    <w:basedOn w:val="Normal"/>
    <w:pPr>
      <w:jc w:val="left"/>
      <w:spacing w:before="40" w:after="20" w:line="240"/>
      <w:ind w:left="14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8">
    <w:name w:val="Contents 8"/>
    <w:basedOn w:val="Normal"/>
    <w:pPr>
      <w:jc w:val="left"/>
      <w:spacing w:before="40" w:after="20" w:line="240"/>
      <w:ind w:left="12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7">
    <w:name w:val="Contents 7"/>
    <w:basedOn w:val="Normal"/>
    <w:pPr>
      <w:jc w:val="left"/>
      <w:spacing w:before="40" w:after="20" w:line="240"/>
      <w:ind w:left="10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6">
    <w:name w:val="Contents 6"/>
    <w:basedOn w:val="Normal"/>
    <w:pPr>
      <w:jc w:val="left"/>
      <w:spacing w:before="40" w:after="20" w:line="240"/>
      <w:ind w:left="90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5">
    <w:name w:val="Contents 5"/>
    <w:basedOn w:val="Normal"/>
    <w:pPr>
      <w:jc w:val="left"/>
      <w:spacing w:before="40" w:after="20" w:line="240"/>
      <w:ind w:left="72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4">
    <w:name w:val="Contents 4"/>
    <w:basedOn w:val="Normal"/>
    <w:pPr>
      <w:jc w:val="left"/>
      <w:spacing w:before="40" w:after="20" w:line="240"/>
      <w:ind w:left="5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3">
    <w:name w:val="Contents 3"/>
    <w:basedOn w:val="Normal"/>
    <w:pPr>
      <w:jc w:val="left"/>
      <w:spacing w:before="40" w:after="20" w:line="240"/>
      <w:ind w:left="3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2">
    <w:name w:val="Contents 2"/>
    <w:basedOn w:val="Normal"/>
    <w:pPr>
      <w:jc w:val="left"/>
      <w:spacing w:before="40" w:after="20" w:line="240"/>
      <w:ind w:left="1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1">
    <w:name w:val="Contents 1"/>
    <w:basedOn w:val="Normal"/>
    <w:pPr>
      <w:jc w:val="left"/>
      <w:spacing w:before="120" w:after="40" w:line="240"/>
      <w:ind w:left="0" w:right="720" w:firstLine="0"/>
      <w:bidi w:val="false"/>
    </w:pPr>
    <w:rPr>
      <w:rFonts w:ascii="Times New Roman" w:eastAsia="Times New Roman" w:hAnsi="Times New Roman" w:cs="Times New Roman"/>
      <w:sz w:val="20"/>
      <w:szCs w:val="20"/>
      <w:b/>
      <w:color w:val="000000"/>
    </w:rPr>
  </w:style>
  <w:style w:type="paragraph" w:styleId="ContentsHeading">
    <w:name w:val="Contents Heading"/>
    <w:basedOn w:val="Normal"/>
    <w:pPr>
      <w:jc w:val="left"/>
      <w:keepNext/>
      <w:spacing w:before="240" w:after="80" w:line="240"/>
      <w:bidi w:val="false"/>
    </w:pPr>
    <w:rPr>
      <w:rFonts w:ascii="Calibri" w:eastAsia="Calibri" w:hAnsi="Calibri" w:cs="Calibri"/>
      <w:sz w:val="32"/>
      <w:szCs w:val="32"/>
      <w:b/>
      <w:color w:val="000000"/>
    </w:rPr>
  </w:style>
  <w:style w:type="paragraph" w:styleId="Index">
    <w:name w:val="Index"/>
    <w:basedOn w:val="Normal"/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pPr>
      <w:spacing w:before="120" w:after="120" w:line="240"/>
    </w:pPr>
    <w:rPr>
      <w:rFonts w:ascii="Times New Roman" w:eastAsia="Times New Roman" w:hAnsi="Times New Roman" w:cs="Times New Roman"/>
      <w:sz w:val="24"/>
      <w:szCs w:val="24"/>
      <w:i/>
    </w:rPr>
  </w:style>
  <w:style w:type="paragraph" w:styleId="List">
    <w:name w:val="List"/>
    <w:basedOn w:val="Normal"/>
    <w:pPr>
      <w:spacing w:before="0" w:after="120" w:line="240"/>
    </w:pPr>
    <w:rPr>
      <w:rFonts w:ascii="Times New Roman" w:eastAsia="Times New Roman" w:hAnsi="Times New Roman" w:cs="Times New Roman"/>
    </w:rPr>
  </w:style>
  <w:style w:type="paragraph" w:styleId="TextBody">
    <w:name w:val="Text Body"/>
    <w:basedOn w:val="Normal"/>
    <w:pPr>
      <w:spacing w:before="0" w:after="120" w:line="240"/>
    </w:pPr>
  </w:style>
  <w:style w:type="paragraph" w:styleId="Heading">
    <w:name w:val="Heading"/>
    <w:basedOn w:val="Normal"/>
    <w:next w:val="TextBody"/>
    <w:pPr>
      <w:keepNext/>
      <w:spacing w:before="240" w:after="120" w:line="240"/>
    </w:pPr>
    <w:rPr>
      <w:rFonts w:ascii="Arial" w:eastAsia="Arial" w:hAnsi="Arial" w:cs="Arial"/>
      <w:sz w:val="28"/>
      <w:szCs w:val="28"/>
    </w:rPr>
  </w:style>
  <w:style w:type="character" w:styleId="AllCaps">
    <w:name w:val="All Caps"/>
    <w:basedOn w:val="Normal"/>
    <w:rPr>
      <w:caps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header0" Type="http://schemas.openxmlformats.org/officeDocument/2006/relationships/header" Target="header0.xml"/><Relationship Id="footer0" Type="http://schemas.openxmlformats.org/officeDocument/2006/relationships/footer" Target="footer0.xml"/><Relationship Id="img11" Type="http://schemas.openxmlformats.org/officeDocument/2006/relationships/image" Target="media/document_img11.emf"/><Relationship Id="img14" Type="http://schemas.openxmlformats.org/officeDocument/2006/relationships/image" Target="media/document_img14.emf"/><Relationship Id="img15" Type="http://schemas.openxmlformats.org/officeDocument/2006/relationships/image" Target="media/document_img15.emf"/><Relationship Id="HLink1" Type="http://schemas.openxmlformats.org/officeDocument/2006/relationships/hyperlink" Target="https://www.ifla.org/files/assets/cataloguing/frbr-lrm/ifla-lrm-august-2017.pdf" TargetMode="External" /><Relationship Id="img18" Type="http://schemas.openxmlformats.org/officeDocument/2006/relationships/image" Target="media/document_img18.png"/><Relationship Id="img19" Type="http://schemas.openxmlformats.org/officeDocument/2006/relationships/image" Target="media/document_img19.emf"/><Relationship Id="img22" Type="http://schemas.openxmlformats.org/officeDocument/2006/relationships/image" Target="media/document_img22.png"/><Relationship Id="img23" Type="http://schemas.openxmlformats.org/officeDocument/2006/relationships/image" Target="media/document_img23.emf"/><Relationship Id="img24" Type="http://schemas.openxmlformats.org/officeDocument/2006/relationships/image" Target="media/document_img24.emf"/><Relationship Id="img25" Type="http://schemas.openxmlformats.org/officeDocument/2006/relationships/image" Target="media/document_img25.emf"/><Relationship Id="img26" Type="http://schemas.openxmlformats.org/officeDocument/2006/relationships/image" Target="media/document_img26.emf"/><Relationship Id="img27" Type="http://schemas.openxmlformats.org/officeDocument/2006/relationships/image" Target="media/document_img27.emf"/><Relationship Id="img29" Type="http://schemas.openxmlformats.org/officeDocument/2006/relationships/image" Target="media/document_img29.png"/><Relationship Id="img30" Type="http://schemas.openxmlformats.org/officeDocument/2006/relationships/image" Target="media/document_img30.emf"/><Relationship Id="img32" Type="http://schemas.openxmlformats.org/officeDocument/2006/relationships/image" Target="media/document_img32.png"/><Relationship Id="img33" Type="http://schemas.openxmlformats.org/officeDocument/2006/relationships/image" Target="media/document_img33.emf"/><Relationship Id="img34" Type="http://schemas.openxmlformats.org/officeDocument/2006/relationships/image" Target="media/document_img34.emf"/><Relationship Id="img35" Type="http://schemas.openxmlformats.org/officeDocument/2006/relationships/image" Target="media/document_img35.png"/><Relationship Id="img36" Type="http://schemas.openxmlformats.org/officeDocument/2006/relationships/image" Target="media/document_img36.emf"/></Relationships>
</file>

<file path=word/_rels/footer0.xml.rels><?xml version="1.0" encoding="UTF-8" standalone="yes"?><Relationships xmlns="http://schemas.openxmlformats.org/package/2006/relationships" ></Relationships>
</file>

<file path=word/_rels/header0.xml.rels><?xml version="1.0" encoding="UTF-8" standalone="yes"?><Relationships xmlns="http://schemas.openxmlformats.org/package/2006/relationships" 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2018-05-15T11:51:46</dcterms:created>
  <dcterms:modified xsi:type="dcterms:W3CDTF">2018-05-15T11:51:46</dcterms:modified>
</cp:coreProperties>
</file>