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anexo-al-convenio-de-cesión-de-bienes-entre-el-cedente-y-la-cesionaria"/>
      <w:bookmarkEnd w:id="21"/>
      <w:r>
        <w:t xml:space="preserve">Anexo al convenio de cesión de bienes entre el cedente y la cesionaria</w:t>
      </w:r>
    </w:p>
    <w:p>
      <w:pPr>
        <w:pStyle w:val="BlockText"/>
      </w:pPr>
      <w:r>
        <w:t xml:space="preserve">El cedente es el gestor del circuito y la cesionaria es el receptor final de los dispositivos</w:t>
      </w:r>
    </w:p>
    <w:p>
      <w:pPr>
        <w:numPr>
          <w:numId w:val="1001"/>
          <w:ilvl w:val="0"/>
        </w:numPr>
      </w:pPr>
      <w:r>
        <w:t xml:space="preserve">El presente anexo suscribe los compromisos adquiridos por la cesionaria y la cedente en el convenio vigente.</w:t>
      </w:r>
    </w:p>
    <w:p>
      <w:pPr>
        <w:numPr>
          <w:numId w:val="1001"/>
          <w:ilvl w:val="0"/>
        </w:numPr>
      </w:pPr>
      <w:r>
        <w:t xml:space="preserve">La cesionaria y/o los proveedores podrán recibir donaciones monetarias las que se aplicarán en cumplimiento de los fines del proyecto de la cesionaria</w:t>
      </w:r>
      <w:r>
        <w:t xml:space="preserve"> </w:t>
      </w:r>
      <w:r>
        <w:t xml:space="preserve">“</w:t>
      </w:r>
      <w:r>
        <w:t xml:space="preserve">facilitar el reaprovechamiento de hardware en buen estado de funcionamiento por parte de entidades sin ánimo de lucro y con un fin social</w:t>
      </w:r>
      <w:r>
        <w:t xml:space="preserve">”</w:t>
      </w:r>
      <w:r>
        <w:t xml:space="preserve">a favor de sus asociados/beneficiarios.</w:t>
      </w:r>
    </w:p>
    <w:p>
      <w:pPr>
        <w:numPr>
          <w:numId w:val="1001"/>
          <w:ilvl w:val="0"/>
        </w:numPr>
      </w:pPr>
      <w:r>
        <w:t xml:space="preserve">La cesionaria se compromete a que los proveedores que prestaran los servicios de</w:t>
      </w:r>
      <w:r>
        <w:t xml:space="preserve"> </w:t>
      </w:r>
      <w:r>
        <w:t xml:space="preserve">‘</w:t>
      </w:r>
      <w:r>
        <w:t xml:space="preserve">puesta a punto</w:t>
      </w:r>
      <w:r>
        <w:t xml:space="preserve">’</w:t>
      </w:r>
      <w:r>
        <w:t xml:space="preserve"> </w:t>
      </w:r>
      <w:r>
        <w:t xml:space="preserve">y de distribución del hardware dado por el cedente serán cooperativas, fundaciones, asociaciones y entidades sin ánimo de lucro, incluidas las federaciones, confederaciones, coordinadoras y redes compuestas por cooperativas o asociaciones sin ánimo de lucro, así como a particulares acompañados de servicios sociales.</w:t>
      </w:r>
    </w:p>
    <w:p>
      <w:pPr>
        <w:numPr>
          <w:numId w:val="1001"/>
          <w:ilvl w:val="0"/>
        </w:numPr>
      </w:pPr>
      <w:r>
        <w:t xml:space="preserve">La cesionaria se compromete a ser transparente con la cedente con las donaciones monetarias recibidas.</w:t>
      </w:r>
    </w:p>
    <w:p>
      <w:pPr>
        <w:numPr>
          <w:numId w:val="1001"/>
          <w:ilvl w:val="0"/>
        </w:numPr>
      </w:pPr>
      <w:r>
        <w:t xml:space="preserve">La cesionaria se compromete a hacer llegar una memoria de impacto social de los dispositivos a la cedente como máximo a los seis meses de la cesión de los dispositivos.</w:t>
      </w:r>
    </w:p>
    <w:p>
      <w:pPr>
        <w:numPr>
          <w:numId w:val="1001"/>
          <w:ilvl w:val="0"/>
        </w:numPr>
      </w:pPr>
      <w:r>
        <w:t xml:space="preserve">El presente anexo es revisará anualmente. Se creará una comisión de seguimiento de los acuerdos, que podrá proponer cambios del presente documento con el fin de facilitar la operatividad del convenio y el anexo. La comisión de seguimiento se convocará semestralmente.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4d21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0b0126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