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5A9BD17A" w14:textId="310697FE" w:rsidR="00B80905" w:rsidRDefault="00C66B05" w:rsidP="00B80905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62A784E" wp14:editId="42480F61">
                <wp:simplePos x="0" y="0"/>
                <wp:positionH relativeFrom="margin">
                  <wp:posOffset>-548640</wp:posOffset>
                </wp:positionH>
                <wp:positionV relativeFrom="paragraph">
                  <wp:posOffset>-655320</wp:posOffset>
                </wp:positionV>
                <wp:extent cx="7207885" cy="94488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4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3520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315D77B" wp14:editId="0BFDE73C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6B985" w14:textId="666C4D4C" w:rsidR="00A71695" w:rsidRDefault="00A71695" w:rsidP="00A7169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A9737E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BC35C7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7DB8173A" w14:textId="69780C76" w:rsidR="00A71695" w:rsidRDefault="00A71695" w:rsidP="00A7169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BC35C7" w:rsidRPr="00BC35C7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BC35C7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E6272C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E6272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933E045" w14:textId="3D9A304B" w:rsidR="004D3520" w:rsidRDefault="004D3520" w:rsidP="004D352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E6272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2F8C30" w14:textId="77777777" w:rsidR="004D3520" w:rsidRDefault="004D3520" w:rsidP="004D3520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15D7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7876B985" w14:textId="666C4D4C" w:rsidR="00A71695" w:rsidRDefault="00A71695" w:rsidP="00A7169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A9737E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BC35C7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7DB8173A" w14:textId="69780C76" w:rsidR="00A71695" w:rsidRDefault="00A71695" w:rsidP="00A7169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BC35C7" w:rsidRPr="00BC35C7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BC35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E6272C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E6272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933E045" w14:textId="3D9A304B" w:rsidR="004D3520" w:rsidRDefault="004D3520" w:rsidP="004D352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E6272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2F8C30" w14:textId="77777777" w:rsidR="004D3520" w:rsidRDefault="004D3520" w:rsidP="004D3520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558D1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363FBC60" wp14:editId="4E6F7719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A7C25A" w14:textId="5DCCBEC1" w:rsidR="00B80905" w:rsidRDefault="006A4509" w:rsidP="00B80905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ORDER </w:t>
                                </w:r>
                                <w:r w:rsidR="00C66B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APPEASEMENT</w:t>
                                </w:r>
                                <w:r w:rsidR="00B809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67D7DB79" w14:textId="77777777" w:rsidR="00B80905" w:rsidRDefault="00B80905" w:rsidP="00B80905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3FBC60" id="Text Box 234" o:spid="_x0000_s1027" type="#_x0000_t202" style="position:absolute;margin-left:73.35pt;margin-top:94.15pt;width:393.5pt;height:60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3DA7C25A" w14:textId="5DCCBEC1" w:rsidR="00B80905" w:rsidRDefault="006A4509" w:rsidP="00B80905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ORDER </w:t>
                          </w:r>
                          <w:r w:rsidR="00C66B05">
                            <w:rPr>
                              <w:rFonts w:ascii="Montserrat SemiBold" w:hAnsi="Montserrat SemiBold"/>
                              <w:color w:val="54575A"/>
                            </w:rPr>
                            <w:t>APPEASEMENT</w:t>
                          </w:r>
                          <w:r w:rsidR="00B80905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67D7DB79" w14:textId="77777777" w:rsidR="00B80905" w:rsidRDefault="00B80905" w:rsidP="00B80905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0" locked="0" layoutInCell="1" allowOverlap="1" wp14:anchorId="79662501" wp14:editId="5AF46683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C10176C" id="Group 37" o:spid="_x0000_s1026" style="position:absolute;margin-left:52.5pt;margin-top:163.5pt;width:394.65pt;height:392.5pt;z-index:25165670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5EA68B6D" wp14:editId="36A76578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1B05E" w14:textId="77777777" w:rsidR="00B80905" w:rsidRDefault="00B80905" w:rsidP="00B8090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212AF" w14:textId="77777777" w:rsidR="00B80905" w:rsidRDefault="00B80905" w:rsidP="00B80905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A68B6D" id="Group 36" o:spid="_x0000_s1028" style="position:absolute;margin-left:24.2pt;margin-top:38.35pt;width:367.5pt;height:102.05pt;z-index:25165772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2561B05E" w14:textId="77777777" w:rsidR="00B80905" w:rsidRDefault="00B80905" w:rsidP="00B80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99212AF" w14:textId="77777777" w:rsidR="00B80905" w:rsidRDefault="00B80905" w:rsidP="00B80905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B80905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01EAC" w14:textId="418BCA52" w:rsidR="00A71FB0" w:rsidRPr="00F71F01" w:rsidRDefault="00A71FB0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00203A1" w14:textId="38B22533" w:rsidR="00B87970" w:rsidRDefault="00A71FB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F71F01">
            <w:rPr>
              <w:rFonts w:ascii="Arial" w:hAnsi="Arial" w:cs="Arial"/>
              <w:sz w:val="20"/>
              <w:szCs w:val="20"/>
            </w:rPr>
            <w:fldChar w:fldCharType="begin"/>
          </w:r>
          <w:r w:rsidRPr="00F71F01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F71F01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12450851" w:history="1">
            <w:r w:rsidR="00B87970"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B87970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B87970"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Order Appeasement Integration</w:t>
            </w:r>
            <w:r w:rsidR="00B87970">
              <w:rPr>
                <w:noProof/>
                <w:webHidden/>
              </w:rPr>
              <w:tab/>
            </w:r>
            <w:r w:rsidR="00B87970">
              <w:rPr>
                <w:noProof/>
                <w:webHidden/>
              </w:rPr>
              <w:fldChar w:fldCharType="begin"/>
            </w:r>
            <w:r w:rsidR="00B87970">
              <w:rPr>
                <w:noProof/>
                <w:webHidden/>
              </w:rPr>
              <w:instrText xml:space="preserve"> PAGEREF _Toc212450851 \h </w:instrText>
            </w:r>
            <w:r w:rsidR="00B87970">
              <w:rPr>
                <w:noProof/>
                <w:webHidden/>
              </w:rPr>
            </w:r>
            <w:r w:rsidR="00B87970">
              <w:rPr>
                <w:noProof/>
                <w:webHidden/>
              </w:rPr>
              <w:fldChar w:fldCharType="separate"/>
            </w:r>
            <w:r w:rsidR="00B87970">
              <w:rPr>
                <w:noProof/>
                <w:webHidden/>
              </w:rPr>
              <w:t>2</w:t>
            </w:r>
            <w:r w:rsidR="00B87970">
              <w:rPr>
                <w:noProof/>
                <w:webHidden/>
              </w:rPr>
              <w:fldChar w:fldCharType="end"/>
            </w:r>
          </w:hyperlink>
        </w:p>
        <w:p w14:paraId="0851EFEA" w14:textId="1FE9A0E7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2" w:history="1">
            <w:r w:rsidRPr="002D6778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Order Appeasement (SFCC =&gt; ESW)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8EDE" w14:textId="6B179EE7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3" w:history="1">
            <w:r w:rsidRPr="002D6778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Order Appeasement Sync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B097" w14:textId="73B54E6C" w:rsidR="00B87970" w:rsidRDefault="00B87970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4" w:history="1">
            <w:r w:rsidRPr="002D6778">
              <w:rPr>
                <w:rStyle w:val="Hyperlink"/>
                <w:rFonts w:ascii="Arial" w:hAnsi="Arial" w:cs="Arial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77CF" w14:textId="2EFE12E2" w:rsidR="00B87970" w:rsidRDefault="00B87970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5" w:history="1">
            <w:r w:rsidRPr="002D6778">
              <w:rPr>
                <w:rStyle w:val="Hyperlink"/>
                <w:rFonts w:ascii="Arial" w:hAnsi="Arial" w:cs="Arial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Workflow to Appeasement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09B5" w14:textId="4E144F03" w:rsidR="00B87970" w:rsidRDefault="00B8797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6" w:history="1">
            <w:r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b/>
                <w:bCs/>
                <w:noProof/>
              </w:rPr>
              <w:t>Order Appeasement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1F7F" w14:textId="24E886C4" w:rsidR="00B87970" w:rsidRDefault="00B8797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2450857" w:history="1">
            <w:r w:rsidRPr="002D6778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2D6778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8EB7" w14:textId="2C683490" w:rsidR="00A71FB0" w:rsidRDefault="00A71FB0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23CA657" w14:textId="2741BF7A" w:rsidR="00836A6B" w:rsidRDefault="00836A6B">
      <w:pPr>
        <w:rPr>
          <w:rFonts w:ascii="Arial" w:hAnsi="Arial" w:cs="Arial"/>
          <w:sz w:val="24"/>
          <w:szCs w:val="24"/>
        </w:rPr>
      </w:pPr>
    </w:p>
    <w:p w14:paraId="205B7B92" w14:textId="70A0581E" w:rsidR="009868C9" w:rsidRDefault="009868C9">
      <w:pPr>
        <w:rPr>
          <w:rFonts w:ascii="Arial" w:hAnsi="Arial" w:cs="Arial"/>
          <w:sz w:val="24"/>
          <w:szCs w:val="24"/>
        </w:rPr>
      </w:pPr>
    </w:p>
    <w:p w14:paraId="52616D0F" w14:textId="7EA1C385" w:rsidR="009868C9" w:rsidRDefault="009868C9">
      <w:pPr>
        <w:rPr>
          <w:rFonts w:ascii="Arial" w:hAnsi="Arial" w:cs="Arial"/>
          <w:sz w:val="24"/>
          <w:szCs w:val="24"/>
        </w:rPr>
      </w:pPr>
    </w:p>
    <w:p w14:paraId="1ED6B4D0" w14:textId="2DE34DD4" w:rsidR="009868C9" w:rsidRDefault="009868C9">
      <w:pPr>
        <w:rPr>
          <w:rFonts w:ascii="Arial" w:hAnsi="Arial" w:cs="Arial"/>
          <w:sz w:val="24"/>
          <w:szCs w:val="24"/>
        </w:rPr>
      </w:pPr>
    </w:p>
    <w:p w14:paraId="042D95B0" w14:textId="63D421FB" w:rsidR="009868C9" w:rsidRDefault="009868C9">
      <w:pPr>
        <w:rPr>
          <w:rFonts w:ascii="Arial" w:hAnsi="Arial" w:cs="Arial"/>
          <w:sz w:val="24"/>
          <w:szCs w:val="24"/>
        </w:rPr>
      </w:pPr>
    </w:p>
    <w:p w14:paraId="5C2877FE" w14:textId="17903500" w:rsidR="009868C9" w:rsidRDefault="009868C9">
      <w:pPr>
        <w:rPr>
          <w:rFonts w:ascii="Arial" w:hAnsi="Arial" w:cs="Arial"/>
          <w:sz w:val="24"/>
          <w:szCs w:val="24"/>
        </w:rPr>
      </w:pPr>
    </w:p>
    <w:p w14:paraId="124DFFCB" w14:textId="555ACA77" w:rsidR="009868C9" w:rsidRDefault="009868C9">
      <w:pPr>
        <w:rPr>
          <w:rFonts w:ascii="Arial" w:hAnsi="Arial" w:cs="Arial"/>
          <w:sz w:val="24"/>
          <w:szCs w:val="24"/>
        </w:rPr>
      </w:pPr>
    </w:p>
    <w:p w14:paraId="17160828" w14:textId="4343A09A" w:rsidR="009868C9" w:rsidRDefault="009868C9">
      <w:pPr>
        <w:rPr>
          <w:rFonts w:ascii="Arial" w:hAnsi="Arial" w:cs="Arial"/>
          <w:sz w:val="24"/>
          <w:szCs w:val="24"/>
        </w:rPr>
      </w:pPr>
    </w:p>
    <w:p w14:paraId="14750505" w14:textId="684E58D2" w:rsidR="009868C9" w:rsidRDefault="009868C9">
      <w:pPr>
        <w:rPr>
          <w:rFonts w:ascii="Arial" w:hAnsi="Arial" w:cs="Arial"/>
          <w:sz w:val="24"/>
          <w:szCs w:val="24"/>
        </w:rPr>
      </w:pPr>
    </w:p>
    <w:p w14:paraId="20B25F7C" w14:textId="7605E0CD" w:rsidR="009868C9" w:rsidRDefault="009868C9">
      <w:pPr>
        <w:rPr>
          <w:rFonts w:ascii="Arial" w:hAnsi="Arial" w:cs="Arial"/>
          <w:sz w:val="24"/>
          <w:szCs w:val="24"/>
        </w:rPr>
      </w:pPr>
    </w:p>
    <w:p w14:paraId="5A8E009F" w14:textId="14BAC030" w:rsidR="009868C9" w:rsidRDefault="009868C9">
      <w:pPr>
        <w:rPr>
          <w:rFonts w:ascii="Arial" w:hAnsi="Arial" w:cs="Arial"/>
          <w:sz w:val="24"/>
          <w:szCs w:val="24"/>
        </w:rPr>
      </w:pPr>
    </w:p>
    <w:p w14:paraId="5B6B9E8B" w14:textId="4AAE21AC" w:rsidR="009868C9" w:rsidRDefault="009868C9">
      <w:pPr>
        <w:rPr>
          <w:rFonts w:ascii="Arial" w:hAnsi="Arial" w:cs="Arial"/>
          <w:sz w:val="24"/>
          <w:szCs w:val="24"/>
        </w:rPr>
      </w:pPr>
    </w:p>
    <w:p w14:paraId="154EA1E6" w14:textId="04A5A2F0" w:rsidR="009868C9" w:rsidRDefault="009868C9">
      <w:pPr>
        <w:rPr>
          <w:rFonts w:ascii="Arial" w:hAnsi="Arial" w:cs="Arial"/>
          <w:sz w:val="24"/>
          <w:szCs w:val="24"/>
        </w:rPr>
      </w:pPr>
    </w:p>
    <w:p w14:paraId="6168955F" w14:textId="04374298" w:rsidR="009868C9" w:rsidRDefault="009868C9">
      <w:pPr>
        <w:rPr>
          <w:rFonts w:ascii="Arial" w:hAnsi="Arial" w:cs="Arial"/>
          <w:sz w:val="24"/>
          <w:szCs w:val="24"/>
        </w:rPr>
      </w:pPr>
    </w:p>
    <w:p w14:paraId="570275F8" w14:textId="14748024" w:rsidR="009868C9" w:rsidRDefault="009868C9">
      <w:pPr>
        <w:rPr>
          <w:rFonts w:ascii="Arial" w:hAnsi="Arial" w:cs="Arial"/>
          <w:sz w:val="24"/>
          <w:szCs w:val="24"/>
        </w:rPr>
      </w:pPr>
    </w:p>
    <w:p w14:paraId="54649EC6" w14:textId="332BE686" w:rsidR="009868C9" w:rsidRDefault="009868C9">
      <w:pPr>
        <w:rPr>
          <w:rFonts w:ascii="Arial" w:hAnsi="Arial" w:cs="Arial"/>
          <w:sz w:val="24"/>
          <w:szCs w:val="24"/>
        </w:rPr>
      </w:pPr>
    </w:p>
    <w:p w14:paraId="36377F4B" w14:textId="0A1B2735" w:rsidR="009868C9" w:rsidRDefault="009868C9">
      <w:pPr>
        <w:rPr>
          <w:rFonts w:ascii="Arial" w:hAnsi="Arial" w:cs="Arial"/>
          <w:sz w:val="24"/>
          <w:szCs w:val="24"/>
        </w:rPr>
      </w:pPr>
    </w:p>
    <w:p w14:paraId="4EBBD041" w14:textId="163129B4" w:rsidR="009868C9" w:rsidRDefault="009868C9">
      <w:pPr>
        <w:rPr>
          <w:rFonts w:ascii="Arial" w:hAnsi="Arial" w:cs="Arial"/>
          <w:sz w:val="24"/>
          <w:szCs w:val="24"/>
        </w:rPr>
      </w:pPr>
    </w:p>
    <w:p w14:paraId="77199AEE" w14:textId="2C5993AC" w:rsidR="009868C9" w:rsidRDefault="009868C9">
      <w:pPr>
        <w:rPr>
          <w:rFonts w:ascii="Arial" w:hAnsi="Arial" w:cs="Arial"/>
          <w:sz w:val="24"/>
          <w:szCs w:val="24"/>
        </w:rPr>
      </w:pPr>
    </w:p>
    <w:p w14:paraId="03830707" w14:textId="54B14D57" w:rsidR="009868C9" w:rsidRDefault="009868C9">
      <w:pPr>
        <w:rPr>
          <w:rFonts w:ascii="Arial" w:hAnsi="Arial" w:cs="Arial"/>
          <w:sz w:val="24"/>
          <w:szCs w:val="24"/>
        </w:rPr>
      </w:pPr>
    </w:p>
    <w:p w14:paraId="30F0EC7B" w14:textId="0B47979D" w:rsidR="009868C9" w:rsidRDefault="009868C9">
      <w:pPr>
        <w:rPr>
          <w:rFonts w:ascii="Arial" w:hAnsi="Arial" w:cs="Arial"/>
          <w:sz w:val="24"/>
          <w:szCs w:val="24"/>
        </w:rPr>
      </w:pPr>
    </w:p>
    <w:p w14:paraId="5490119D" w14:textId="72526979" w:rsidR="00A031A2" w:rsidRDefault="00A031A2">
      <w:pPr>
        <w:rPr>
          <w:rFonts w:ascii="Arial" w:hAnsi="Arial" w:cs="Arial"/>
          <w:sz w:val="24"/>
          <w:szCs w:val="24"/>
        </w:rPr>
      </w:pPr>
    </w:p>
    <w:p w14:paraId="5EA533D4" w14:textId="02C22303" w:rsidR="0070326B" w:rsidRDefault="0070326B">
      <w:pPr>
        <w:rPr>
          <w:rFonts w:ascii="Arial" w:hAnsi="Arial" w:cs="Arial"/>
          <w:sz w:val="24"/>
          <w:szCs w:val="24"/>
        </w:rPr>
      </w:pPr>
    </w:p>
    <w:p w14:paraId="6CC5D924" w14:textId="7D283CFA" w:rsidR="0070326B" w:rsidRDefault="0070326B">
      <w:pPr>
        <w:rPr>
          <w:rFonts w:ascii="Arial" w:hAnsi="Arial" w:cs="Arial"/>
          <w:sz w:val="24"/>
          <w:szCs w:val="24"/>
        </w:rPr>
      </w:pPr>
    </w:p>
    <w:p w14:paraId="0BB8402E" w14:textId="3682D3D7" w:rsidR="0070326B" w:rsidRDefault="0070326B">
      <w:pPr>
        <w:rPr>
          <w:rFonts w:ascii="Arial" w:hAnsi="Arial" w:cs="Arial"/>
          <w:sz w:val="24"/>
          <w:szCs w:val="24"/>
        </w:rPr>
      </w:pPr>
    </w:p>
    <w:p w14:paraId="5405C29C" w14:textId="77777777" w:rsidR="0070326B" w:rsidRDefault="0070326B">
      <w:pPr>
        <w:rPr>
          <w:rFonts w:ascii="Arial" w:hAnsi="Arial" w:cs="Arial"/>
          <w:sz w:val="24"/>
          <w:szCs w:val="24"/>
        </w:rPr>
      </w:pPr>
    </w:p>
    <w:p w14:paraId="779C50FB" w14:textId="42DBA538" w:rsidR="009868C9" w:rsidRDefault="009868C9">
      <w:pPr>
        <w:rPr>
          <w:rFonts w:ascii="Arial" w:hAnsi="Arial" w:cs="Arial"/>
          <w:sz w:val="24"/>
          <w:szCs w:val="24"/>
        </w:rPr>
      </w:pPr>
    </w:p>
    <w:p w14:paraId="7F5E2EE1" w14:textId="5B397043" w:rsidR="009868C9" w:rsidRDefault="009868C9">
      <w:pPr>
        <w:rPr>
          <w:rFonts w:ascii="Arial" w:hAnsi="Arial" w:cs="Arial"/>
          <w:sz w:val="24"/>
          <w:szCs w:val="24"/>
        </w:rPr>
      </w:pPr>
    </w:p>
    <w:p w14:paraId="4594A45D" w14:textId="72725E72" w:rsidR="009868C9" w:rsidRDefault="009868C9">
      <w:pPr>
        <w:rPr>
          <w:rFonts w:ascii="Arial" w:hAnsi="Arial" w:cs="Arial"/>
          <w:sz w:val="24"/>
          <w:szCs w:val="24"/>
        </w:rPr>
      </w:pPr>
    </w:p>
    <w:p w14:paraId="289E3360" w14:textId="5825BC5F" w:rsidR="009868C9" w:rsidRDefault="009868C9">
      <w:pPr>
        <w:rPr>
          <w:rFonts w:ascii="Arial" w:hAnsi="Arial" w:cs="Arial"/>
          <w:sz w:val="24"/>
          <w:szCs w:val="24"/>
        </w:rPr>
      </w:pPr>
    </w:p>
    <w:p w14:paraId="3AB861D4" w14:textId="4E8DC946" w:rsidR="009868C9" w:rsidRDefault="009868C9">
      <w:pPr>
        <w:rPr>
          <w:rFonts w:ascii="Arial" w:hAnsi="Arial" w:cs="Arial"/>
          <w:sz w:val="24"/>
          <w:szCs w:val="24"/>
        </w:rPr>
      </w:pPr>
    </w:p>
    <w:p w14:paraId="306F524E" w14:textId="5772DF56" w:rsidR="009868C9" w:rsidRDefault="009868C9">
      <w:pPr>
        <w:rPr>
          <w:rFonts w:ascii="Arial" w:hAnsi="Arial" w:cs="Arial"/>
          <w:sz w:val="24"/>
          <w:szCs w:val="24"/>
        </w:rPr>
      </w:pPr>
    </w:p>
    <w:p w14:paraId="6CEED38F" w14:textId="77777777" w:rsidR="00F157F4" w:rsidRDefault="00F157F4">
      <w:pPr>
        <w:rPr>
          <w:rFonts w:ascii="Arial" w:hAnsi="Arial" w:cs="Arial"/>
          <w:sz w:val="24"/>
          <w:szCs w:val="24"/>
        </w:rPr>
      </w:pPr>
    </w:p>
    <w:p w14:paraId="7A48EC97" w14:textId="5AA945FB" w:rsidR="009868C9" w:rsidRDefault="009868C9">
      <w:pPr>
        <w:rPr>
          <w:rFonts w:ascii="Arial" w:hAnsi="Arial" w:cs="Arial"/>
          <w:sz w:val="24"/>
          <w:szCs w:val="24"/>
        </w:rPr>
      </w:pPr>
    </w:p>
    <w:p w14:paraId="30EAFAEA" w14:textId="11A628C1" w:rsidR="004D24FB" w:rsidRPr="004D24FB" w:rsidRDefault="000B5D52" w:rsidP="004D24FB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0" w:name="_Toc72250859"/>
      <w:bookmarkStart w:id="1" w:name="_Toc212450851"/>
      <w:r>
        <w:rPr>
          <w:rFonts w:ascii="Arial" w:hAnsi="Arial" w:cs="Arial"/>
          <w:b/>
          <w:bCs/>
          <w:sz w:val="28"/>
          <w:szCs w:val="28"/>
        </w:rPr>
        <w:t xml:space="preserve">Order </w:t>
      </w:r>
      <w:r w:rsidR="00FA0226">
        <w:rPr>
          <w:rFonts w:ascii="Arial" w:hAnsi="Arial" w:cs="Arial"/>
          <w:b/>
          <w:bCs/>
          <w:sz w:val="28"/>
          <w:szCs w:val="28"/>
        </w:rPr>
        <w:t>Appeasement</w:t>
      </w:r>
      <w:r w:rsidR="00821DA7" w:rsidRPr="00F71F01">
        <w:rPr>
          <w:rFonts w:ascii="Arial" w:hAnsi="Arial" w:cs="Arial"/>
          <w:b/>
          <w:bCs/>
          <w:sz w:val="28"/>
          <w:szCs w:val="28"/>
        </w:rPr>
        <w:t xml:space="preserve"> Integration</w:t>
      </w:r>
      <w:bookmarkEnd w:id="0"/>
      <w:bookmarkEnd w:id="1"/>
    </w:p>
    <w:p w14:paraId="59940B7D" w14:textId="0F45F70F" w:rsidR="00821DA7" w:rsidRPr="00511E4D" w:rsidRDefault="0098673D" w:rsidP="008529F6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212450852"/>
      <w:r>
        <w:rPr>
          <w:rFonts w:ascii="Arial" w:hAnsi="Arial" w:cs="Arial"/>
          <w:sz w:val="28"/>
          <w:szCs w:val="28"/>
        </w:rPr>
        <w:lastRenderedPageBreak/>
        <w:t>Workflow to</w:t>
      </w:r>
      <w:r w:rsidR="00C151C2" w:rsidRPr="008529F6">
        <w:rPr>
          <w:rFonts w:ascii="Arial" w:hAnsi="Arial" w:cs="Arial"/>
          <w:sz w:val="28"/>
          <w:szCs w:val="28"/>
        </w:rPr>
        <w:t xml:space="preserve"> Order </w:t>
      </w:r>
      <w:r>
        <w:rPr>
          <w:rFonts w:ascii="Arial" w:hAnsi="Arial" w:cs="Arial"/>
          <w:sz w:val="28"/>
          <w:szCs w:val="28"/>
        </w:rPr>
        <w:t>Appeasement</w:t>
      </w:r>
      <w:r w:rsidR="00C151C2" w:rsidRPr="008529F6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SFCC</w:t>
      </w:r>
      <w:r w:rsidR="00C151C2" w:rsidRPr="008529F6">
        <w:rPr>
          <w:rFonts w:ascii="Arial" w:hAnsi="Arial" w:cs="Arial"/>
          <w:sz w:val="28"/>
          <w:szCs w:val="28"/>
        </w:rPr>
        <w:t xml:space="preserve"> =&gt; </w:t>
      </w:r>
      <w:r>
        <w:rPr>
          <w:rFonts w:ascii="Arial" w:hAnsi="Arial" w:cs="Arial"/>
          <w:sz w:val="28"/>
          <w:szCs w:val="28"/>
        </w:rPr>
        <w:t>ESW</w:t>
      </w:r>
      <w:r w:rsidR="00C151C2" w:rsidRPr="008529F6">
        <w:rPr>
          <w:rFonts w:ascii="Arial" w:hAnsi="Arial" w:cs="Arial"/>
          <w:sz w:val="28"/>
          <w:szCs w:val="28"/>
        </w:rPr>
        <w:t>)</w:t>
      </w:r>
      <w:bookmarkEnd w:id="2"/>
    </w:p>
    <w:p w14:paraId="2BBADDF0" w14:textId="349F96EE" w:rsidR="0098673D" w:rsidRDefault="0098673D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This flow is not available in the feature. A retailer can create appeasement only from the ESW panel.</w:t>
      </w:r>
    </w:p>
    <w:p w14:paraId="4CD39742" w14:textId="24F263F3" w:rsidR="0098673D" w:rsidRPr="00511E4D" w:rsidRDefault="0098673D" w:rsidP="0098673D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3" w:name="_Toc212450853"/>
      <w:r>
        <w:rPr>
          <w:rFonts w:ascii="Arial" w:hAnsi="Arial" w:cs="Arial"/>
          <w:sz w:val="28"/>
          <w:szCs w:val="28"/>
        </w:rPr>
        <w:t>Workflow to</w:t>
      </w:r>
      <w:r w:rsidRPr="008529F6">
        <w:rPr>
          <w:rFonts w:ascii="Arial" w:hAnsi="Arial" w:cs="Arial"/>
          <w:sz w:val="28"/>
          <w:szCs w:val="28"/>
        </w:rPr>
        <w:t xml:space="preserve"> Order </w:t>
      </w:r>
      <w:r>
        <w:rPr>
          <w:rFonts w:ascii="Arial" w:hAnsi="Arial" w:cs="Arial"/>
          <w:sz w:val="28"/>
          <w:szCs w:val="28"/>
        </w:rPr>
        <w:t>Appeasement Sync</w:t>
      </w:r>
      <w:r w:rsidRPr="008529F6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ESW</w:t>
      </w:r>
      <w:r w:rsidRPr="008529F6">
        <w:rPr>
          <w:rFonts w:ascii="Arial" w:hAnsi="Arial" w:cs="Arial"/>
          <w:sz w:val="28"/>
          <w:szCs w:val="28"/>
        </w:rPr>
        <w:t xml:space="preserve"> =&gt; </w:t>
      </w:r>
      <w:r>
        <w:rPr>
          <w:rFonts w:ascii="Arial" w:hAnsi="Arial" w:cs="Arial"/>
          <w:sz w:val="28"/>
          <w:szCs w:val="28"/>
        </w:rPr>
        <w:t>SFCC</w:t>
      </w:r>
      <w:r w:rsidRPr="008529F6">
        <w:rPr>
          <w:rFonts w:ascii="Arial" w:hAnsi="Arial" w:cs="Arial"/>
          <w:sz w:val="28"/>
          <w:szCs w:val="28"/>
        </w:rPr>
        <w:t>)</w:t>
      </w:r>
      <w:bookmarkEnd w:id="3"/>
    </w:p>
    <w:p w14:paraId="6C5EAC5F" w14:textId="07C1D7E0" w:rsidR="0098673D" w:rsidRDefault="0098673D" w:rsidP="0098673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If the order is appeased in ESW CSP. SFCC webhook endpoint will be called from CSP (EShopWorld-ProcessWebHook</w:t>
      </w:r>
      <w:r w:rsidR="00E00BAC">
        <w:rPr>
          <w:sz w:val="20"/>
          <w:szCs w:val="20"/>
        </w:rPr>
        <w:t>s</w:t>
      </w:r>
      <w:r>
        <w:rPr>
          <w:sz w:val="20"/>
          <w:szCs w:val="20"/>
        </w:rPr>
        <w:t>) that will update appeasement custom attributes on specified order</w:t>
      </w:r>
      <w:r w:rsidR="003F765D">
        <w:rPr>
          <w:sz w:val="20"/>
          <w:szCs w:val="20"/>
        </w:rPr>
        <w:t xml:space="preserve"> in request</w:t>
      </w:r>
      <w:r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mark the order as an appeased by changing the value for flag </w:t>
      </w:r>
      <w:r w:rsidR="00ED42A3">
        <w:rPr>
          <w:b/>
          <w:bCs/>
          <w:sz w:val="20"/>
          <w:szCs w:val="20"/>
        </w:rPr>
        <w:t xml:space="preserve">Is ESW </w:t>
      </w:r>
      <w:r w:rsidRPr="0098673D">
        <w:rPr>
          <w:b/>
          <w:bCs/>
          <w:sz w:val="20"/>
          <w:szCs w:val="20"/>
        </w:rPr>
        <w:t>Appeased</w:t>
      </w:r>
      <w:r w:rsidR="00ED42A3">
        <w:rPr>
          <w:b/>
          <w:bCs/>
          <w:sz w:val="20"/>
          <w:szCs w:val="20"/>
        </w:rPr>
        <w:t xml:space="preserve"> </w:t>
      </w:r>
      <w:r w:rsidRPr="0098673D">
        <w:rPr>
          <w:b/>
          <w:bCs/>
          <w:sz w:val="20"/>
          <w:szCs w:val="20"/>
        </w:rPr>
        <w:t>Order</w:t>
      </w:r>
      <w:r w:rsidR="00ED42A3">
        <w:rPr>
          <w:b/>
          <w:bCs/>
          <w:sz w:val="20"/>
          <w:szCs w:val="20"/>
        </w:rPr>
        <w:t>?</w:t>
      </w:r>
      <w:r w:rsidR="003F765D" w:rsidRPr="003F765D">
        <w:rPr>
          <w:sz w:val="20"/>
          <w:szCs w:val="20"/>
        </w:rPr>
        <w:t xml:space="preserve"> to true.</w:t>
      </w:r>
    </w:p>
    <w:p w14:paraId="401A7437" w14:textId="03E9C36A" w:rsidR="00A44EF8" w:rsidRDefault="00A44EF8" w:rsidP="0098673D">
      <w:pPr>
        <w:pStyle w:val="p"/>
        <w:jc w:val="both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9FA6F28" wp14:editId="59761C94">
            <wp:extent cx="6035040" cy="39928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139" cy="403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B29D" w14:textId="25245C71" w:rsidR="0098673D" w:rsidRDefault="00C66B05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The endpoint</w:t>
      </w:r>
      <w:r w:rsidR="0098673D">
        <w:rPr>
          <w:sz w:val="20"/>
          <w:szCs w:val="20"/>
        </w:rPr>
        <w:t xml:space="preserve"> will be configured on </w:t>
      </w:r>
      <w:r>
        <w:rPr>
          <w:sz w:val="20"/>
          <w:szCs w:val="20"/>
        </w:rPr>
        <w:t xml:space="preserve">the </w:t>
      </w:r>
      <w:r w:rsidR="0098673D">
        <w:rPr>
          <w:sz w:val="20"/>
          <w:szCs w:val="20"/>
        </w:rPr>
        <w:t>ESW tenant side so retailers can subscribe to the event.</w:t>
      </w:r>
    </w:p>
    <w:p w14:paraId="59583FB0" w14:textId="777F4FE2" w:rsidR="00AD0D7D" w:rsidRPr="00F71F01" w:rsidRDefault="00AD0D7D" w:rsidP="00AD0D7D">
      <w:pPr>
        <w:pStyle w:val="111U"/>
        <w:jc w:val="both"/>
        <w:rPr>
          <w:rFonts w:ascii="Arial" w:hAnsi="Arial" w:cs="Arial"/>
          <w:sz w:val="28"/>
        </w:rPr>
      </w:pPr>
      <w:bookmarkStart w:id="4" w:name="_Toc74308873"/>
      <w:bookmarkStart w:id="5" w:name="_Toc212450854"/>
      <w:r>
        <w:rPr>
          <w:rFonts w:ascii="Arial" w:hAnsi="Arial" w:cs="Arial"/>
          <w:sz w:val="28"/>
        </w:rPr>
        <w:t>ESW Webhooks Configuration</w:t>
      </w:r>
      <w:bookmarkEnd w:id="4"/>
      <w:bookmarkEnd w:id="5"/>
    </w:p>
    <w:p w14:paraId="060D4DF3" w14:textId="0A1AFCD7" w:rsidR="001A6227" w:rsidRDefault="00AD0D7D" w:rsidP="00AD0D7D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</w:t>
      </w:r>
      <w:r w:rsidR="001A6227" w:rsidRPr="001A6227">
        <w:rPr>
          <w:sz w:val="20"/>
          <w:szCs w:val="20"/>
        </w:rPr>
        <w:t xml:space="preserve"> </w:t>
      </w:r>
      <w:r w:rsidRPr="001A6227">
        <w:rPr>
          <w:sz w:val="20"/>
          <w:szCs w:val="20"/>
        </w:rPr>
        <w:t xml:space="preserve">in ESW tenant configuration </w:t>
      </w:r>
      <w:r w:rsidR="001A6227" w:rsidRPr="001A6227">
        <w:rPr>
          <w:sz w:val="20"/>
          <w:szCs w:val="20"/>
        </w:rPr>
        <w:t>that will trigger on Order</w:t>
      </w:r>
      <w:r w:rsidR="00492956">
        <w:rPr>
          <w:sz w:val="20"/>
          <w:szCs w:val="20"/>
        </w:rPr>
        <w:t>Appeasement</w:t>
      </w:r>
      <w:r w:rsidR="001A6227" w:rsidRPr="001A6227">
        <w:rPr>
          <w:sz w:val="20"/>
          <w:szCs w:val="20"/>
        </w:rPr>
        <w:t>SucceedEvent</w:t>
      </w:r>
      <w:r w:rsidR="001A6227">
        <w:rPr>
          <w:sz w:val="20"/>
          <w:szCs w:val="20"/>
        </w:rPr>
        <w:t xml:space="preserve">. The ESW-SFCC cartridge provides the OOTB SFCC endpoint to subscribe </w:t>
      </w:r>
      <w:r w:rsidR="00C66B05">
        <w:rPr>
          <w:sz w:val="20"/>
          <w:szCs w:val="20"/>
        </w:rPr>
        <w:t>to</w:t>
      </w:r>
      <w:r w:rsidR="001A6227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the </w:t>
      </w:r>
      <w:r w:rsidR="001A6227">
        <w:rPr>
          <w:sz w:val="20"/>
          <w:szCs w:val="20"/>
        </w:rPr>
        <w:t xml:space="preserve">ESW order </w:t>
      </w:r>
      <w:r w:rsidR="00492956">
        <w:rPr>
          <w:sz w:val="20"/>
          <w:szCs w:val="20"/>
        </w:rPr>
        <w:t>appeasement</w:t>
      </w:r>
      <w:r w:rsidR="001A6227">
        <w:rPr>
          <w:sz w:val="20"/>
          <w:szCs w:val="20"/>
        </w:rPr>
        <w:t xml:space="preserve"> webhook event. ESW integration engineer can help retailers </w:t>
      </w:r>
      <w:r w:rsidR="00C66B05">
        <w:rPr>
          <w:sz w:val="20"/>
          <w:szCs w:val="20"/>
        </w:rPr>
        <w:t>subscribe to</w:t>
      </w:r>
      <w:r w:rsidR="001A6227">
        <w:rPr>
          <w:sz w:val="20"/>
          <w:szCs w:val="20"/>
        </w:rPr>
        <w:t xml:space="preserve"> this endpoint.</w:t>
      </w:r>
    </w:p>
    <w:p w14:paraId="0191A703" w14:textId="6433CAFF" w:rsidR="00AD0D7D" w:rsidRPr="00794CB6" w:rsidRDefault="001E11FF" w:rsidP="00AD0D7D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3D5D0E8F" w14:textId="0230386D" w:rsidR="00AD0D7D" w:rsidRPr="00F71F01" w:rsidRDefault="00492956" w:rsidP="00AD0D7D">
      <w:pPr>
        <w:pStyle w:val="p"/>
        <w:jc w:val="both"/>
        <w:rPr>
          <w:rFonts w:eastAsiaTheme="minorEastAsia"/>
          <w:sz w:val="20"/>
          <w:szCs w:val="20"/>
        </w:rPr>
      </w:pPr>
      <w:hyperlink r:id="rId14" w:history="1">
        <w:r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https://example.com/on/demandware.store/Sites-RefArch-Site/default/EShopWorld-ProccessWebHook</w:t>
        </w:r>
      </w:hyperlink>
      <w:r w:rsidR="00860088">
        <w:rPr>
          <w:rStyle w:val="Hyperlink"/>
          <w:rFonts w:ascii="Helvetica" w:hAnsi="Helvetica"/>
          <w:sz w:val="18"/>
          <w:szCs w:val="18"/>
          <w:shd w:val="clear" w:color="auto" w:fill="FFFFFF"/>
        </w:rPr>
        <w:t>s</w:t>
      </w:r>
    </w:p>
    <w:p w14:paraId="7EFB5CE8" w14:textId="03D016AB" w:rsidR="00AD0D7D" w:rsidRDefault="001E11FF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Retailers can update example.com with their storefront domain.</w:t>
      </w:r>
    </w:p>
    <w:p w14:paraId="3BEA2759" w14:textId="5E21F468" w:rsidR="00373DB5" w:rsidRPr="00F71F01" w:rsidRDefault="00634946" w:rsidP="00373DB5">
      <w:pPr>
        <w:pStyle w:val="111U"/>
        <w:jc w:val="both"/>
        <w:rPr>
          <w:rFonts w:ascii="Arial" w:hAnsi="Arial" w:cs="Arial"/>
          <w:sz w:val="28"/>
        </w:rPr>
      </w:pPr>
      <w:bookmarkStart w:id="6" w:name="_Toc74308874"/>
      <w:bookmarkStart w:id="7" w:name="_Toc212450855"/>
      <w:r>
        <w:rPr>
          <w:rFonts w:ascii="Arial" w:hAnsi="Arial" w:cs="Arial"/>
          <w:sz w:val="28"/>
        </w:rPr>
        <w:t xml:space="preserve">Workflow to </w:t>
      </w:r>
      <w:r w:rsidR="00492956">
        <w:rPr>
          <w:rFonts w:ascii="Arial" w:hAnsi="Arial" w:cs="Arial"/>
          <w:sz w:val="28"/>
        </w:rPr>
        <w:t>Appeasement</w:t>
      </w:r>
      <w:r w:rsidR="00471F6F">
        <w:rPr>
          <w:rFonts w:ascii="Arial" w:hAnsi="Arial" w:cs="Arial"/>
          <w:sz w:val="28"/>
        </w:rPr>
        <w:t xml:space="preserve"> Order</w:t>
      </w:r>
      <w:r w:rsidR="00373DB5">
        <w:rPr>
          <w:rFonts w:ascii="Arial" w:hAnsi="Arial" w:cs="Arial"/>
          <w:sz w:val="28"/>
        </w:rPr>
        <w:t xml:space="preserve"> in </w:t>
      </w:r>
      <w:r w:rsidR="00471F6F">
        <w:rPr>
          <w:rFonts w:ascii="Arial" w:hAnsi="Arial" w:cs="Arial"/>
          <w:sz w:val="28"/>
        </w:rPr>
        <w:t>SFCC</w:t>
      </w:r>
      <w:bookmarkEnd w:id="6"/>
      <w:bookmarkEnd w:id="7"/>
    </w:p>
    <w:p w14:paraId="0BD0D06A" w14:textId="32A9E809" w:rsidR="00AD0D7D" w:rsidRDefault="00634946" w:rsidP="00373DB5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ESW-SFCC Cartridge </w:t>
      </w:r>
      <w:r w:rsidR="00C66B05">
        <w:rPr>
          <w:sz w:val="20"/>
          <w:szCs w:val="20"/>
        </w:rPr>
        <w:t>would perform</w:t>
      </w:r>
      <w:r>
        <w:rPr>
          <w:sz w:val="20"/>
          <w:szCs w:val="20"/>
        </w:rPr>
        <w:t xml:space="preserve"> the following to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order in SFCC If </w:t>
      </w:r>
      <w:r w:rsidR="00C66B05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order </w:t>
      </w:r>
      <w:r w:rsidR="00492956">
        <w:rPr>
          <w:sz w:val="20"/>
          <w:szCs w:val="20"/>
        </w:rPr>
        <w:t>appeased</w:t>
      </w:r>
      <w:r>
        <w:rPr>
          <w:sz w:val="20"/>
          <w:szCs w:val="20"/>
        </w:rPr>
        <w:t xml:space="preserve"> from ESW CSP first to sync order status in </w:t>
      </w:r>
      <w:r w:rsidR="00492956">
        <w:rPr>
          <w:sz w:val="20"/>
          <w:szCs w:val="20"/>
        </w:rPr>
        <w:t>SFCC</w:t>
      </w:r>
      <w:r>
        <w:rPr>
          <w:sz w:val="20"/>
          <w:szCs w:val="20"/>
        </w:rPr>
        <w:t>.</w:t>
      </w:r>
    </w:p>
    <w:p w14:paraId="0DC2C4D0" w14:textId="458D73DA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successful order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in ESW CSP, webhook will trigger the retailers provided subscribed SFCC endpoint (EShopWorld-</w:t>
      </w:r>
      <w:r w:rsidR="00492956" w:rsidRPr="00492956">
        <w:rPr>
          <w:sz w:val="20"/>
          <w:szCs w:val="20"/>
        </w:rPr>
        <w:t xml:space="preserve"> </w:t>
      </w:r>
      <w:r w:rsidR="00492956">
        <w:rPr>
          <w:sz w:val="20"/>
          <w:szCs w:val="20"/>
        </w:rPr>
        <w:t>ProcessWebHook</w:t>
      </w:r>
      <w:r w:rsidR="00C57F41">
        <w:rPr>
          <w:sz w:val="20"/>
          <w:szCs w:val="20"/>
        </w:rPr>
        <w:t>s</w:t>
      </w:r>
      <w:r>
        <w:rPr>
          <w:sz w:val="20"/>
          <w:szCs w:val="20"/>
        </w:rPr>
        <w:t xml:space="preserve">) with </w:t>
      </w:r>
      <w:r w:rsidR="00492956">
        <w:rPr>
          <w:sz w:val="20"/>
          <w:szCs w:val="20"/>
        </w:rPr>
        <w:t>appeasement</w:t>
      </w:r>
      <w:r>
        <w:rPr>
          <w:sz w:val="20"/>
          <w:szCs w:val="20"/>
        </w:rPr>
        <w:t xml:space="preserve"> order detail </w:t>
      </w:r>
      <w:r w:rsidR="00AF2E6E">
        <w:rPr>
          <w:sz w:val="20"/>
          <w:szCs w:val="20"/>
        </w:rPr>
        <w:t xml:space="preserve">in </w:t>
      </w:r>
      <w:r w:rsidR="00C66B05">
        <w:rPr>
          <w:sz w:val="20"/>
          <w:szCs w:val="20"/>
        </w:rPr>
        <w:t xml:space="preserve">the </w:t>
      </w:r>
      <w:r w:rsidR="00AF2E6E">
        <w:rPr>
          <w:sz w:val="20"/>
          <w:szCs w:val="20"/>
        </w:rPr>
        <w:t>request body</w:t>
      </w:r>
      <w:r>
        <w:rPr>
          <w:sz w:val="20"/>
          <w:szCs w:val="20"/>
        </w:rPr>
        <w:t>.</w:t>
      </w:r>
    </w:p>
    <w:p w14:paraId="3CBE9278" w14:textId="3C12CE58" w:rsidR="00634946" w:rsidRPr="0049295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</w:t>
      </w:r>
      <w:r w:rsidR="00AF2E6E">
        <w:rPr>
          <w:sz w:val="20"/>
          <w:szCs w:val="20"/>
        </w:rPr>
        <w:t xml:space="preserve">endpoint will park </w:t>
      </w:r>
      <w:r w:rsidR="00492956">
        <w:rPr>
          <w:sz w:val="20"/>
          <w:szCs w:val="20"/>
        </w:rPr>
        <w:t>appeased</w:t>
      </w:r>
      <w:r w:rsidR="00AF2E6E">
        <w:rPr>
          <w:sz w:val="20"/>
          <w:szCs w:val="20"/>
        </w:rPr>
        <w:t xml:space="preserve"> order data in SFCC custom objects</w:t>
      </w:r>
      <w:r w:rsidR="005B73AF">
        <w:rPr>
          <w:sz w:val="20"/>
          <w:szCs w:val="20"/>
        </w:rPr>
        <w:t xml:space="preserve"> </w:t>
      </w:r>
      <w:r w:rsidR="00492956">
        <w:rPr>
          <w:sz w:val="20"/>
          <w:szCs w:val="20"/>
        </w:rPr>
        <w:t xml:space="preserve">attributes. Set   Order as appeased by marking attribute </w:t>
      </w:r>
      <w:r w:rsidR="004C0AF1">
        <w:rPr>
          <w:b/>
          <w:bCs/>
          <w:sz w:val="20"/>
          <w:szCs w:val="20"/>
        </w:rPr>
        <w:t>I</w:t>
      </w:r>
      <w:r w:rsidR="00492956" w:rsidRPr="0098673D">
        <w:rPr>
          <w:b/>
          <w:bCs/>
          <w:sz w:val="20"/>
          <w:szCs w:val="20"/>
        </w:rPr>
        <w:t>s</w:t>
      </w:r>
      <w:r w:rsidR="004C0AF1">
        <w:rPr>
          <w:b/>
          <w:bCs/>
          <w:sz w:val="20"/>
          <w:szCs w:val="20"/>
        </w:rPr>
        <w:t xml:space="preserve"> ESW </w:t>
      </w:r>
      <w:r w:rsidR="00492956" w:rsidRPr="0098673D">
        <w:rPr>
          <w:b/>
          <w:bCs/>
          <w:sz w:val="20"/>
          <w:szCs w:val="20"/>
        </w:rPr>
        <w:t>Appeased</w:t>
      </w:r>
      <w:r w:rsidR="004C0AF1">
        <w:rPr>
          <w:b/>
          <w:bCs/>
          <w:sz w:val="20"/>
          <w:szCs w:val="20"/>
        </w:rPr>
        <w:t xml:space="preserve"> </w:t>
      </w:r>
      <w:r w:rsidR="00492956" w:rsidRPr="0098673D">
        <w:rPr>
          <w:b/>
          <w:bCs/>
          <w:sz w:val="20"/>
          <w:szCs w:val="20"/>
        </w:rPr>
        <w:t>Order</w:t>
      </w:r>
      <w:r w:rsidR="00492956" w:rsidRPr="00492956">
        <w:rPr>
          <w:b/>
          <w:bCs/>
          <w:sz w:val="20"/>
          <w:szCs w:val="20"/>
        </w:rPr>
        <w:t xml:space="preserve"> </w:t>
      </w:r>
      <w:r w:rsidR="00492956" w:rsidRPr="004C0AF1">
        <w:rPr>
          <w:sz w:val="20"/>
          <w:szCs w:val="20"/>
        </w:rPr>
        <w:t>as</w:t>
      </w:r>
      <w:r w:rsidR="00492956" w:rsidRPr="00492956">
        <w:rPr>
          <w:sz w:val="20"/>
          <w:szCs w:val="20"/>
        </w:rPr>
        <w:t xml:space="preserve"> true</w:t>
      </w:r>
      <w:r w:rsidR="00492956">
        <w:rPr>
          <w:b/>
          <w:bCs/>
          <w:sz w:val="20"/>
          <w:szCs w:val="20"/>
        </w:rPr>
        <w:t>.</w:t>
      </w:r>
    </w:p>
    <w:p w14:paraId="4659DCA1" w14:textId="27E1DCEB" w:rsidR="00492956" w:rsidRDefault="0049295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Park </w:t>
      </w:r>
      <w:r w:rsidR="003F765D">
        <w:rPr>
          <w:sz w:val="20"/>
          <w:szCs w:val="20"/>
        </w:rPr>
        <w:t>requests</w:t>
      </w:r>
      <w:r>
        <w:rPr>
          <w:sz w:val="20"/>
          <w:szCs w:val="20"/>
        </w:rPr>
        <w:t xml:space="preserve"> payload in Jason format </w:t>
      </w:r>
      <w:r w:rsidR="00C66B05">
        <w:rPr>
          <w:sz w:val="20"/>
          <w:szCs w:val="20"/>
        </w:rPr>
        <w:t xml:space="preserve">to </w:t>
      </w:r>
      <w:r>
        <w:rPr>
          <w:sz w:val="20"/>
          <w:szCs w:val="20"/>
        </w:rPr>
        <w:t xml:space="preserve">custom attribute </w:t>
      </w:r>
      <w:r w:rsidRPr="00492956">
        <w:rPr>
          <w:b/>
          <w:bCs/>
          <w:sz w:val="20"/>
          <w:szCs w:val="20"/>
        </w:rPr>
        <w:t>appeasementJsonPayload</w:t>
      </w:r>
      <w:r>
        <w:rPr>
          <w:b/>
          <w:bCs/>
          <w:sz w:val="20"/>
          <w:szCs w:val="20"/>
        </w:rPr>
        <w:t>.</w:t>
      </w:r>
    </w:p>
    <w:p w14:paraId="09DC8E63" w14:textId="6F423E48" w:rsidR="005B73AF" w:rsidRDefault="00ED42A3" w:rsidP="005B73AF">
      <w:pPr>
        <w:pStyle w:val="p"/>
        <w:ind w:left="720"/>
        <w:jc w:val="both"/>
        <w:rPr>
          <w:sz w:val="20"/>
          <w:szCs w:val="20"/>
        </w:rPr>
      </w:pPr>
      <w:r w:rsidRPr="00ED42A3">
        <w:rPr>
          <w:noProof/>
          <w:sz w:val="20"/>
          <w:szCs w:val="20"/>
        </w:rPr>
        <w:drawing>
          <wp:inline distT="0" distB="0" distL="0" distR="0" wp14:anchorId="5B5C481D" wp14:editId="5EB6B36B">
            <wp:extent cx="5943600" cy="779145"/>
            <wp:effectExtent l="0" t="0" r="0" b="1905"/>
            <wp:docPr id="70668316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3164" name="Picture 1" descr="A close-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4DC" w14:textId="77777777" w:rsidR="00074B0B" w:rsidRDefault="00074B0B" w:rsidP="00495084">
      <w:pPr>
        <w:pStyle w:val="p"/>
        <w:jc w:val="both"/>
        <w:rPr>
          <w:sz w:val="20"/>
          <w:szCs w:val="20"/>
        </w:rPr>
      </w:pPr>
    </w:p>
    <w:p w14:paraId="48D0C771" w14:textId="20833BF2" w:rsidR="000D64D0" w:rsidRPr="00F71F01" w:rsidRDefault="001104BC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8" w:name="_Toc72738348"/>
      <w:bookmarkStart w:id="9" w:name="_Toc212450856"/>
      <w:r>
        <w:rPr>
          <w:rFonts w:ascii="Arial" w:hAnsi="Arial" w:cs="Arial"/>
          <w:b/>
          <w:bCs/>
          <w:sz w:val="28"/>
          <w:szCs w:val="28"/>
        </w:rPr>
        <w:t xml:space="preserve">Order </w:t>
      </w:r>
      <w:r w:rsidR="00B669EC">
        <w:rPr>
          <w:rFonts w:ascii="Arial" w:hAnsi="Arial" w:cs="Arial"/>
          <w:b/>
          <w:bCs/>
          <w:sz w:val="28"/>
          <w:szCs w:val="28"/>
        </w:rPr>
        <w:t>Appeasement</w:t>
      </w:r>
      <w:r w:rsidR="000D64D0" w:rsidRPr="00F71F01">
        <w:rPr>
          <w:rFonts w:ascii="Arial" w:hAnsi="Arial" w:cs="Arial"/>
          <w:b/>
          <w:bCs/>
          <w:sz w:val="28"/>
          <w:szCs w:val="28"/>
        </w:rPr>
        <w:t xml:space="preserve"> Integration Configuration</w:t>
      </w:r>
      <w:bookmarkEnd w:id="8"/>
      <w:bookmarkEnd w:id="9"/>
    </w:p>
    <w:p w14:paraId="15AF0817" w14:textId="2A52B013" w:rsidR="000D64D0" w:rsidRPr="00F71F01" w:rsidRDefault="004A7C07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10" w:name="_Toc212450857"/>
      <w:bookmarkStart w:id="11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10"/>
    </w:p>
    <w:bookmarkEnd w:id="11"/>
    <w:p w14:paraId="76D60536" w14:textId="7030841A" w:rsidR="000D64D0" w:rsidRPr="00F71F01" w:rsidRDefault="00345A31" w:rsidP="001E22BC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</w:t>
      </w:r>
      <w:r w:rsidR="001104BC">
        <w:rPr>
          <w:sz w:val="20"/>
          <w:szCs w:val="20"/>
        </w:rPr>
        <w:t xml:space="preserve">mport </w:t>
      </w:r>
      <w:r w:rsidR="00C66B05">
        <w:rPr>
          <w:sz w:val="20"/>
          <w:szCs w:val="20"/>
        </w:rPr>
        <w:t>order-level</w:t>
      </w:r>
      <w:r w:rsidR="001104BC">
        <w:rPr>
          <w:sz w:val="20"/>
          <w:szCs w:val="20"/>
        </w:rPr>
        <w:t xml:space="preserve"> custom attributes</w:t>
      </w:r>
      <w:r>
        <w:rPr>
          <w:sz w:val="20"/>
          <w:szCs w:val="20"/>
        </w:rPr>
        <w:t xml:space="preserve">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="000D64D0" w:rsidRPr="00F71F01">
        <w:rPr>
          <w:rStyle w:val="Strong"/>
          <w:sz w:val="20"/>
          <w:szCs w:val="20"/>
        </w:rPr>
        <w:t>.</w:t>
      </w:r>
    </w:p>
    <w:p w14:paraId="67EEE963" w14:textId="54780337" w:rsidR="000D64D0" w:rsidRPr="00F71F01" w:rsidRDefault="000D64D0" w:rsidP="001E22BC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 w:rsidR="001104BC">
        <w:rPr>
          <w:rFonts w:ascii="Arial" w:hAnsi="Arial" w:cs="Arial"/>
          <w:b/>
          <w:bCs/>
        </w:rPr>
        <w:t xml:space="preserve">Order </w:t>
      </w:r>
      <w:r w:rsidR="00650144">
        <w:rPr>
          <w:rFonts w:ascii="Arial" w:hAnsi="Arial" w:cs="Arial"/>
          <w:b/>
          <w:bCs/>
        </w:rPr>
        <w:t>Appeasement</w:t>
      </w:r>
      <w:r w:rsidR="001104BC">
        <w:rPr>
          <w:rFonts w:ascii="Arial" w:hAnsi="Arial" w:cs="Arial"/>
          <w:b/>
          <w:bCs/>
        </w:rPr>
        <w:t xml:space="preserve"> </w:t>
      </w:r>
      <w:r w:rsidR="001104BC" w:rsidRPr="001104BC">
        <w:rPr>
          <w:rFonts w:ascii="Arial" w:hAnsi="Arial" w:cs="Arial"/>
        </w:rPr>
        <w:t>custom attribute</w:t>
      </w:r>
      <w:r w:rsidR="001104BC">
        <w:rPr>
          <w:rFonts w:ascii="Arial" w:hAnsi="Arial" w:cs="Arial"/>
          <w:b/>
          <w:bCs/>
        </w:rPr>
        <w:t xml:space="preserve"> </w:t>
      </w:r>
      <w:r w:rsidR="001104BC"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 w:rsidR="00387FAD"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387FAD"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2C7E3053" w14:textId="1657C5F5" w:rsidR="000D64D0" w:rsidRPr="001104BC" w:rsidRDefault="00650144" w:rsidP="001E22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Appeased Order Payload Response</w:t>
      </w:r>
      <w:r w:rsidR="000D64D0" w:rsidRPr="00F71F01">
        <w:rPr>
          <w:sz w:val="20"/>
          <w:szCs w:val="20"/>
        </w:rPr>
        <w:t xml:space="preserve">: This </w:t>
      </w:r>
      <w:r w:rsidR="001104BC">
        <w:rPr>
          <w:sz w:val="20"/>
          <w:szCs w:val="20"/>
        </w:rPr>
        <w:t xml:space="preserve">custom attribute will be filled with </w:t>
      </w:r>
      <w:r>
        <w:rPr>
          <w:sz w:val="20"/>
          <w:szCs w:val="20"/>
        </w:rPr>
        <w:t xml:space="preserve">request </w:t>
      </w:r>
      <w:r w:rsidR="00C66B05">
        <w:rPr>
          <w:sz w:val="20"/>
          <w:szCs w:val="20"/>
        </w:rPr>
        <w:t>JSON</w:t>
      </w:r>
      <w:r>
        <w:rPr>
          <w:sz w:val="20"/>
          <w:szCs w:val="20"/>
        </w:rPr>
        <w:t xml:space="preserve"> format </w:t>
      </w:r>
      <w:r w:rsidR="001104BC">
        <w:rPr>
          <w:sz w:val="20"/>
          <w:szCs w:val="20"/>
        </w:rPr>
        <w:t xml:space="preserve">if </w:t>
      </w:r>
      <w:r w:rsidR="00C66B05">
        <w:rPr>
          <w:sz w:val="20"/>
          <w:szCs w:val="20"/>
        </w:rPr>
        <w:t xml:space="preserve">the </w:t>
      </w:r>
      <w:r w:rsidR="001104BC">
        <w:rPr>
          <w:sz w:val="20"/>
          <w:szCs w:val="20"/>
        </w:rPr>
        <w:t xml:space="preserve">order </w:t>
      </w:r>
      <w:r w:rsidR="00C66B05">
        <w:rPr>
          <w:sz w:val="20"/>
          <w:szCs w:val="20"/>
        </w:rPr>
        <w:t xml:space="preserve">is </w:t>
      </w:r>
      <w:r w:rsidR="001104BC">
        <w:rPr>
          <w:sz w:val="20"/>
          <w:szCs w:val="20"/>
        </w:rPr>
        <w:t xml:space="preserve">successfully </w:t>
      </w:r>
      <w:r>
        <w:rPr>
          <w:sz w:val="20"/>
          <w:szCs w:val="20"/>
        </w:rPr>
        <w:t>appeased</w:t>
      </w:r>
      <w:r w:rsidR="001104BC">
        <w:rPr>
          <w:sz w:val="20"/>
          <w:szCs w:val="20"/>
        </w:rPr>
        <w:t xml:space="preserve"> in ESW</w:t>
      </w:r>
      <w:r w:rsidR="00C66B05">
        <w:rPr>
          <w:sz w:val="20"/>
          <w:szCs w:val="20"/>
        </w:rPr>
        <w:t>,</w:t>
      </w:r>
      <w:r w:rsidR="001104BC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>which</w:t>
      </w:r>
      <w:r w:rsidR="001104BC">
        <w:rPr>
          <w:sz w:val="20"/>
          <w:szCs w:val="20"/>
        </w:rPr>
        <w:t xml:space="preserve"> will be in </w:t>
      </w:r>
      <w:r w:rsidR="00C66B05">
        <w:rPr>
          <w:sz w:val="20"/>
          <w:szCs w:val="20"/>
        </w:rPr>
        <w:t xml:space="preserve">the </w:t>
      </w:r>
      <w:r w:rsidR="001104BC">
        <w:rPr>
          <w:sz w:val="20"/>
          <w:szCs w:val="20"/>
        </w:rPr>
        <w:t>ESW Order API response</w:t>
      </w:r>
      <w:r w:rsidR="000D64D0" w:rsidRPr="00F71F01">
        <w:rPr>
          <w:sz w:val="20"/>
          <w:szCs w:val="20"/>
        </w:rPr>
        <w:t>.</w:t>
      </w:r>
    </w:p>
    <w:p w14:paraId="40BC2D75" w14:textId="7783AAAD" w:rsidR="00C10D48" w:rsidRPr="00A46C91" w:rsidRDefault="00ED42A3" w:rsidP="00A46C91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>
        <w:rPr>
          <w:rStyle w:val="Strong"/>
          <w:sz w:val="20"/>
          <w:szCs w:val="20"/>
        </w:rPr>
        <w:t>I</w:t>
      </w:r>
      <w:r w:rsidR="00650144">
        <w:rPr>
          <w:rStyle w:val="Strong"/>
          <w:sz w:val="20"/>
          <w:szCs w:val="20"/>
        </w:rPr>
        <w:t>s</w:t>
      </w:r>
      <w:r>
        <w:rPr>
          <w:rStyle w:val="Strong"/>
          <w:sz w:val="20"/>
          <w:szCs w:val="20"/>
        </w:rPr>
        <w:t xml:space="preserve"> ESW </w:t>
      </w:r>
      <w:r w:rsidR="00650144">
        <w:rPr>
          <w:rStyle w:val="Strong"/>
          <w:sz w:val="20"/>
          <w:szCs w:val="20"/>
        </w:rPr>
        <w:t>Appeased</w:t>
      </w:r>
      <w:r>
        <w:rPr>
          <w:rStyle w:val="Strong"/>
          <w:sz w:val="20"/>
          <w:szCs w:val="20"/>
        </w:rPr>
        <w:t xml:space="preserve"> </w:t>
      </w:r>
      <w:r w:rsidR="00650144">
        <w:rPr>
          <w:rStyle w:val="Strong"/>
          <w:sz w:val="20"/>
          <w:szCs w:val="20"/>
        </w:rPr>
        <w:t>Order</w:t>
      </w:r>
      <w:r>
        <w:rPr>
          <w:rStyle w:val="Strong"/>
          <w:sz w:val="20"/>
          <w:szCs w:val="20"/>
        </w:rPr>
        <w:t>?</w:t>
      </w:r>
      <w:r w:rsidR="001104BC" w:rsidRPr="00F71F01">
        <w:rPr>
          <w:sz w:val="20"/>
          <w:szCs w:val="20"/>
        </w:rPr>
        <w:t>: This</w:t>
      </w:r>
      <w:r w:rsidR="001104BC">
        <w:rPr>
          <w:sz w:val="20"/>
          <w:szCs w:val="20"/>
        </w:rPr>
        <w:t xml:space="preserve"> will hold </w:t>
      </w:r>
      <w:r w:rsidR="00C66B05">
        <w:rPr>
          <w:sz w:val="20"/>
          <w:szCs w:val="20"/>
        </w:rPr>
        <w:t xml:space="preserve">the </w:t>
      </w:r>
      <w:r w:rsidR="00650144">
        <w:rPr>
          <w:sz w:val="20"/>
          <w:szCs w:val="20"/>
        </w:rPr>
        <w:t xml:space="preserve">Boolean status of appeasement on successfully </w:t>
      </w:r>
      <w:r w:rsidR="00C66B05">
        <w:rPr>
          <w:sz w:val="20"/>
          <w:szCs w:val="20"/>
        </w:rPr>
        <w:t>updating</w:t>
      </w:r>
      <w:r w:rsidR="00650144">
        <w:rPr>
          <w:sz w:val="20"/>
          <w:szCs w:val="20"/>
        </w:rPr>
        <w:t xml:space="preserve"> </w:t>
      </w:r>
      <w:r w:rsidR="00C66B05">
        <w:rPr>
          <w:sz w:val="20"/>
          <w:szCs w:val="20"/>
        </w:rPr>
        <w:t xml:space="preserve">the </w:t>
      </w:r>
      <w:r w:rsidR="00650144">
        <w:rPr>
          <w:sz w:val="20"/>
          <w:szCs w:val="20"/>
        </w:rPr>
        <w:t>ESW Order API response</w:t>
      </w:r>
      <w:r w:rsidR="00650144" w:rsidRPr="00F71F01">
        <w:rPr>
          <w:sz w:val="20"/>
          <w:szCs w:val="20"/>
        </w:rPr>
        <w:t>.</w:t>
      </w:r>
    </w:p>
    <w:sectPr w:rsidR="00C10D48" w:rsidRPr="00A46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6058"/>
    <w:multiLevelType w:val="multilevel"/>
    <w:tmpl w:val="92925B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55A2E"/>
    <w:multiLevelType w:val="hybridMultilevel"/>
    <w:tmpl w:val="AB205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7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3533859">
    <w:abstractNumId w:val="0"/>
  </w:num>
  <w:num w:numId="3" w16cid:durableId="1032460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69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7085635">
    <w:abstractNumId w:val="3"/>
  </w:num>
  <w:num w:numId="6" w16cid:durableId="1641226756">
    <w:abstractNumId w:val="1"/>
  </w:num>
  <w:num w:numId="7" w16cid:durableId="887882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0562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7355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8077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D"/>
    <w:rsid w:val="00017FFE"/>
    <w:rsid w:val="000471F1"/>
    <w:rsid w:val="000551BF"/>
    <w:rsid w:val="00056522"/>
    <w:rsid w:val="00074B0B"/>
    <w:rsid w:val="000A6595"/>
    <w:rsid w:val="000B4FA2"/>
    <w:rsid w:val="000B5D52"/>
    <w:rsid w:val="000C55A0"/>
    <w:rsid w:val="000C5B7D"/>
    <w:rsid w:val="000D64D0"/>
    <w:rsid w:val="001104BC"/>
    <w:rsid w:val="00127509"/>
    <w:rsid w:val="00127C80"/>
    <w:rsid w:val="001405F4"/>
    <w:rsid w:val="00176B3C"/>
    <w:rsid w:val="001900D1"/>
    <w:rsid w:val="001A6227"/>
    <w:rsid w:val="001B36A6"/>
    <w:rsid w:val="001B5309"/>
    <w:rsid w:val="001C1553"/>
    <w:rsid w:val="001D2B0E"/>
    <w:rsid w:val="001E0387"/>
    <w:rsid w:val="001E11FF"/>
    <w:rsid w:val="001E22BC"/>
    <w:rsid w:val="001F7F59"/>
    <w:rsid w:val="002558D1"/>
    <w:rsid w:val="002704EC"/>
    <w:rsid w:val="0027076A"/>
    <w:rsid w:val="00274D47"/>
    <w:rsid w:val="002806AC"/>
    <w:rsid w:val="00283F91"/>
    <w:rsid w:val="0029554A"/>
    <w:rsid w:val="002B2104"/>
    <w:rsid w:val="002C5ABA"/>
    <w:rsid w:val="002E1CB4"/>
    <w:rsid w:val="002F6E66"/>
    <w:rsid w:val="00302188"/>
    <w:rsid w:val="003216C7"/>
    <w:rsid w:val="00335594"/>
    <w:rsid w:val="00345A31"/>
    <w:rsid w:val="00372EDA"/>
    <w:rsid w:val="00373DB5"/>
    <w:rsid w:val="00377634"/>
    <w:rsid w:val="00377C13"/>
    <w:rsid w:val="00387FAD"/>
    <w:rsid w:val="003B3044"/>
    <w:rsid w:val="003F765D"/>
    <w:rsid w:val="00443D89"/>
    <w:rsid w:val="00471F6F"/>
    <w:rsid w:val="004772C3"/>
    <w:rsid w:val="0049291A"/>
    <w:rsid w:val="00492956"/>
    <w:rsid w:val="00495084"/>
    <w:rsid w:val="004A7C07"/>
    <w:rsid w:val="004C0AF1"/>
    <w:rsid w:val="004D24FB"/>
    <w:rsid w:val="004D3520"/>
    <w:rsid w:val="004D7138"/>
    <w:rsid w:val="00511E4D"/>
    <w:rsid w:val="00523086"/>
    <w:rsid w:val="00523D06"/>
    <w:rsid w:val="00542BCA"/>
    <w:rsid w:val="0055287E"/>
    <w:rsid w:val="005B73AF"/>
    <w:rsid w:val="005E3ADE"/>
    <w:rsid w:val="00633692"/>
    <w:rsid w:val="00634946"/>
    <w:rsid w:val="00650144"/>
    <w:rsid w:val="006515A5"/>
    <w:rsid w:val="00685BAF"/>
    <w:rsid w:val="006A4509"/>
    <w:rsid w:val="006B295D"/>
    <w:rsid w:val="006D327B"/>
    <w:rsid w:val="006D60E4"/>
    <w:rsid w:val="0070326B"/>
    <w:rsid w:val="00737C4A"/>
    <w:rsid w:val="00741CA6"/>
    <w:rsid w:val="00751713"/>
    <w:rsid w:val="00765B46"/>
    <w:rsid w:val="007714F9"/>
    <w:rsid w:val="00782848"/>
    <w:rsid w:val="00794CB6"/>
    <w:rsid w:val="0079732D"/>
    <w:rsid w:val="007B480A"/>
    <w:rsid w:val="007D21A1"/>
    <w:rsid w:val="007D52FA"/>
    <w:rsid w:val="00814A74"/>
    <w:rsid w:val="008207C9"/>
    <w:rsid w:val="00821DA7"/>
    <w:rsid w:val="00836A6B"/>
    <w:rsid w:val="00842BB7"/>
    <w:rsid w:val="008529F6"/>
    <w:rsid w:val="00860088"/>
    <w:rsid w:val="008A65D6"/>
    <w:rsid w:val="008C5598"/>
    <w:rsid w:val="009035BC"/>
    <w:rsid w:val="00940D11"/>
    <w:rsid w:val="00944AF3"/>
    <w:rsid w:val="0097261E"/>
    <w:rsid w:val="0098673D"/>
    <w:rsid w:val="009868C9"/>
    <w:rsid w:val="009A15FA"/>
    <w:rsid w:val="009B1165"/>
    <w:rsid w:val="009E1F70"/>
    <w:rsid w:val="00A031A2"/>
    <w:rsid w:val="00A14FFB"/>
    <w:rsid w:val="00A21B29"/>
    <w:rsid w:val="00A2748B"/>
    <w:rsid w:val="00A44EF8"/>
    <w:rsid w:val="00A46C91"/>
    <w:rsid w:val="00A71695"/>
    <w:rsid w:val="00A71FB0"/>
    <w:rsid w:val="00A9737E"/>
    <w:rsid w:val="00AB7FAF"/>
    <w:rsid w:val="00AC6164"/>
    <w:rsid w:val="00AD0D7D"/>
    <w:rsid w:val="00AF2E6E"/>
    <w:rsid w:val="00AF798F"/>
    <w:rsid w:val="00B127A0"/>
    <w:rsid w:val="00B26994"/>
    <w:rsid w:val="00B3251F"/>
    <w:rsid w:val="00B4470A"/>
    <w:rsid w:val="00B55FFE"/>
    <w:rsid w:val="00B669EC"/>
    <w:rsid w:val="00B67ADF"/>
    <w:rsid w:val="00B73383"/>
    <w:rsid w:val="00B745FA"/>
    <w:rsid w:val="00B77889"/>
    <w:rsid w:val="00B80905"/>
    <w:rsid w:val="00B87970"/>
    <w:rsid w:val="00BC35C7"/>
    <w:rsid w:val="00BC3F8B"/>
    <w:rsid w:val="00BD7F9C"/>
    <w:rsid w:val="00BF0968"/>
    <w:rsid w:val="00C10D48"/>
    <w:rsid w:val="00C151C2"/>
    <w:rsid w:val="00C25C04"/>
    <w:rsid w:val="00C47582"/>
    <w:rsid w:val="00C56CAD"/>
    <w:rsid w:val="00C57F41"/>
    <w:rsid w:val="00C66B05"/>
    <w:rsid w:val="00CB201C"/>
    <w:rsid w:val="00D60329"/>
    <w:rsid w:val="00D87345"/>
    <w:rsid w:val="00D87AE7"/>
    <w:rsid w:val="00DA45AB"/>
    <w:rsid w:val="00E00BAC"/>
    <w:rsid w:val="00E07207"/>
    <w:rsid w:val="00E4308F"/>
    <w:rsid w:val="00E504A7"/>
    <w:rsid w:val="00E6272C"/>
    <w:rsid w:val="00ED42A3"/>
    <w:rsid w:val="00EE0148"/>
    <w:rsid w:val="00EF4B9E"/>
    <w:rsid w:val="00F115AE"/>
    <w:rsid w:val="00F157F4"/>
    <w:rsid w:val="00F3005D"/>
    <w:rsid w:val="00F56F1B"/>
    <w:rsid w:val="00F71F01"/>
    <w:rsid w:val="00F72DBE"/>
    <w:rsid w:val="00FA0226"/>
    <w:rsid w:val="00FC2D3D"/>
    <w:rsid w:val="00FF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D178"/>
  <w15:chartTrackingRefBased/>
  <w15:docId w15:val="{DBD18829-5740-417B-AD0B-6FD0BA0B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05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821DA7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821DA7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821DA7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821DA7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821DA7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821DA7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821DA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821DA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821DA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B80905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B80905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B80905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B80905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B80905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B80905"/>
    <w:rPr>
      <w:b/>
      <w:bCs/>
      <w:color w:val="323232"/>
      <w:sz w:val="24"/>
      <w:szCs w:val="24"/>
    </w:rPr>
  </w:style>
  <w:style w:type="character" w:customStyle="1" w:styleId="b1">
    <w:name w:val="b_1"/>
    <w:rsid w:val="00B80905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B80905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21DA7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21DA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21D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821DA7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21DA7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uiPriority w:val="99"/>
    <w:rsid w:val="00821DA7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21DA7"/>
    <w:rPr>
      <w:b/>
      <w:bCs/>
    </w:rPr>
  </w:style>
  <w:style w:type="character" w:styleId="Emphasis">
    <w:name w:val="Emphasis"/>
    <w:basedOn w:val="DefaultParagraphFont"/>
    <w:uiPriority w:val="20"/>
    <w:qFormat/>
    <w:rsid w:val="00821DA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A71FB0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71F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1FB0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F6E6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customStyle="1" w:styleId="1111U">
    <w:name w:val="1.1.1.1 U"/>
    <w:basedOn w:val="h4"/>
    <w:link w:val="1111UChar"/>
    <w:qFormat/>
    <w:rsid w:val="00A14FFB"/>
  </w:style>
  <w:style w:type="paragraph" w:customStyle="1" w:styleId="111U">
    <w:name w:val="1.1.1 U"/>
    <w:basedOn w:val="h3"/>
    <w:link w:val="111UChar"/>
    <w:qFormat/>
    <w:rsid w:val="00A14FFB"/>
  </w:style>
  <w:style w:type="character" w:customStyle="1" w:styleId="h4Char">
    <w:name w:val="h4 Char"/>
    <w:basedOn w:val="Heading4Char"/>
    <w:link w:val="h4"/>
    <w:uiPriority w:val="99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paragraph" w:customStyle="1" w:styleId="11U">
    <w:name w:val="1.1 U"/>
    <w:basedOn w:val="h2"/>
    <w:link w:val="11UChar"/>
    <w:qFormat/>
    <w:rsid w:val="00A14FFB"/>
  </w:style>
  <w:style w:type="character" w:customStyle="1" w:styleId="h3Char">
    <w:name w:val="h3 Char"/>
    <w:basedOn w:val="Heading3Char"/>
    <w:link w:val="h3"/>
    <w:uiPriority w:val="99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h2Char">
    <w:name w:val="h2 Char"/>
    <w:basedOn w:val="Heading2Char"/>
    <w:link w:val="h2"/>
    <w:uiPriority w:val="99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DA45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0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74D47"/>
    <w:pPr>
      <w:spacing w:after="0" w:line="240" w:lineRule="auto"/>
    </w:pPr>
    <w:rPr>
      <w:rFonts w:ascii="Arial" w:hAnsi="Arial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example.com/on/demandware.store/Sites-RefArch-Site/default/EShopWorld-Cancel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B8F4F-5336-4645-A9C6-6D6D5415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2762</Characters>
  <Application>Microsoft Office Word</Application>
  <DocSecurity>0</DocSecurity>
  <Lines>78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177</cp:revision>
  <dcterms:created xsi:type="dcterms:W3CDTF">2021-05-19T10:45:00Z</dcterms:created>
  <dcterms:modified xsi:type="dcterms:W3CDTF">2026-06-05T14:09:00Z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fcb685ebe1efe3bb0acd26513c82609fff3f36fbf2f2c77599b6b1c969898ef8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2025-09-09T09:57:46Z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41d9a0f8-2097-417e-9c3f-3befc8d6d569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