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3C4F7896"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0B69BF">
                                  <w:rPr>
                                    <w:sz w:val="20"/>
                                    <w:szCs w:val="20"/>
                                  </w:rPr>
                                  <w:t>2</w:t>
                                </w:r>
                                <w:r w:rsidR="0093765C">
                                  <w:rPr>
                                    <w:sz w:val="20"/>
                                    <w:szCs w:val="20"/>
                                  </w:rPr>
                                  <w:t>.0</w:t>
                                </w:r>
                              </w:p>
                              <w:p w14:paraId="06ABC7EC" w14:textId="1C0C9BB5"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January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3C4F7896"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0B69BF">
                            <w:rPr>
                              <w:sz w:val="20"/>
                              <w:szCs w:val="20"/>
                            </w:rPr>
                            <w:t>2</w:t>
                          </w:r>
                          <w:r w:rsidR="0093765C">
                            <w:rPr>
                              <w:sz w:val="20"/>
                              <w:szCs w:val="20"/>
                            </w:rPr>
                            <w:t>.0</w:t>
                          </w:r>
                        </w:p>
                        <w:p w14:paraId="06ABC7EC" w14:textId="1C0C9BB5"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January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Less integration effort is needed to send these metadata attributes in </w:t>
      </w:r>
      <w:proofErr w:type="spellStart"/>
      <w:r w:rsidRPr="009F2F4B">
        <w:rPr>
          <w:rFonts w:ascii="Arial" w:eastAsia="Times New Roman" w:hAnsi="Arial" w:cs="Arial"/>
          <w:color w:val="000000" w:themeColor="text1"/>
          <w:spacing w:val="-1"/>
        </w:rPr>
        <w:t>preOrder</w:t>
      </w:r>
      <w:proofErr w:type="spellEnd"/>
      <w:r w:rsidRPr="009F2F4B">
        <w:rPr>
          <w:rFonts w:ascii="Arial" w:eastAsia="Times New Roman" w:hAnsi="Arial" w:cs="Arial"/>
          <w:color w:val="000000" w:themeColor="text1"/>
          <w:spacing w:val="-1"/>
        </w:rPr>
        <w:t xml:space="preserve">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proofErr w:type="spellStart"/>
      <w:r w:rsidRPr="009F2F4B">
        <w:rPr>
          <w:rFonts w:ascii="Arial" w:hAnsi="Arial" w:cs="Arial"/>
          <w:color w:val="000000" w:themeColor="text1"/>
          <w:shd w:val="clear" w:color="auto" w:fill="FFFFFF"/>
        </w:rPr>
        <w:t>key|value</w:t>
      </w:r>
      <w:proofErr w:type="spellEnd"/>
      <w:r w:rsidRPr="009F2F4B">
        <w:rPr>
          <w:rFonts w:ascii="Arial" w:hAnsi="Arial" w:cs="Arial"/>
          <w:color w:val="000000" w:themeColor="text1"/>
          <w:shd w:val="clear" w:color="auto" w:fill="FFFFFF"/>
        </w:rPr>
        <w:t xml:space="preserve"> pairs for </w:t>
      </w:r>
      <w:proofErr w:type="spellStart"/>
      <w:r w:rsidRPr="009F2F4B">
        <w:rPr>
          <w:rFonts w:ascii="Arial" w:hAnsi="Arial" w:cs="Arial"/>
          <w:color w:val="000000" w:themeColor="text1"/>
          <w:shd w:val="clear" w:color="auto" w:fill="FFFFFF"/>
        </w:rPr>
        <w:t>esw</w:t>
      </w:r>
      <w:proofErr w:type="spellEnd"/>
      <w:r w:rsidRPr="009F2F4B">
        <w:rPr>
          <w:rFonts w:ascii="Arial" w:hAnsi="Arial" w:cs="Arial"/>
          <w:color w:val="000000" w:themeColor="text1"/>
          <w:shd w:val="clear" w:color="auto" w:fill="FFFFFF"/>
        </w:rPr>
        <w:t xml:space="preserve">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proofErr w:type="spellStart"/>
      <w:r w:rsidRPr="009F2F4B">
        <w:rPr>
          <w:rFonts w:ascii="Arial" w:hAnsi="Arial" w:cs="Arial"/>
          <w:color w:val="000000" w:themeColor="text1"/>
          <w:shd w:val="clear" w:color="auto" w:fill="FFFFFF"/>
        </w:rPr>
        <w:t>key|value</w:t>
      </w:r>
      <w:proofErr w:type="spellEnd"/>
      <w:r w:rsidRPr="009F2F4B">
        <w:rPr>
          <w:rFonts w:ascii="Arial" w:hAnsi="Arial" w:cs="Arial"/>
          <w:color w:val="000000" w:themeColor="text1"/>
          <w:shd w:val="clear" w:color="auto" w:fill="FFFFFF"/>
        </w:rPr>
        <w:t xml:space="preserve"> for </w:t>
      </w:r>
      <w:proofErr w:type="spellStart"/>
      <w:r w:rsidRPr="009F2F4B">
        <w:rPr>
          <w:rFonts w:ascii="Arial" w:hAnsi="Arial" w:cs="Arial"/>
          <w:color w:val="000000" w:themeColor="text1"/>
          <w:shd w:val="clear" w:color="auto" w:fill="FFFFFF"/>
        </w:rPr>
        <w:t>esw</w:t>
      </w:r>
      <w:proofErr w:type="spellEnd"/>
      <w:r w:rsidRPr="009F2F4B">
        <w:rPr>
          <w:rFonts w:ascii="Arial" w:hAnsi="Arial" w:cs="Arial"/>
          <w:color w:val="000000" w:themeColor="text1"/>
          <w:shd w:val="clear" w:color="auto" w:fill="FFFFFF"/>
        </w:rPr>
        <w:t xml:space="preserve">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 xml:space="preserve">checkout configuration group with values in </w:t>
      </w:r>
      <w:proofErr w:type="spellStart"/>
      <w:r w:rsidRPr="000F0C64">
        <w:rPr>
          <w:rFonts w:ascii="Arial" w:eastAsia="Times New Roman" w:hAnsi="Arial" w:cs="Arial"/>
          <w:color w:val="000000" w:themeColor="text1"/>
          <w:spacing w:val="-1"/>
        </w:rPr>
        <w:t>key|value</w:t>
      </w:r>
      <w:proofErr w:type="spellEnd"/>
      <w:r w:rsidRPr="000F0C64">
        <w:rPr>
          <w:rFonts w:ascii="Arial" w:eastAsia="Times New Roman" w:hAnsi="Arial" w:cs="Arial"/>
          <w:color w:val="000000" w:themeColor="text1"/>
          <w:spacing w:val="-1"/>
        </w:rPr>
        <w:t xml:space="preserv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 xml:space="preserve">data items in the </w:t>
      </w:r>
      <w:proofErr w:type="spellStart"/>
      <w:r w:rsidRPr="009F2F4B">
        <w:rPr>
          <w:rFonts w:ascii="Arial" w:eastAsia="Times New Roman" w:hAnsi="Arial" w:cs="Arial"/>
          <w:color w:val="000000" w:themeColor="text1"/>
          <w:spacing w:val="-1"/>
        </w:rPr>
        <w:t>preOrder</w:t>
      </w:r>
      <w:proofErr w:type="spellEnd"/>
      <w:r w:rsidRPr="009F2F4B">
        <w:rPr>
          <w:rFonts w:ascii="Arial" w:eastAsia="Times New Roman" w:hAnsi="Arial" w:cs="Arial"/>
          <w:color w:val="000000" w:themeColor="text1"/>
          <w:spacing w:val="-1"/>
        </w:rPr>
        <w:t xml:space="preserve"> being passed to EWS checkout under the</w:t>
      </w:r>
      <w:r w:rsidRPr="009F2F4B">
        <w:rPr>
          <w:rFonts w:ascii="Arial" w:hAnsi="Arial" w:cs="Arial"/>
          <w:color w:val="000000" w:themeColor="text1"/>
        </w:rPr>
        <w:t xml:space="preserve"> </w:t>
      </w:r>
      <w:proofErr w:type="spellStart"/>
      <w:r w:rsidRPr="009F2F4B">
        <w:rPr>
          <w:rFonts w:ascii="Arial" w:hAnsi="Arial" w:cs="Arial"/>
          <w:b/>
          <w:bCs/>
          <w:color w:val="000000" w:themeColor="text1"/>
        </w:rPr>
        <w:t>contactDetails</w:t>
      </w:r>
      <w:proofErr w:type="spellEnd"/>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Basket level metadata items, in the business manager, add the basket metadata preference under the ESW checkout configuration group with values in </w:t>
      </w:r>
      <w:proofErr w:type="spellStart"/>
      <w:r w:rsidRPr="000F0C64">
        <w:rPr>
          <w:rFonts w:ascii="Arial" w:eastAsia="Times New Roman" w:hAnsi="Arial" w:cs="Arial"/>
          <w:color w:val="000000" w:themeColor="text1"/>
          <w:spacing w:val="-1"/>
        </w:rPr>
        <w:t>key|value</w:t>
      </w:r>
      <w:proofErr w:type="spellEnd"/>
      <w:r w:rsidRPr="000F0C64">
        <w:rPr>
          <w:rFonts w:ascii="Arial" w:eastAsia="Times New Roman" w:hAnsi="Arial" w:cs="Arial"/>
          <w:color w:val="000000" w:themeColor="text1"/>
          <w:spacing w:val="-1"/>
        </w:rPr>
        <w:t xml:space="preserv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basket level metadata items in the </w:t>
      </w:r>
      <w:proofErr w:type="spellStart"/>
      <w:r w:rsidRPr="009F2F4B">
        <w:rPr>
          <w:rFonts w:ascii="Arial" w:eastAsia="Times New Roman" w:hAnsi="Arial" w:cs="Arial"/>
          <w:color w:val="000000" w:themeColor="text1"/>
          <w:spacing w:val="-1"/>
        </w:rPr>
        <w:t>preOrder</w:t>
      </w:r>
      <w:proofErr w:type="spellEnd"/>
      <w:r w:rsidRPr="009F2F4B">
        <w:rPr>
          <w:rFonts w:ascii="Arial" w:eastAsia="Times New Roman" w:hAnsi="Arial" w:cs="Arial"/>
          <w:color w:val="000000" w:themeColor="text1"/>
          <w:spacing w:val="-1"/>
        </w:rPr>
        <w:t xml:space="preserve"> being passed to EWS checkout under the</w:t>
      </w:r>
      <w:r w:rsidRPr="009F2F4B">
        <w:rPr>
          <w:rFonts w:ascii="Arial" w:hAnsi="Arial" w:cs="Arial"/>
          <w:color w:val="000000" w:themeColor="text1"/>
        </w:rPr>
        <w:t xml:space="preserve"> </w:t>
      </w:r>
      <w:proofErr w:type="spellStart"/>
      <w:r w:rsidRPr="009F2F4B">
        <w:rPr>
          <w:rFonts w:ascii="Arial" w:hAnsi="Arial" w:cs="Arial"/>
          <w:b/>
          <w:bCs/>
          <w:color w:val="000000" w:themeColor="text1"/>
        </w:rPr>
        <w:t>shopperCheckoutExperience</w:t>
      </w:r>
      <w:proofErr w:type="spellEnd"/>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77087" w14:textId="77777777" w:rsidR="00E97A7A" w:rsidRDefault="00E97A7A" w:rsidP="00314C8E">
      <w:r>
        <w:separator/>
      </w:r>
    </w:p>
  </w:endnote>
  <w:endnote w:type="continuationSeparator" w:id="0">
    <w:p w14:paraId="763E8DAC" w14:textId="77777777" w:rsidR="00E97A7A" w:rsidRDefault="00E97A7A"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DB8EA" w14:textId="77777777" w:rsidR="00E97A7A" w:rsidRDefault="00E97A7A" w:rsidP="00314C8E">
      <w:r>
        <w:separator/>
      </w:r>
    </w:p>
  </w:footnote>
  <w:footnote w:type="continuationSeparator" w:id="0">
    <w:p w14:paraId="02F68617" w14:textId="77777777" w:rsidR="00E97A7A" w:rsidRDefault="00E97A7A"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70330"/>
    <w:rsid w:val="001815BA"/>
    <w:rsid w:val="00190BE7"/>
    <w:rsid w:val="001A611E"/>
    <w:rsid w:val="001B7FF4"/>
    <w:rsid w:val="00211F66"/>
    <w:rsid w:val="002537CD"/>
    <w:rsid w:val="002557F1"/>
    <w:rsid w:val="00266A87"/>
    <w:rsid w:val="002839F7"/>
    <w:rsid w:val="002A1F76"/>
    <w:rsid w:val="002C68AE"/>
    <w:rsid w:val="00314C8E"/>
    <w:rsid w:val="0036465C"/>
    <w:rsid w:val="00374A70"/>
    <w:rsid w:val="003C2DE3"/>
    <w:rsid w:val="00414294"/>
    <w:rsid w:val="00455EE8"/>
    <w:rsid w:val="004C7C71"/>
    <w:rsid w:val="004E1599"/>
    <w:rsid w:val="004E3952"/>
    <w:rsid w:val="0053221B"/>
    <w:rsid w:val="00544AE6"/>
    <w:rsid w:val="00545B76"/>
    <w:rsid w:val="0054693C"/>
    <w:rsid w:val="005618C3"/>
    <w:rsid w:val="005644F0"/>
    <w:rsid w:val="005B1AA5"/>
    <w:rsid w:val="005C7C3F"/>
    <w:rsid w:val="005F133B"/>
    <w:rsid w:val="00602264"/>
    <w:rsid w:val="00616A56"/>
    <w:rsid w:val="006612A2"/>
    <w:rsid w:val="006724DE"/>
    <w:rsid w:val="006C2817"/>
    <w:rsid w:val="00771894"/>
    <w:rsid w:val="0083423C"/>
    <w:rsid w:val="00836A6B"/>
    <w:rsid w:val="00840EE0"/>
    <w:rsid w:val="008778A1"/>
    <w:rsid w:val="008832BA"/>
    <w:rsid w:val="008B46FD"/>
    <w:rsid w:val="008F2915"/>
    <w:rsid w:val="0093765C"/>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935B9"/>
    <w:rsid w:val="00D33830"/>
    <w:rsid w:val="00DD7F46"/>
    <w:rsid w:val="00DE4C43"/>
    <w:rsid w:val="00E01A84"/>
    <w:rsid w:val="00E362A5"/>
    <w:rsid w:val="00E36EA8"/>
    <w:rsid w:val="00E4063A"/>
    <w:rsid w:val="00E97A7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69</cp:revision>
  <dcterms:created xsi:type="dcterms:W3CDTF">2021-05-19T09:28:00Z</dcterms:created>
  <dcterms:modified xsi:type="dcterms:W3CDTF">2023-12-24T20:10:00Z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