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579B7F54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40FF7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2B633EB" w14:textId="55969EA4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40FF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579B7F54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40FF7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2B633EB" w14:textId="55969EA4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40FF7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F71F01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147759537"/>
      <w:r>
        <w:rPr>
          <w:rFonts w:ascii="Arial" w:hAnsi="Arial" w:cs="Arial"/>
          <w:b/>
          <w:bCs/>
          <w:sz w:val="28"/>
          <w:szCs w:val="28"/>
        </w:rPr>
        <w:t>Return Merchandise Authorization</w:t>
      </w:r>
      <w:bookmarkEnd w:id="0"/>
    </w:p>
    <w:p w14:paraId="2B86534C" w14:textId="26A3AB57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to </w:t>
      </w:r>
      <w:r w:rsidR="00AE53CA">
        <w:rPr>
          <w:sz w:val="20"/>
          <w:szCs w:val="20"/>
        </w:rPr>
        <w:t>return order from SFCC or ESW panel</w:t>
      </w:r>
      <w:r w:rsidRPr="00F71F01">
        <w:rPr>
          <w:sz w:val="20"/>
          <w:szCs w:val="20"/>
        </w:rPr>
        <w:t>.</w:t>
      </w:r>
      <w:r w:rsidR="00AE53CA">
        <w:rPr>
          <w:sz w:val="20"/>
          <w:szCs w:val="20"/>
        </w:rPr>
        <w:t xml:space="preserve"> In both cases the cartridge will maintain the order synchronisation so that</w:t>
      </w:r>
      <w:r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upon mark an order as return from SFCC or ESW it will be mark as return on both places.</w:t>
      </w:r>
    </w:p>
    <w:p w14:paraId="5B365C94" w14:textId="2A21CCB6" w:rsidR="00350723" w:rsidRPr="00F71F01" w:rsidRDefault="00281379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 </w:t>
      </w:r>
      <w:r w:rsidR="009C5293">
        <w:rPr>
          <w:sz w:val="20"/>
          <w:szCs w:val="20"/>
        </w:rPr>
        <w:t>short,</w:t>
      </w:r>
      <w:r>
        <w:rPr>
          <w:sz w:val="20"/>
          <w:szCs w:val="20"/>
        </w:rPr>
        <w:t xml:space="preserve"> t</w:t>
      </w:r>
      <w:r w:rsidR="00350723" w:rsidRPr="00F71F01">
        <w:rPr>
          <w:sz w:val="20"/>
          <w:szCs w:val="20"/>
        </w:rPr>
        <w:t>he ESW-SFCC cartridge allows retailers to synchronize</w:t>
      </w:r>
      <w:r w:rsidR="00350723"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returned</w:t>
      </w:r>
      <w:r w:rsidR="00350723" w:rsidRPr="00F71F01">
        <w:rPr>
          <w:sz w:val="20"/>
          <w:szCs w:val="20"/>
        </w:rPr>
        <w:t xml:space="preserve"> </w:t>
      </w:r>
      <w:r w:rsidR="00350723">
        <w:rPr>
          <w:sz w:val="20"/>
          <w:szCs w:val="20"/>
        </w:rPr>
        <w:t>order in both ways ESW =&gt; SFCC and SFCC =&gt; ESW</w:t>
      </w:r>
      <w:r w:rsidR="00350723" w:rsidRPr="00F71F01">
        <w:rPr>
          <w:sz w:val="20"/>
          <w:szCs w:val="20"/>
        </w:rPr>
        <w:t>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77777777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57103FB3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BDCB816" w14:textId="35673A0C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405B782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cancelled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F71F01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4" w:name="_Toc72738348"/>
      <w:bookmarkStart w:id="5" w:name="_Toc147759541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303ABC">
        <w:rPr>
          <w:rFonts w:ascii="Arial" w:hAnsi="Arial" w:cs="Arial"/>
          <w:b/>
          <w:bCs/>
          <w:sz w:val="28"/>
          <w:szCs w:val="28"/>
        </w:rPr>
        <w:t>Return</w:t>
      </w:r>
      <w:r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B15C8" w14:textId="77777777" w:rsidR="00B15E15" w:rsidRDefault="00B15E15" w:rsidP="00E94B81">
      <w:r>
        <w:separator/>
      </w:r>
    </w:p>
  </w:endnote>
  <w:endnote w:type="continuationSeparator" w:id="0">
    <w:p w14:paraId="305F5D81" w14:textId="77777777" w:rsidR="00B15E15" w:rsidRDefault="00B15E15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296C4" w14:textId="77777777" w:rsidR="00B15E15" w:rsidRDefault="00B15E15" w:rsidP="00E94B81">
      <w:r>
        <w:separator/>
      </w:r>
    </w:p>
  </w:footnote>
  <w:footnote w:type="continuationSeparator" w:id="0">
    <w:p w14:paraId="7F132665" w14:textId="77777777" w:rsidR="00B15E15" w:rsidRDefault="00B15E15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C16BB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653"/>
    <w:rsid w:val="00A40FF7"/>
    <w:rsid w:val="00A47459"/>
    <w:rsid w:val="00A50AD8"/>
    <w:rsid w:val="00A54483"/>
    <w:rsid w:val="00A66C69"/>
    <w:rsid w:val="00AA5F77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309</cp:revision>
  <dcterms:created xsi:type="dcterms:W3CDTF">2021-08-27T15:56:00Z</dcterms:created>
  <dcterms:modified xsi:type="dcterms:W3CDTF">2023-10-23T10:02:00Z</dcterms:modified>
</cp:coreProperties>
</file>