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both"/>
        <w:rPr>
          <w:rFonts w:ascii="Old Standard TT" w:cs="Old Standard TT" w:eastAsia="Old Standard TT" w:hAnsi="Old Standard TT"/>
          <w:b w:val="1"/>
        </w:rPr>
      </w:pPr>
      <w:bookmarkStart w:colFirst="0" w:colLast="0" w:name="_durbgb71zg8l" w:id="0"/>
      <w:bookmarkEnd w:id="0"/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Assumptions &amp; Design Decisions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The following design decisions have been made in order to guarantee the visualization requirements of the statement and to enhance the visual transmission of information: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FH &amp; FC → Double Line Chart: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This visualization simplifies the presentation of trends and time-series data, making it easy to identify peaks and changes over time for all models. The double plot also allows for comparing the 2 measurements.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ADOSS &amp; ADOSU → Time-Series Double Line: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Grouped bar charts effectively compare the two groups (Scheduled and Unscheduled) across time and aicrafts. This format highlights differences while allowing trends and changes to be identified with ease.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All Report Rates → Multiple Line Charts: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Similar to the double line chart, this plot enables the concurrent visualization of six measures over time. It provides a clear and intuitive way to identify trends, changes, peaks, and valleys across all report rates.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Maintenance Report Rates → Vertical Stacked Bars: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Given the low cardinality of models, vertical stacked bars are a feasible choice for comparing MRRc and MRRh per model and reporting person. However, there are some trade-offs: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Different Scales: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Since the KPIs (MRRc and MRRh) use different scales, interpreting relative areas can be challenging. If precise comparison between these KPIs were a priority, a treemap (where area is accurately represented) would be more effective.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Old Standard TT" w:cs="Old Standard TT" w:eastAsia="Old Standard TT" w:hAnsi="Old Standard TT"/>
          <w:u w:val="none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rtl w:val="0"/>
        </w:rPr>
        <w:t xml:space="preserve">Requirement Alignment:</w:t>
      </w: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 The original requirements focus on comparing the KPIs across models, which the stacked bar chart achieves more effectively than a treemap. Additionally, treemaps are less intuitive for users to interpret, especially when distinguishing between multiple categories such as reporters.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Despite these trade-offs, vertical stacked bars remain the best option for this scenario, offering a balance between readability and the ability to compare KPIs across models.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Given the low temporal granularities of the requested charts (months and years), using the non-materialized views as sources of data is better suited for the visualization task rather than the raw date-time data, with the small drawback that data is aggregated, therefore some fine-grained peaks and valleys are lost.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Old Standard TT" w:cs="Old Standard TT" w:eastAsia="Old Standard TT" w:hAnsi="Old Standard TT"/>
        </w:rPr>
      </w:pPr>
      <w:r w:rsidDel="00000000" w:rsidR="00000000" w:rsidRPr="00000000">
        <w:rPr>
          <w:rFonts w:ascii="Old Standard TT" w:cs="Old Standard TT" w:eastAsia="Old Standard TT" w:hAnsi="Old Standard TT"/>
          <w:rtl w:val="0"/>
        </w:rPr>
        <w:t xml:space="preserve">We have also considered the possibility of the end-user being daltonic in the color palette, to enhance accessibility.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