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left"/>
        <w:rPr>
          <w:rFonts w:ascii="CIBFont Sans" w:hAnsi="CIBFont Sans"/>
          <w:sz w:val="48"/>
          <w:szCs w:val="48"/>
          <w:lang w:val="es-ES"/>
        </w:rPr>
      </w:pPr>
      <w:r>
        <w:rPr>
          <w:rFonts w:ascii="CIBFont Sans" w:hAnsi="CIBFont Sans"/>
          <w:sz w:val="48"/>
          <w:szCs w:val="48"/>
          <w:lang w:val="es-ES"/>
        </w:rPr>
        <w:t xml:space="preserve">ETL Litigios (vope-cdeo-reflitig)</w:t>
      </w:r>
    </w:p>
    <w:p>
      <w:pPr>
        <w:jc w:val="left"/>
        <w:rPr>
          <w:rFonts w:ascii="CIBFont Sans" w:hAnsi="CIBFont Sans"/>
          <w:sz w:val="24"/>
          <w:szCs w:val="24"/>
          <w:lang w:val="es-ES"/>
        </w:rPr>
      </w:pPr>
    </w:p>
    <w:p>
      <w:pPr>
        <w:jc w:val="left"/>
        <w:rPr>
          <w:rFonts w:ascii="CIBFont Sans" w:hAnsi="CIBFont Sans"/>
          <w:sz w:val="24"/>
          <w:szCs w:val="24"/>
          <w:lang w:val="es-ES"/>
          <w:b/>
          <w:bCs/>
        </w:rPr>
      </w:pPr>
      <w:r>
        <w:rPr>
          <w:rFonts w:ascii="CIBFont Sans" w:hAnsi="CIBFont Sans"/>
          <w:sz w:val="24"/>
          <w:szCs w:val="24"/>
          <w:lang w:val="es-ES"/>
          <w:b/>
          <w:bCs/>
        </w:rPr>
        <w:t xml:space="preserve">Proceso de negocio</w:t>
      </w:r>
    </w:p>
    <w:p>
      <w:pPr>
        <w:jc w:val="left"/>
        <w:rPr>
          <w:rFonts w:ascii="CIBFont Sans" w:hAnsi="CIBFont Sans"/>
          <w:sz w:val="24"/>
          <w:szCs w:val="24"/>
          <w:lang w:val="es-ES"/>
        </w:rPr>
      </w:pPr>
      <w:r>
        <w:rPr>
          <w:rFonts w:ascii="CIBFont Sans" w:hAnsi="CIBFont Sans"/>
          <w:sz w:val="24"/>
          <w:szCs w:val="24"/>
          <w:lang w:val="es-ES"/>
        </w:rPr>
        <w:t xml:space="preserve">T080153 – Calcular y Provisionar Litigios Comerciales, Hipotecarios y Laborales</w:t>
      </w:r>
    </w:p>
    <w:p>
      <w:pPr>
        <w:jc w:val="left"/>
        <w:rPr>
          <w:rFonts w:ascii="CIBFont Sans" w:hAnsi="CIBFont Sans"/>
          <w:sz w:val="24"/>
          <w:szCs w:val="24"/>
          <w:lang w:val="es-ES"/>
        </w:rPr>
      </w:pPr>
    </w:p>
    <w:p>
      <w:pPr>
        <w:jc w:val="left"/>
        <w:rPr>
          <w:rFonts w:ascii="CIBFont Sans" w:hAnsi="CIBFont Sans"/>
          <w:sz w:val="24"/>
          <w:szCs w:val="24"/>
          <w:lang w:val="es-ES"/>
          <w:b/>
          <w:bCs/>
        </w:rPr>
      </w:pPr>
      <w:r>
        <w:rPr>
          <w:rFonts w:ascii="CIBFont Sans" w:hAnsi="CIBFont Sans"/>
          <w:sz w:val="24"/>
          <w:szCs w:val="24"/>
          <w:lang w:val="es-ES"/>
          <w:b/>
          <w:bCs/>
        </w:rPr>
        <w:t xml:space="preserve">Tipo de documento</w:t>
      </w:r>
    </w:p>
    <w:p>
      <w:pPr>
        <w:jc w:val="left"/>
        <w:rPr>
          <w:rFonts w:ascii="CIBFont Sans" w:hAnsi="CIBFont Sans"/>
          <w:sz w:val="24"/>
          <w:szCs w:val="24"/>
          <w:lang w:val="es-ES"/>
        </w:rPr>
      </w:pPr>
      <w:r>
        <w:rPr>
          <w:rFonts w:ascii="CIBFont Sans" w:hAnsi="CIBFont Sans"/>
          <w:sz w:val="24"/>
          <w:szCs w:val="24"/>
          <w:lang w:val="es-ES"/>
        </w:rPr>
        <w:t xml:space="preserve">Documentación técnica y funcional del proceso</w:t>
      </w:r>
    </w:p>
    <w:p>
      <w:pPr>
        <w:jc w:val="left"/>
        <w:rPr>
          <w:rFonts w:ascii="CIBFont Sans" w:hAnsi="CIBFont Sans"/>
          <w:sz w:val="24"/>
          <w:szCs w:val="24"/>
          <w:lang w:val="es-ES"/>
        </w:rPr>
      </w:pPr>
    </w:p>
    <w:p>
      <w:pPr>
        <w:jc w:val="left"/>
        <w:rPr>
          <w:rFonts w:ascii="CIBFont Sans" w:hAnsi="CIBFont Sans"/>
          <w:sz w:val="24"/>
          <w:szCs w:val="24"/>
          <w:lang w:val="es-ES"/>
        </w:rPr>
      </w:pPr>
    </w:p>
    <w:p>
      <w:pPr>
        <w:jc w:val="left"/>
        <w:rPr>
          <w:rFonts w:ascii="CIBFont Sans" w:hAnsi="CIBFont Sans"/>
          <w:sz w:val="24"/>
          <w:szCs w:val="24"/>
          <w:lang w:val="es-ES"/>
        </w:rPr>
      </w:pPr>
    </w:p>
    <w:p>
      <w:pPr>
        <w:jc w:val="left"/>
        <w:rPr>
          <w:rFonts w:ascii="CIBFont Sans" w:hAnsi="CIBFont Sans"/>
          <w:sz w:val="24"/>
          <w:szCs w:val="24"/>
          <w:lang w:val="es-ES"/>
        </w:rPr>
      </w:pPr>
    </w:p>
    <w:p>
      <w:pPr>
        <w:jc w:val="left"/>
        <w:rPr>
          <w:rFonts w:ascii="CIBFont Sans" w:hAnsi="CIBFont Sans"/>
          <w:sz w:val="28"/>
          <w:szCs w:val="28"/>
          <w:lang w:val="es-ES"/>
        </w:rPr>
      </w:pPr>
      <w:r>
        <w:rPr>
          <w:rFonts w:ascii="CIBFont Sans" w:hAnsi="CIBFont Sans"/>
          <w:sz w:val="28"/>
          <w:szCs w:val="28"/>
          <w:lang w:val="es-ES"/>
        </w:rPr>
        <w:t xml:space="preserve">Autor</w:t>
      </w:r>
    </w:p>
    <w:p>
      <w:pPr>
        <w:jc w:val="left"/>
        <w:rPr>
          <w:rFonts w:ascii="CIBFont Sans" w:hAnsi="CIBFont Sans"/>
          <w:sz w:val="28"/>
          <w:szCs w:val="28"/>
          <w:lang w:val="es-ES"/>
        </w:rPr>
      </w:pPr>
      <w:r>
        <w:rPr>
          <w:rFonts w:ascii="CIBFont Sans" w:hAnsi="CIBFont Sans"/>
          <w:sz w:val="28"/>
          <w:szCs w:val="28"/>
          <w:lang w:val="es-ES"/>
        </w:rPr>
        <w:t xml:space="preserve">Emanuel Zuluaga Restrepo</w:t>
      </w:r>
    </w:p>
    <w:p>
      <w:pPr>
        <w:jc w:val="left"/>
        <w:rPr>
          <w:rFonts w:ascii="CIBFont Sans" w:hAnsi="CIBFont Sans"/>
          <w:sz w:val="24"/>
          <w:szCs w:val="24"/>
          <w:lang w:val="es-ES"/>
        </w:rPr>
      </w:pPr>
    </w:p>
    <w:p>
      <w:pPr>
        <w:rPr>
          <w:lang w:val="es-ES"/>
        </w:rPr>
      </w:pPr>
      <w:r>
        <w:rPr>
          <w:lang w:val="es-ES"/>
        </w:rPr>
        <w:br w:type="page"/>
      </w:r>
    </w:p>
    <w:p>
      <w:pPr>
        <w:pStyle w:val="Ttulo"/>
        <w:rPr>
          <w:lang w:val="es-ES"/>
        </w:rPr>
      </w:pPr>
      <w:r>
        <w:rPr>
          <w:lang w:val="es-ES"/>
        </w:rPr>
        <w:t>Contenido</w:t>
      </w:r>
    </w:p>
    <w:p/>
    <w:p>
      <w:pPr>
        <w:pStyle w:val="TDC1"/>
        <w:tabs>
          <w:tab w:val="right" w:leader="dot" w:pos="9204"/>
        </w:tabs>
      </w:pPr>
      <w:hyperlink w:anchor="_Toc90000002" w:history="1">
        <w:r>
          <w:rPr>
            <w:rStyle w:val="Hipervnculo"/>
            <w:noProof/>
          </w:rPr>
          <w:t xml:space="preserve">1. Introducción</w:t>
        </w:r>
        <w:r>
          <w:rPr>
            <w:noProof/>
          </w:rPr>
          <w:tab/>
          <w:t>3</w:t>
        </w:r>
      </w:hyperlink>
    </w:p>
    <w:p>
      <w:pPr>
        <w:pStyle w:val="TDC1"/>
        <w:tabs>
          <w:tab w:val="right" w:leader="dot" w:pos="9204"/>
        </w:tabs>
      </w:pPr>
      <w:hyperlink w:anchor="_Toc90000004" w:history="1">
        <w:r>
          <w:rPr>
            <w:rStyle w:val="Hipervnculo"/>
            <w:noProof/>
          </w:rPr>
          <w:t xml:space="preserve">2. Resumen ejecutivo</w:t>
        </w:r>
        <w:r>
          <w:rPr>
            <w:noProof/>
          </w:rPr>
          <w:tab/>
          <w:t>3</w:t>
        </w:r>
      </w:hyperlink>
    </w:p>
    <w:p>
      <w:pPr>
        <w:pStyle w:val="TDC1"/>
        <w:tabs>
          <w:tab w:val="right" w:leader="dot" w:pos="9204"/>
        </w:tabs>
      </w:pPr>
      <w:hyperlink w:anchor="_Toc90000006" w:history="1">
        <w:r>
          <w:rPr>
            <w:rStyle w:val="Hipervnculo"/>
            <w:noProof/>
          </w:rPr>
          <w:t xml:space="preserve">3. Objetivos</w:t>
        </w:r>
        <w:r>
          <w:rPr>
            <w:noProof/>
          </w:rPr>
          <w:tab/>
          <w:t>3</w:t>
        </w:r>
      </w:hyperlink>
    </w:p>
    <w:p>
      <w:pPr>
        <w:pStyle w:val="TDC1"/>
        <w:tabs>
          <w:tab w:val="right" w:leader="dot" w:pos="9204"/>
        </w:tabs>
      </w:pPr>
      <w:hyperlink w:anchor="_Toc90000008" w:history="1">
        <w:r>
          <w:rPr>
            <w:rStyle w:val="Hipervnculo"/>
            <w:noProof/>
          </w:rPr>
          <w:t xml:space="preserve">4. Arquitectura del proceso</w:t>
        </w:r>
        <w:r>
          <w:rPr>
            <w:noProof/>
          </w:rPr>
          <w:tab/>
          <w:t>4</w:t>
        </w:r>
      </w:hyperlink>
    </w:p>
    <w:p>
      <w:pPr>
        <w:pStyle w:val="TDC2"/>
        <w:tabs>
          <w:tab w:val="right" w:leader="dot" w:pos="9204"/>
        </w:tabs>
      </w:pPr>
      <w:hyperlink w:anchor="_Toc90000010" w:history="1">
        <w:r>
          <w:rPr>
            <w:rStyle w:val="Hipervnculo"/>
            <w:noProof/>
          </w:rPr>
          <w:t xml:space="preserve">4.1. Componentes principales</w:t>
        </w:r>
        <w:r>
          <w:rPr>
            <w:noProof/>
          </w:rPr>
          <w:tab/>
          <w:t>4</w:t>
        </w:r>
      </w:hyperlink>
    </w:p>
    <w:p>
      <w:pPr>
        <w:pStyle w:val="TDC2"/>
        <w:tabs>
          <w:tab w:val="right" w:leader="dot" w:pos="9204"/>
        </w:tabs>
      </w:pPr>
      <w:hyperlink w:anchor="_Toc90000012" w:history="1">
        <w:r>
          <w:rPr>
            <w:rStyle w:val="Hipervnculo"/>
            <w:noProof/>
          </w:rPr>
          <w:t xml:space="preserve">4.2. Cómo está construido el proyecto</w:t>
        </w:r>
        <w:r>
          <w:rPr>
            <w:noProof/>
          </w:rPr>
          <w:tab/>
          <w:t>4</w:t>
        </w:r>
      </w:hyperlink>
    </w:p>
    <w:p>
      <w:pPr>
        <w:pStyle w:val="TDC2"/>
        <w:tabs>
          <w:tab w:val="right" w:leader="dot" w:pos="9204"/>
        </w:tabs>
      </w:pPr>
      <w:hyperlink w:anchor="_Toc90000014" w:history="1">
        <w:r>
          <w:rPr>
            <w:rStyle w:val="Hipervnculo"/>
            <w:noProof/>
          </w:rPr>
          <w:t xml:space="preserve">4.3. Convención de nombres de tablas</w:t>
        </w:r>
        <w:r>
          <w:rPr>
            <w:noProof/>
          </w:rPr>
          <w:tab/>
          <w:t>5</w:t>
        </w:r>
      </w:hyperlink>
    </w:p>
    <w:p>
      <w:pPr>
        <w:pStyle w:val="TDC1"/>
        <w:tabs>
          <w:tab w:val="right" w:leader="dot" w:pos="9204"/>
        </w:tabs>
      </w:pPr>
      <w:hyperlink w:anchor="_Toc90000016" w:history="1">
        <w:r>
          <w:rPr>
            <w:rStyle w:val="Hipervnculo"/>
            <w:noProof/>
          </w:rPr>
          <w:t xml:space="preserve">5. Tablas de entrada (insumos)</w:t>
        </w:r>
        <w:r>
          <w:rPr>
            <w:noProof/>
          </w:rPr>
          <w:tab/>
          <w:t>5</w:t>
        </w:r>
      </w:hyperlink>
    </w:p>
    <w:p>
      <w:pPr>
        <w:pStyle w:val="TDC2"/>
        <w:tabs>
          <w:tab w:val="right" w:leader="dot" w:pos="9204"/>
        </w:tabs>
      </w:pPr>
      <w:hyperlink w:anchor="_Toc90000018" w:history="1">
        <w:r>
          <w:rPr>
            <w:rStyle w:val="Hipervnculo"/>
            <w:noProof/>
          </w:rPr>
          <w:t xml:space="preserve">Tablas intermedias generadas durante el proceso</w:t>
        </w:r>
        <w:r>
          <w:rPr>
            <w:noProof/>
          </w:rPr>
          <w:tab/>
          <w:t>6</w:t>
        </w:r>
      </w:hyperlink>
    </w:p>
    <w:p>
      <w:pPr>
        <w:pStyle w:val="TDC1"/>
        <w:tabs>
          <w:tab w:val="right" w:leader="dot" w:pos="9204"/>
        </w:tabs>
      </w:pPr>
      <w:hyperlink w:anchor="_Toc90000020" w:history="1">
        <w:r>
          <w:rPr>
            <w:rStyle w:val="Hipervnculo"/>
            <w:noProof/>
          </w:rPr>
          <w:t xml:space="preserve">6. Tablas de salida (resultados)</w:t>
        </w:r>
        <w:r>
          <w:rPr>
            <w:noProof/>
          </w:rPr>
          <w:tab/>
          <w:t>7</w:t>
        </w:r>
      </w:hyperlink>
    </w:p>
    <w:p>
      <w:pPr>
        <w:pStyle w:val="TDC1"/>
        <w:tabs>
          <w:tab w:val="right" w:leader="dot" w:pos="9204"/>
        </w:tabs>
      </w:pPr>
      <w:hyperlink w:anchor="_Toc90000022" w:history="1">
        <w:r>
          <w:rPr>
            <w:rStyle w:val="Hipervnculo"/>
            <w:noProof/>
          </w:rPr>
          <w:t xml:space="preserve">7. Estructura del proyecto y archivos generales</w:t>
        </w:r>
        <w:r>
          <w:rPr>
            <w:noProof/>
          </w:rPr>
          <w:tab/>
          <w:t>7</w:t>
        </w:r>
      </w:hyperlink>
    </w:p>
    <w:p>
      <w:pPr>
        <w:pStyle w:val="TDC2"/>
        <w:tabs>
          <w:tab w:val="right" w:leader="dot" w:pos="9204"/>
        </w:tabs>
      </w:pPr>
      <w:hyperlink w:anchor="_Toc90000024" w:history="1">
        <w:r>
          <w:rPr>
            <w:rStyle w:val="Hipervnculo"/>
            <w:noProof/>
          </w:rPr>
          <w:t xml:space="preserve">6.1. Archivos de configuración y empaquetado (explicación general)</w:t>
        </w:r>
        <w:r>
          <w:rPr>
            <w:noProof/>
          </w:rPr>
          <w:tab/>
          <w:t>8</w:t>
        </w:r>
      </w:hyperlink>
    </w:p>
    <w:p>
      <w:pPr>
        <w:pStyle w:val="TDC2"/>
        <w:tabs>
          <w:tab w:val="right" w:leader="dot" w:pos="9204"/>
        </w:tabs>
      </w:pPr>
      <w:hyperlink w:anchor="_Toc90000026" w:history="1">
        <w:r>
          <w:rPr>
            <w:rStyle w:val="Hipervnculo"/>
            <w:noProof/>
          </w:rPr>
          <w:t xml:space="preserve">6.2. Archivos de código Python (explicación general)</w:t>
        </w:r>
        <w:r>
          <w:rPr>
            <w:noProof/>
          </w:rPr>
          <w:tab/>
          <w:t>8</w:t>
        </w:r>
      </w:hyperlink>
    </w:p>
    <w:p>
      <w:pPr>
        <w:pStyle w:val="TDC1"/>
        <w:tabs>
          <w:tab w:val="right" w:leader="dot" w:pos="9204"/>
        </w:tabs>
      </w:pPr>
      <w:hyperlink w:anchor="_Toc90000028" w:history="1">
        <w:r>
          <w:rPr>
            <w:rStyle w:val="Hipervnculo"/>
            <w:noProof/>
          </w:rPr>
          <w:t xml:space="preserve">8. Detalle de la lógica SQL por etapa</w:t>
        </w:r>
        <w:r>
          <w:rPr>
            <w:noProof/>
          </w:rPr>
          <w:tab/>
          <w:t>9</w:t>
        </w:r>
      </w:hyperlink>
    </w:p>
    <w:p>
      <w:pPr>
        <w:pStyle w:val="TDC2"/>
        <w:tabs>
          <w:tab w:val="right" w:leader="dot" w:pos="9204"/>
        </w:tabs>
      </w:pPr>
      <w:hyperlink w:anchor="_Toc90000030" w:history="1">
        <w:r>
          <w:rPr>
            <w:rStyle w:val="Hipervnculo"/>
            <w:noProof/>
          </w:rPr>
          <w:t xml:space="preserve">7.1. Etapa 1 — Carga (sql/etl/)</w:t>
        </w:r>
        <w:r>
          <w:rPr>
            <w:noProof/>
          </w:rPr>
          <w:tab/>
          <w:t>9</w:t>
        </w:r>
      </w:hyperlink>
    </w:p>
    <w:p>
      <w:pPr>
        <w:pStyle w:val="TDC2"/>
        <w:tabs>
          <w:tab w:val="right" w:leader="dot" w:pos="9204"/>
        </w:tabs>
      </w:pPr>
      <w:hyperlink w:anchor="_Toc90000032" w:history="1">
        <w:r>
          <w:rPr>
            <w:rStyle w:val="Hipervnculo"/>
            <w:noProof/>
          </w:rPr>
          <w:t xml:space="preserve">7.2. Etapa 2 — Conciliación contra SAP (sql/conciliacion/)</w:t>
        </w:r>
        <w:r>
          <w:rPr>
            <w:noProof/>
          </w:rPr>
          <w:tab/>
          <w:t>11</w:t>
        </w:r>
      </w:hyperlink>
    </w:p>
    <w:p>
      <w:pPr>
        <w:pStyle w:val="TDC2"/>
        <w:tabs>
          <w:tab w:val="right" w:leader="dot" w:pos="9204"/>
        </w:tabs>
      </w:pPr>
      <w:hyperlink w:anchor="_Toc90000034" w:history="1">
        <w:r>
          <w:rPr>
            <w:rStyle w:val="Hipervnculo"/>
            <w:noProof/>
          </w:rPr>
          <w:t xml:space="preserve">7.3. Etapa 3 — Reportes (sql/reportes/)</w:t>
        </w:r>
        <w:r>
          <w:rPr>
            <w:noProof/>
          </w:rPr>
          <w:tab/>
          <w:t>13</w:t>
        </w:r>
      </w:hyperlink>
    </w:p>
    <w:p>
      <w:pPr>
        <w:pStyle w:val="TDC1"/>
        <w:tabs>
          <w:tab w:val="right" w:leader="dot" w:pos="9204"/>
        </w:tabs>
      </w:pPr>
      <w:hyperlink w:anchor="_Toc90000036" w:history="1">
        <w:r>
          <w:rPr>
            <w:rStyle w:val="Hipervnculo"/>
            <w:noProof/>
          </w:rPr>
          <w:t xml:space="preserve">9. Manejo de logs y errores</w:t>
        </w:r>
        <w:r>
          <w:rPr>
            <w:noProof/>
          </w:rPr>
          <w:tab/>
          <w:t>15</w:t>
        </w:r>
      </w:hyperlink>
    </w:p>
    <w:p>
      <w:pPr>
        <w:pStyle w:val="TDC1"/>
        <w:tabs>
          <w:tab w:val="right" w:leader="dot" w:pos="9204"/>
        </w:tabs>
      </w:pPr>
      <w:hyperlink w:anchor="_Toc90000038" w:history="1">
        <w:r>
          <w:rPr>
            <w:rStyle w:val="Hipervnculo"/>
            <w:noProof/>
          </w:rPr>
          <w:t xml:space="preserve">10. Proceso de ejecución (etapas del flujo)</w:t>
        </w:r>
        <w:r>
          <w:rPr>
            <w:noProof/>
          </w:rPr>
          <w:tab/>
          <w:t>16</w:t>
        </w:r>
      </w:hyperlink>
    </w:p>
    <w:p>
      <w:pPr>
        <w:pStyle w:val="TDC1"/>
        <w:tabs>
          <w:tab w:val="right" w:leader="dot" w:pos="9204"/>
        </w:tabs>
      </w:pPr>
      <w:hyperlink w:anchor="_Toc90000040" w:history="1">
        <w:r>
          <w:rPr>
            <w:rStyle w:val="Hipervnculo"/>
            <w:noProof/>
          </w:rPr>
          <w:t xml:space="preserve">11. Glosario</w:t>
        </w:r>
        <w:r>
          <w:rPr>
            <w:noProof/>
          </w:rPr>
          <w:tab/>
          <w:t>17</w:t>
        </w:r>
      </w:hyperlink>
    </w:p>
    <w:p>
      <w:r>
        <w:br w:type="page"/>
      </w:r>
    </w:p>
    <w:p>
      <w:pPr>
        <w:pStyle w:val="Ttulo1"/>
      </w:pPr>
      <w:bookmarkStart w:id="90000001" w:name="_Toc90000002"/>
      <w:r>
        <w:t xml:space="preserve">1. Introducción</w:t>
      </w:r>
      <w:bookmarkEnd w:id="90000001"/>
    </w:p>
    <w:p/>
    <w:p>
      <w:r>
        <w:t xml:space="preserve">Este documento describe, de forma clara y completa, el funcionamiento del proceso </w:t>
      </w:r>
      <w:r>
        <w:rPr>
          <w:b/>
          <w:bCs/>
        </w:rPr>
        <w:t xml:space="preserve">ETL Litigios</w:t>
      </w:r>
      <w:r>
        <w:t xml:space="preserve"> (</w:t>
      </w:r>
      <w:r>
        <w:rPr>
          <w:rFonts w:ascii="Consolas" w:hAnsi="Consolas" w:cs="Consolas"/>
        </w:rPr>
        <w:t xml:space="preserve">vope-cdeo-reflitig</w:t>
      </w:r>
      <w:r>
        <w:t xml:space="preserve">). El objetivo es que cualquier persona —técnica o no— pueda entender </w:t>
      </w:r>
      <w:r>
        <w:rPr>
          <w:b/>
          <w:bCs/>
        </w:rPr>
        <w:t xml:space="preserve">qué hace el proceso, con qué información trabaja, cómo la transforma y qué resultados entrega</w:t>
      </w:r>
      <w:r>
        <w:t xml:space="preserve">, sin necesidad de leer directamente el código fuente.</w:t>
      </w:r>
    </w:p>
    <w:p>
      <w:r>
        <w:t xml:space="preserve">El proceso se ejecuta </w:t>
      </w:r>
      <w:r>
        <w:rPr>
          <w:b/>
          <w:bCs/>
        </w:rPr>
        <w:t xml:space="preserve">una vez al mes</w:t>
      </w:r>
      <w:r>
        <w:t xml:space="preserve"> y se encarga de tomar el cálculo de provisiones de demandas (litigios) contra el banco, ya elaborado por una herramienta de cálculo del área usuaria, y a partir de ese cálculo:</w:t>
      </w:r>
    </w:p>
    <w:p>
      <w:pPr>
        <w:pStyle w:val="Prrafodelista"/>
        <w:numPr>
          <w:ilvl w:val="0"/>
          <w:numId w:val="1"/>
        </w:numPr>
        <w:jc w:val="left"/>
      </w:pPr>
      <w:r>
        <w:t xml:space="preserve">Consolidarlo en tablas históricas oficiales.</w:t>
      </w:r>
    </w:p>
    <w:p>
      <w:pPr>
        <w:pStyle w:val="Prrafodelista"/>
        <w:numPr>
          <w:ilvl w:val="0"/>
          <w:numId w:val="1"/>
        </w:numPr>
        <w:jc w:val="left"/>
      </w:pPr>
      <w:r>
        <w:t xml:space="preserve">Compararlo contra la contabilidad real del banco.</w:t>
      </w:r>
    </w:p>
    <w:p>
      <w:pPr>
        <w:pStyle w:val="Prrafodelista"/>
        <w:numPr>
          <w:ilvl w:val="0"/>
          <w:numId w:val="1"/>
        </w:numPr>
        <w:jc w:val="left"/>
      </w:pPr>
      <w:r>
        <w:t xml:space="preserve">Generar los reportes finales que consumen las áreas interesadas.</w:t>
      </w:r>
    </w:p>
    <w:p>
      <w:pPr>
        <w:pStyle w:val="Ttulo1"/>
      </w:pPr>
      <w:bookmarkStart w:id="90000003" w:name="_Toc90000004"/>
      <w:r>
        <w:t xml:space="preserve">2. Resumen ejecutivo</w:t>
      </w:r>
      <w:bookmarkEnd w:id="90000003"/>
    </w:p>
    <w:p/>
    <w:p>
      <w:r>
        <w:t xml:space="preserve">La </w:t>
      </w:r>
      <w:r>
        <w:rPr>
          <w:b/>
          <w:bCs/>
        </w:rPr>
        <w:t xml:space="preserve">ETL Litigios</w:t>
      </w:r>
      <w:r>
        <w:t xml:space="preserve"> automatiza el procesamiento mensual de la información de provisiones de demandas (litigios) </w:t>
      </w:r>
      <w:r>
        <w:rPr>
          <w:b/>
          <w:bCs/>
        </w:rPr>
        <w:t xml:space="preserve">Comerciales, Hipotecarios y Laborales</w:t>
      </w:r>
      <w:r>
        <w:t xml:space="preserve"> contra el banco.</w:t>
      </w:r>
    </w:p>
    <w:p>
      <w:r>
        <w:t xml:space="preserve">El insumo principal proviene de la </w:t>
      </w:r>
      <w:r>
        <w:rPr>
          <w:b/>
          <w:bCs/>
        </w:rPr>
        <w:t xml:space="preserve">EUC Provisión Litigios</w:t>
      </w:r>
      <w:r>
        <w:t xml:space="preserve">, una herramienta de cálculo (tipo Excel/macros) manejada por el área usuaria, que determina cuánto debe provisionar el banco por cada proceso legal en curso. La ETL </w:t>
      </w:r>
      <w:r>
        <w:rPr>
          <w:b/>
          <w:bCs/>
        </w:rPr>
        <w:t xml:space="preserve">no calcula las provisiones</w:t>
      </w:r>
      <w:r>
        <w:t xml:space="preserve">; su función es:</w:t>
      </w:r>
    </w:p>
    <w:p>
      <w:pPr>
        <w:pStyle w:val="Prrafodelista"/>
        <w:numPr>
          <w:ilvl w:val="0"/>
          <w:numId w:val="101"/>
        </w:numPr>
        <w:jc w:val="left"/>
      </w:pPr>
      <w:r>
        <w:rPr>
          <w:b/>
          <w:bCs/>
        </w:rPr>
        <w:t xml:space="preserve">Cargar</w:t>
      </w:r>
      <w:r>
        <w:t xml:space="preserve"> ese cálculo en tablas históricas y trazables dentro de la plataforma de datos del banco.</w:t>
      </w:r>
    </w:p>
    <w:p>
      <w:pPr>
        <w:pStyle w:val="Prrafodelista"/>
        <w:numPr>
          <w:ilvl w:val="0"/>
          <w:numId w:val="101"/>
        </w:numPr>
        <w:jc w:val="left"/>
      </w:pPr>
      <w:r>
        <w:rPr>
          <w:b/>
          <w:bCs/>
        </w:rPr>
        <w:t xml:space="preserve">Conciliar</w:t>
      </w:r>
      <w:r>
        <w:t xml:space="preserve"> el resultado contra los movimientos contables reales registrados en SAP, verificando que ambos coincidan.</w:t>
      </w:r>
    </w:p>
    <w:p>
      <w:pPr>
        <w:pStyle w:val="Prrafodelista"/>
        <w:numPr>
          <w:ilvl w:val="0"/>
          <w:numId w:val="101"/>
        </w:numPr>
        <w:jc w:val="left"/>
      </w:pPr>
      <w:r>
        <w:rPr>
          <w:b/>
          <w:bCs/>
        </w:rPr>
        <w:t xml:space="preserve">Generar reportes</w:t>
      </w:r>
      <w:r>
        <w:t xml:space="preserve"> consolidados y acumulados que se entregan a las áreas contables y de riesgo del banco.</w:t>
      </w:r>
    </w:p>
    <w:p>
      <w:r>
        <w:t xml:space="preserve">En una frase: </w:t>
      </w:r>
      <w:r>
        <w:rPr>
          <w:b/>
          <w:bCs/>
        </w:rPr>
        <w:t xml:space="preserve">la ETL mueve, valida y reporta la información de provisiones de litigios, dejando toda la trazabilidad necesaria mes a mes.</w:t>
      </w:r>
    </w:p>
    <w:p>
      <w:pPr>
        <w:jc w:val="center"/>
      </w:pPr>
      <w:r>
        <w:rPr>
          <w:noProof/>
        </w:rPr>
        <w:drawing>
          <wp:inline distT="0" distB="0" distL="0" distR="0">
            <wp:extent cx="5852160" cy="1097280"/>
            <wp:effectExtent l="0" t="0" r="0" b="0"/>
            <wp:docPr id="1001"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1"/>
                    <pic:cNvPicPr>
                      <a:picLocks noChangeAspect="1"/>
                    </pic:cNvPicPr>
                  </pic:nvPicPr>
                  <pic:blipFill>
                    <a:blip r:embed="rIdImg101"/>
                    <a:stretch>
                      <a:fillRect/>
                    </a:stretch>
                  </pic:blipFill>
                  <pic:spPr>
                    <a:xfrm>
                      <a:off x="0" y="0"/>
                      <a:ext cx="5852160" cy="1097280"/>
                    </a:xfrm>
                    <a:prstGeom prst="rect">
                      <a:avLst/>
                    </a:prstGeom>
                  </pic:spPr>
                </pic:pic>
              </a:graphicData>
            </a:graphic>
          </wp:inline>
        </w:drawing>
      </w:r>
    </w:p>
    <w:p>
      <w:pPr>
        <w:pStyle w:val="Ttulo1"/>
      </w:pPr>
      <w:bookmarkStart w:id="90000005" w:name="_Toc90000006"/>
      <w:r>
        <w:t xml:space="preserve">3. Objetivos</w:t>
      </w:r>
      <w:bookmarkEnd w:id="90000005"/>
    </w:p>
    <w:p/>
    <w:p>
      <w:r>
        <w:rPr>
          <w:b/>
          <w:bCs/>
        </w:rPr>
        <w:t xml:space="preserve">Objetivo general</w:t>
      </w:r>
    </w:p>
    <w:p>
      <w:r>
        <w:t xml:space="preserve">Automatizar la consolidación, validación y reporte mensual de la información de provisiones de litigios comerciales, hipotecarios y laborales del banco.</w:t>
      </w:r>
    </w:p>
    <w:p>
      <w:r>
        <w:rPr>
          <w:b/>
          <w:bCs/>
        </w:rPr>
        <w:t xml:space="preserve">Objetivos específicos</w:t>
      </w:r>
    </w:p>
    <w:p>
      <w:pPr>
        <w:pStyle w:val="Prrafodelista"/>
        <w:numPr>
          <w:ilvl w:val="0"/>
          <w:numId w:val="1"/>
        </w:numPr>
        <w:jc w:val="left"/>
      </w:pPr>
      <w:r>
        <w:t xml:space="preserve">Cargar de forma histórica y trazable el cálculo mensual de provisiones entregado por la EUC.</w:t>
      </w:r>
    </w:p>
    <w:p>
      <w:pPr>
        <w:pStyle w:val="Prrafodelista"/>
        <w:numPr>
          <w:ilvl w:val="0"/>
          <w:numId w:val="1"/>
        </w:numPr>
        <w:jc w:val="left"/>
      </w:pPr>
      <w:r>
        <w:t xml:space="preserve">Garantizar que exista una única versión válida de los datos de cada mes, evitando duplicidades por reprocesos.</w:t>
      </w:r>
    </w:p>
    <w:p>
      <w:pPr>
        <w:pStyle w:val="Prrafodelista"/>
        <w:numPr>
          <w:ilvl w:val="0"/>
          <w:numId w:val="1"/>
        </w:numPr>
        <w:jc w:val="left"/>
      </w:pPr>
      <w:r>
        <w:t xml:space="preserve">Conciliar el valor calculado de las provisiones contra los movimientos contables reales registrados en SAP, para las cuatro sociedades del grupo (Bancolombia, Fiduciaria, Banca de Inversión y Valores).</w:t>
      </w:r>
    </w:p>
    <w:p>
      <w:pPr>
        <w:pStyle w:val="Prrafodelista"/>
        <w:numPr>
          <w:ilvl w:val="0"/>
          <w:numId w:val="1"/>
        </w:numPr>
        <w:jc w:val="left"/>
      </w:pPr>
      <w:r>
        <w:t xml:space="preserve">Generar los reportes mensuales (P1PYACPL, PYG por tipo de litigio y P1PL acumulado) que consumen las áreas contables.</w:t>
      </w:r>
    </w:p>
    <w:p>
      <w:pPr>
        <w:pStyle w:val="Prrafodelista"/>
        <w:numPr>
          <w:ilvl w:val="0"/>
          <w:numId w:val="1"/>
        </w:numPr>
        <w:jc w:val="left"/>
      </w:pPr>
      <w:r>
        <w:t xml:space="preserve">Dejar evidencia (logs) de cada ejecución, exitosa o fallida, para su seguimiento y soporte.</w:t>
      </w:r>
    </w:p>
    <w:p>
      <w:pPr>
        <w:pStyle w:val="Ttulo1"/>
      </w:pPr>
      <w:bookmarkStart w:id="90000007" w:name="_Toc90000008"/>
      <w:r>
        <w:t xml:space="preserve">4. Arquitectura del proceso</w:t>
      </w:r>
      <w:bookmarkEnd w:id="90000007"/>
    </w:p>
    <w:p/>
    <w:p>
      <w:pPr>
        <w:pStyle w:val="Ttulo2"/>
      </w:pPr>
      <w:bookmarkStart w:id="90000009" w:name="_Toc90000010"/>
      <w:r>
        <w:t xml:space="preserve">4.1. Componentes principales</w:t>
      </w:r>
      <w:bookmarkEnd w:id="90000009"/>
    </w:p>
    <w:p/>
    <w:tbl>
      <w:tblPr>
        <w:tblStyle w:val="Tablaconcuadrcula"/>
        <w:tblW w:w="9214" w:type="dxa"/>
        <w:tblLayout w:type="fixed"/>
        <w:tblLook w:val="04A0" w:firstRow="1" w:lastRow="0" w:firstColumn="1" w:lastColumn="0" w:noHBand="0" w:noVBand="1"/>
      </w:tblPr>
      <w:tblGrid>
        <w:gridCol w:w="2948"/>
        <w:gridCol w:w="6266"/>
      </w:tblGrid>
      <w:tr>
        <w:trPr>
          <w:tblHeader/>
        </w:trPr>
        <w:tc>
          <w:tcPr>
            <w:tcW w:w="2948" w:type="dxa"/>
            <w:shd w:val="clear" w:color="auto" w:fill="EDEBE8"/>
            <w:vAlign w:val="center"/>
          </w:tcPr>
          <w:p>
            <w:pPr>
              <w:jc w:val="left"/>
            </w:pPr>
            <w:r>
              <w:rPr>
                <w:b/>
                <w:bCs/>
              </w:rPr>
              <w:t xml:space="preserve">Componente</w:t>
            </w:r>
          </w:p>
        </w:tc>
        <w:tc>
          <w:tcPr>
            <w:tcW w:w="6266" w:type="dxa"/>
            <w:shd w:val="clear" w:color="auto" w:fill="EDEBE8"/>
            <w:vAlign w:val="center"/>
          </w:tcPr>
          <w:p>
            <w:pPr>
              <w:jc w:val="left"/>
            </w:pPr>
            <w:r>
              <w:rPr>
                <w:b/>
                <w:bCs/>
              </w:rPr>
              <w:t xml:space="preserve">Descripción</w:t>
            </w:r>
          </w:p>
        </w:tc>
      </w:tr>
      <w:tr>
        <w:tc>
          <w:tcPr>
            <w:tcW w:w="2948" w:type="dxa"/>
            <w:vAlign w:val="center"/>
          </w:tcPr>
          <w:p>
            <w:pPr>
              <w:jc w:val="left"/>
            </w:pPr>
            <w:r>
              <w:rPr>
                <w:b/>
                <w:bCs/>
              </w:rPr>
              <w:t xml:space="preserve">EUC Provisión Litigios</w:t>
            </w:r>
          </w:p>
        </w:tc>
        <w:tc>
          <w:tcPr>
            <w:tcW w:w="6266" w:type="dxa"/>
            <w:vAlign w:val="center"/>
          </w:tcPr>
          <w:p>
            <w:pPr>
              <w:jc w:val="left"/>
            </w:pPr>
            <w:r>
              <w:t xml:space="preserve">Herramienta externa (fuera de este proyecto) que calcula el valor de las provisiones de cada litigio y deja el resultado en la zona de procesos.</w:t>
            </w:r>
          </w:p>
        </w:tc>
      </w:tr>
      <w:tr>
        <w:tc>
          <w:tcPr>
            <w:tcW w:w="2948" w:type="dxa"/>
            <w:vAlign w:val="center"/>
          </w:tcPr>
          <w:p>
            <w:pPr>
              <w:jc w:val="left"/>
            </w:pPr>
            <w:r>
              <w:rPr>
                <w:b/>
                <w:bCs/>
              </w:rPr>
              <w:t xml:space="preserve">Zona de Procesos</w:t>
            </w:r>
            <w:r>
              <w:t xml:space="preserve"> (</w:t>
            </w:r>
            <w:r>
              <w:rPr>
                <w:rFonts w:ascii="Consolas" w:hAnsi="Consolas" w:cs="Consolas"/>
              </w:rPr>
              <w:t xml:space="preserve">proceso_vspc_serv</w:t>
            </w:r>
            <w:r>
              <w:t xml:space="preserve">)</w:t>
            </w:r>
          </w:p>
        </w:tc>
        <w:tc>
          <w:tcPr>
            <w:tcW w:w="6266" w:type="dxa"/>
            <w:vAlign w:val="center"/>
          </w:tcPr>
          <w:p>
            <w:pPr>
              <w:jc w:val="left"/>
            </w:pPr>
            <w:r>
              <w:t xml:space="preserve">Base de datos intermedia donde se realizan cálculos temporales y se recibe el insumo de la EUC.</w:t>
            </w:r>
          </w:p>
        </w:tc>
      </w:tr>
      <w:tr>
        <w:tc>
          <w:tcPr>
            <w:tcW w:w="2948" w:type="dxa"/>
            <w:vAlign w:val="center"/>
          </w:tcPr>
          <w:p>
            <w:pPr>
              <w:jc w:val="left"/>
            </w:pPr>
            <w:r>
              <w:rPr>
                <w:b/>
                <w:bCs/>
              </w:rPr>
              <w:t xml:space="preserve">Zona de Resultados</w:t>
            </w:r>
            <w:r>
              <w:t xml:space="preserve"> (</w:t>
            </w:r>
            <w:r>
              <w:rPr>
                <w:rFonts w:ascii="Consolas" w:hAnsi="Consolas" w:cs="Consolas"/>
              </w:rPr>
              <w:t xml:space="preserve">resultados_vspc_serv</w:t>
            </w:r>
            <w:r>
              <w:t xml:space="preserve">)</w:t>
            </w:r>
          </w:p>
        </w:tc>
        <w:tc>
          <w:tcPr>
            <w:tcW w:w="6266" w:type="dxa"/>
            <w:vAlign w:val="center"/>
          </w:tcPr>
          <w:p>
            <w:pPr>
              <w:jc w:val="left"/>
            </w:pPr>
            <w:r>
              <w:t xml:space="preserve">Base de datos final donde quedan las tablas históricas oficiales: el detalle de provisiones, la conciliación y los reportes.</w:t>
            </w:r>
          </w:p>
        </w:tc>
      </w:tr>
      <w:tr>
        <w:tc>
          <w:tcPr>
            <w:tcW w:w="2948" w:type="dxa"/>
            <w:vAlign w:val="center"/>
          </w:tcPr>
          <w:p>
            <w:pPr>
              <w:jc w:val="left"/>
            </w:pPr>
            <w:r>
              <w:rPr>
                <w:b/>
                <w:bCs/>
              </w:rPr>
              <w:t xml:space="preserve">Motor de consulta (Impala)</w:t>
            </w:r>
          </w:p>
        </w:tc>
        <w:tc>
          <w:tcPr>
            <w:tcW w:w="6266" w:type="dxa"/>
            <w:vAlign w:val="center"/>
          </w:tcPr>
          <w:p>
            <w:pPr>
              <w:jc w:val="left"/>
            </w:pPr>
            <w:r>
              <w:t xml:space="preserve">Motor que ejecuta las consultas SQL sobre la plataforma de datos en la nube (formato Parquet).</w:t>
            </w:r>
          </w:p>
        </w:tc>
      </w:tr>
      <w:tr>
        <w:tc>
          <w:tcPr>
            <w:tcW w:w="2948" w:type="dxa"/>
            <w:vAlign w:val="center"/>
          </w:tcPr>
          <w:p>
            <w:pPr>
              <w:jc w:val="left"/>
            </w:pPr>
            <w:r>
              <w:rPr>
                <w:b/>
                <w:bCs/>
              </w:rPr>
              <w:t xml:space="preserve">Orquestador2</w:t>
            </w:r>
          </w:p>
        </w:tc>
        <w:tc>
          <w:tcPr>
            <w:tcW w:w="6266" w:type="dxa"/>
            <w:vAlign w:val="center"/>
          </w:tcPr>
          <w:p>
            <w:pPr>
              <w:jc w:val="left"/>
            </w:pPr>
            <w:r>
              <w:t xml:space="preserve">Librería interna del banco que coordina la ejecución de los pasos del proceso, en el orden definido, y administra logs y manejo de errores.</w:t>
            </w:r>
          </w:p>
        </w:tc>
      </w:tr>
      <w:tr>
        <w:tc>
          <w:tcPr>
            <w:tcW w:w="2948" w:type="dxa"/>
            <w:vAlign w:val="center"/>
          </w:tcPr>
          <w:p>
            <w:pPr>
              <w:jc w:val="left"/>
            </w:pPr>
            <w:r>
              <w:rPr>
                <w:b/>
                <w:bCs/>
              </w:rPr>
              <w:t xml:space="preserve">ETL Litigios</w:t>
            </w:r>
            <w:r>
              <w:t xml:space="preserve"> (este proyecto)</w:t>
            </w:r>
          </w:p>
        </w:tc>
        <w:tc>
          <w:tcPr>
            <w:tcW w:w="6266" w:type="dxa"/>
            <w:vAlign w:val="center"/>
          </w:tcPr>
          <w:p>
            <w:pPr>
              <w:jc w:val="left"/>
            </w:pPr>
            <w:r>
              <w:t xml:space="preserve">Paquete de Python que define, mediante el orquestador, la secuencia de tareas SQL que se deben ejecutar cada mes.</w:t>
            </w:r>
          </w:p>
        </w:tc>
      </w:tr>
    </w:tbl>
    <w:p/>
    <w:p>
      <w:pPr>
        <w:pStyle w:val="Ttulo2"/>
      </w:pPr>
      <w:bookmarkStart w:id="90000011" w:name="_Toc90000012"/>
      <w:r>
        <w:t xml:space="preserve">4.2. Cómo está construido el proyecto</w:t>
      </w:r>
      <w:bookmarkEnd w:id="90000011"/>
    </w:p>
    <w:p/>
    <w:p>
      <w:r>
        <w:t xml:space="preserve">El proyecto es un </w:t>
      </w:r>
      <w:r>
        <w:rPr>
          <w:b/>
          <w:bCs/>
        </w:rPr>
        <w:t xml:space="preserve">paquete de Python</w:t>
      </w:r>
      <w:r>
        <w:t xml:space="preserve"> que se apoya en librerías internas del banco. La lógica de negocio (los cálculos y transformaciones) está escrita </w:t>
      </w:r>
      <w:r>
        <w:rPr>
          <w:b/>
          <w:bCs/>
        </w:rPr>
        <w:t xml:space="preserve">en su totalidad en archivos SQL</w:t>
      </w:r>
      <w:r>
        <w:t xml:space="preserve">; el código Python únicamente decide </w:t>
      </w:r>
      <w:r>
        <w:rPr>
          <w:b/>
          <w:bCs/>
        </w:rPr>
        <w:t xml:space="preserve">el orden</w:t>
      </w:r>
      <w:r>
        <w:t xml:space="preserve"> en que se ejecutan esos archivos y les inyecta los parámetros necesarios (fechas, nombres de tablas, etc.).</w:t>
      </w:r>
    </w:p>
    <w:p>
      <w:pPr>
        <w:jc w:val="center"/>
      </w:pPr>
      <w:r>
        <w:rPr>
          <w:noProof/>
        </w:rPr>
        <w:drawing>
          <wp:inline distT="0" distB="0" distL="0" distR="0">
            <wp:extent cx="5852160" cy="2615184"/>
            <wp:effectExtent l="0" t="0" r="0" b="0"/>
            <wp:docPr id="1002" name="Imagen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2"/>
                    <pic:cNvPicPr>
                      <a:picLocks noChangeAspect="1"/>
                    </pic:cNvPicPr>
                  </pic:nvPicPr>
                  <pic:blipFill>
                    <a:blip r:embed="rIdImg102"/>
                    <a:stretch>
                      <a:fillRect/>
                    </a:stretch>
                  </pic:blipFill>
                  <pic:spPr>
                    <a:xfrm>
                      <a:off x="0" y="0"/>
                      <a:ext cx="5852160" cy="2615184"/>
                    </a:xfrm>
                    <a:prstGeom prst="rect">
                      <a:avLst/>
                    </a:prstGeom>
                  </pic:spPr>
                </pic:pic>
              </a:graphicData>
            </a:graphic>
          </wp:inline>
        </w:drawing>
      </w:r>
    </w:p>
    <w:p>
      <w:pPr>
        <w:pStyle w:val="Ttulo2"/>
      </w:pPr>
      <w:bookmarkStart w:id="90000013" w:name="_Toc90000014"/>
      <w:r>
        <w:t xml:space="preserve">4.3. Convención de nombres de tablas</w:t>
      </w:r>
      <w:bookmarkEnd w:id="90000013"/>
    </w:p>
    <w:p/>
    <w:p>
      <w:r>
        <w:t xml:space="preserve">Los nombres de las tablas usados en los SQL están </w:t>
      </w:r>
      <w:r>
        <w:rPr>
          <w:b/>
          <w:bCs/>
        </w:rPr>
        <w:t xml:space="preserve">parametrizados</w:t>
      </w:r>
      <w:r>
        <w:t xml:space="preserve"> entre llaves (</w:t>
      </w:r>
      <w:r>
        <w:rPr>
          <w:rFonts w:ascii="Consolas" w:hAnsi="Consolas" w:cs="Consolas"/>
        </w:rPr>
        <w:t xml:space="preserve">{...}</w:t>
      </w:r>
      <w:r>
        <w:t xml:space="preserve">). Al ejecutarse, esas llaves se reemplazan por los valores definidos en </w:t>
      </w:r>
      <w:r>
        <w:rPr>
          <w:rFonts w:ascii="Consolas" w:hAnsi="Consolas" w:cs="Consolas"/>
        </w:rPr>
        <w:t xml:space="preserve">config.json</w:t>
      </w:r>
      <w:r>
        <w:t xml:space="preserve">. Por ejemplo:</w:t>
      </w:r>
    </w:p>
    <w:tbl>
      <w:tblPr>
        <w:tblStyle w:val="Tablaconcuadrcula"/>
        <w:tblW w:w="9214" w:type="dxa"/>
        <w:tblLayout w:type="fixed"/>
        <w:tblLook w:val="04A0" w:firstRow="1" w:lastRow="0" w:firstColumn="1" w:lastColumn="0" w:noHBand="0" w:noVBand="1"/>
      </w:tblPr>
      <w:tblGrid>
        <w:gridCol w:w="4146"/>
        <w:gridCol w:w="5068"/>
      </w:tblGrid>
      <w:tr>
        <w:trPr>
          <w:tblHeader/>
        </w:trPr>
        <w:tc>
          <w:tcPr>
            <w:tcW w:w="4146" w:type="dxa"/>
            <w:shd w:val="clear" w:color="auto" w:fill="EDEBE8"/>
            <w:vAlign w:val="center"/>
          </w:tcPr>
          <w:p>
            <w:pPr>
              <w:jc w:val="left"/>
            </w:pPr>
            <w:r>
              <w:rPr>
                <w:b/>
                <w:bCs/>
              </w:rPr>
              <w:t xml:space="preserve">Parámetro</w:t>
            </w:r>
          </w:p>
        </w:tc>
        <w:tc>
          <w:tcPr>
            <w:tcW w:w="5068" w:type="dxa"/>
            <w:shd w:val="clear" w:color="auto" w:fill="EDEBE8"/>
            <w:vAlign w:val="center"/>
          </w:tcPr>
          <w:p>
            <w:pPr>
              <w:jc w:val="left"/>
            </w:pPr>
            <w:r>
              <w:rPr>
                <w:b/>
                <w:bCs/>
              </w:rPr>
              <w:t xml:space="preserve">Valor</w:t>
            </w:r>
          </w:p>
        </w:tc>
      </w:tr>
      <w:tr>
        <w:tc>
          <w:tcPr>
            <w:tcW w:w="4146" w:type="dxa"/>
            <w:vAlign w:val="center"/>
          </w:tcPr>
          <w:p>
            <w:pPr>
              <w:jc w:val="left"/>
            </w:pPr>
            <w:r>
              <w:rPr>
                <w:rFonts w:ascii="Consolas" w:hAnsi="Consolas" w:cs="Consolas"/>
              </w:rPr>
              <w:t xml:space="preserve">{indice}</w:t>
            </w:r>
          </w:p>
        </w:tc>
        <w:tc>
          <w:tcPr>
            <w:tcW w:w="5068" w:type="dxa"/>
            <w:vAlign w:val="center"/>
          </w:tcPr>
          <w:p>
            <w:pPr>
              <w:jc w:val="left"/>
            </w:pPr>
            <w:r>
              <w:rPr>
                <w:rFonts w:ascii="Consolas" w:hAnsi="Consolas" w:cs="Consolas"/>
              </w:rPr>
              <w:t xml:space="preserve">litig</w:t>
            </w:r>
          </w:p>
        </w:tc>
      </w:tr>
      <w:tr>
        <w:tc>
          <w:tcPr>
            <w:tcW w:w="4146" w:type="dxa"/>
            <w:vAlign w:val="center"/>
          </w:tcPr>
          <w:p>
            <w:pPr>
              <w:jc w:val="left"/>
            </w:pPr>
            <w:r>
              <w:rPr>
                <w:rFonts w:ascii="Consolas" w:hAnsi="Consolas" w:cs="Consolas"/>
              </w:rPr>
              <w:t xml:space="preserve">{zona_p}</w:t>
            </w:r>
            <w:r>
              <w:t xml:space="preserve"> (zona de procesos)</w:t>
            </w:r>
          </w:p>
        </w:tc>
        <w:tc>
          <w:tcPr>
            <w:tcW w:w="5068" w:type="dxa"/>
            <w:vAlign w:val="center"/>
          </w:tcPr>
          <w:p>
            <w:pPr>
              <w:jc w:val="left"/>
            </w:pPr>
            <w:r>
              <w:rPr>
                <w:rFonts w:ascii="Consolas" w:hAnsi="Consolas" w:cs="Consolas"/>
              </w:rPr>
              <w:t xml:space="preserve">proceso_vspc_serv</w:t>
            </w:r>
          </w:p>
        </w:tc>
      </w:tr>
      <w:tr>
        <w:tc>
          <w:tcPr>
            <w:tcW w:w="4146" w:type="dxa"/>
            <w:vAlign w:val="center"/>
          </w:tcPr>
          <w:p>
            <w:pPr>
              <w:jc w:val="left"/>
            </w:pPr>
            <w:r>
              <w:rPr>
                <w:rFonts w:ascii="Consolas" w:hAnsi="Consolas" w:cs="Consolas"/>
              </w:rPr>
              <w:t xml:space="preserve">{zona_r}</w:t>
            </w:r>
            <w:r>
              <w:t xml:space="preserve"> (zona de resultados)</w:t>
            </w:r>
          </w:p>
        </w:tc>
        <w:tc>
          <w:tcPr>
            <w:tcW w:w="5068" w:type="dxa"/>
            <w:vAlign w:val="center"/>
          </w:tcPr>
          <w:p>
            <w:pPr>
              <w:jc w:val="left"/>
            </w:pPr>
            <w:r>
              <w:rPr>
                <w:rFonts w:ascii="Consolas" w:hAnsi="Consolas" w:cs="Consolas"/>
              </w:rPr>
              <w:t xml:space="preserve">resultados_vspc_serv</w:t>
            </w:r>
          </w:p>
        </w:tc>
      </w:tr>
      <w:tr>
        <w:tc>
          <w:tcPr>
            <w:tcW w:w="4146" w:type="dxa"/>
            <w:vAlign w:val="center"/>
          </w:tcPr>
          <w:p>
            <w:pPr>
              <w:jc w:val="left"/>
            </w:pPr>
            <w:r>
              <w:rPr>
                <w:rFonts w:ascii="Consolas" w:hAnsi="Consolas" w:cs="Consolas"/>
              </w:rPr>
              <w:t xml:space="preserve">{tabla}</w:t>
            </w:r>
          </w:p>
        </w:tc>
        <w:tc>
          <w:tcPr>
            <w:tcW w:w="5068" w:type="dxa"/>
            <w:vAlign w:val="center"/>
          </w:tcPr>
          <w:p>
            <w:pPr>
              <w:jc w:val="left"/>
            </w:pPr>
            <w:r>
              <w:rPr>
                <w:rFonts w:ascii="Consolas" w:hAnsi="Consolas" w:cs="Consolas"/>
              </w:rPr>
              <w:t xml:space="preserve">provision</w:t>
            </w:r>
          </w:p>
        </w:tc>
      </w:tr>
      <w:tr>
        <w:tc>
          <w:tcPr>
            <w:tcW w:w="4146" w:type="dxa"/>
            <w:vAlign w:val="center"/>
          </w:tcPr>
          <w:p>
            <w:pPr>
              <w:jc w:val="left"/>
            </w:pPr>
            <w:r>
              <w:rPr>
                <w:rFonts w:ascii="Consolas" w:hAnsi="Consolas" w:cs="Consolas"/>
              </w:rPr>
              <w:t xml:space="preserve">{tabla_param}</w:t>
            </w:r>
          </w:p>
        </w:tc>
        <w:tc>
          <w:tcPr>
            <w:tcW w:w="5068" w:type="dxa"/>
            <w:vAlign w:val="center"/>
          </w:tcPr>
          <w:p>
            <w:pPr>
              <w:jc w:val="left"/>
            </w:pPr>
            <w:r>
              <w:rPr>
                <w:rFonts w:ascii="Consolas" w:hAnsi="Consolas" w:cs="Consolas"/>
              </w:rPr>
              <w:t xml:space="preserve">parametros_cuentas</w:t>
            </w:r>
          </w:p>
        </w:tc>
      </w:tr>
    </w:tbl>
    <w:p/>
    <w:p>
      <w:r>
        <w:rPr>
          <w:rFonts w:ascii="Consolas" w:hAnsi="Consolas" w:cs="Consolas"/>
        </w:rPr>
        <w:t xml:space="preserve">{zona_r}.{indice}_{tabla}_hist</w:t>
      </w:r>
      <w:r>
        <w:t xml:space="preserve"> → se convierte en → </w:t>
      </w:r>
      <w:r>
        <w:rPr>
          <w:rFonts w:ascii="Consolas" w:hAnsi="Consolas" w:cs="Consolas"/>
        </w:rPr>
        <w:t xml:space="preserve">resultados_vspc_serv.litig_provision_hist</w:t>
      </w:r>
    </w:p>
    <w:p>
      <w:r>
        <w:t xml:space="preserve">Esto significa que </w:t>
      </w:r>
      <w:r>
        <w:rPr>
          <w:b/>
          <w:bCs/>
        </w:rPr>
        <w:t xml:space="preserve">ningún nombre de tabla está escrito directamente en la lógica</w:t>
      </w:r>
      <w:r>
        <w:t xml:space="preserve">: todos provienen de un único archivo de configuración, lo que facilita su mantenimiento y control de cambios.</w:t>
      </w:r>
    </w:p>
    <w:p>
      <w:pPr>
        <w:pStyle w:val="Ttulo1"/>
      </w:pPr>
      <w:bookmarkStart w:id="90000015" w:name="_Toc90000016"/>
      <w:r>
        <w:t xml:space="preserve">5. Tablas de entrada (insumos)</w:t>
      </w:r>
      <w:bookmarkEnd w:id="90000015"/>
    </w:p>
    <w:p/>
    <w:p>
      <w:r>
        <w:t xml:space="preserve">El proceso recibe la información que necesita procesar cada mes desde tablas que ya se encuentran cargadas en la plataforma de datos del banco. Estas son las tablas que la ETL </w:t>
      </w:r>
      <w:r>
        <w:rPr>
          <w:b/>
          <w:bCs/>
        </w:rPr>
        <w:t xml:space="preserve">lee</w:t>
      </w:r>
      <w:r>
        <w:t xml:space="preserve"> como punto de partida:</w:t>
      </w:r>
    </w:p>
    <w:tbl>
      <w:tblPr>
        <w:tblStyle w:val="Tablaconcuadrcula"/>
        <w:tblW w:w="9214" w:type="dxa"/>
        <w:tblLayout w:type="fixed"/>
        <w:tblLook w:val="04A0" w:firstRow="1" w:lastRow="0" w:firstColumn="1" w:lastColumn="0" w:noHBand="0" w:noVBand="1"/>
      </w:tblPr>
      <w:tblGrid>
        <w:gridCol w:w="2579"/>
        <w:gridCol w:w="4791"/>
        <w:gridCol w:w="1844"/>
      </w:tblGrid>
      <w:tr>
        <w:trPr>
          <w:tblHeader/>
        </w:trPr>
        <w:tc>
          <w:tcPr>
            <w:tcW w:w="2579" w:type="dxa"/>
            <w:shd w:val="clear" w:color="auto" w:fill="EDEBE8"/>
            <w:vAlign w:val="center"/>
          </w:tcPr>
          <w:p>
            <w:pPr>
              <w:jc w:val="left"/>
            </w:pPr>
            <w:r>
              <w:rPr>
                <w:b/>
                <w:bCs/>
              </w:rPr>
              <w:t xml:space="preserve">Nombre de Insumo</w:t>
            </w:r>
          </w:p>
        </w:tc>
        <w:tc>
          <w:tcPr>
            <w:tcW w:w="4791" w:type="dxa"/>
            <w:shd w:val="clear" w:color="auto" w:fill="EDEBE8"/>
            <w:vAlign w:val="center"/>
          </w:tcPr>
          <w:p>
            <w:pPr>
              <w:jc w:val="left"/>
            </w:pPr>
            <w:r>
              <w:rPr>
                <w:b/>
                <w:bCs/>
              </w:rPr>
              <w:t xml:space="preserve">Descripción / contenido</w:t>
            </w:r>
          </w:p>
        </w:tc>
        <w:tc>
          <w:tcPr>
            <w:tcW w:w="1844" w:type="dxa"/>
            <w:shd w:val="clear" w:color="auto" w:fill="EDEBE8"/>
            <w:vAlign w:val="center"/>
          </w:tcPr>
          <w:p>
            <w:pPr>
              <w:jc w:val="left"/>
            </w:pPr>
            <w:r>
              <w:rPr>
                <w:b/>
                <w:bCs/>
              </w:rPr>
              <w:t xml:space="preserve">Ubicación / origen</w:t>
            </w:r>
          </w:p>
        </w:tc>
      </w:tr>
      <w:tr>
        <w:tc>
          <w:tcPr>
            <w:tcW w:w="2579" w:type="dxa"/>
            <w:vAlign w:val="center"/>
          </w:tcPr>
          <w:p>
            <w:pPr>
              <w:jc w:val="left"/>
            </w:pPr>
            <w:r>
              <w:rPr>
                <w:rFonts w:ascii="Consolas" w:hAnsi="Consolas" w:cs="Consolas"/>
              </w:rPr>
              <w:t xml:space="preserve">litig_provision_hist</w:t>
            </w:r>
          </w:p>
        </w:tc>
        <w:tc>
          <w:tcPr>
            <w:tcW w:w="4791" w:type="dxa"/>
            <w:vAlign w:val="center"/>
          </w:tcPr>
          <w:p>
            <w:pPr>
              <w:jc w:val="left"/>
            </w:pPr>
            <w:r>
              <w:t xml:space="preserve">Historial con el detalle del cálculo de los litigios realizado por la EUC Provisión Litigios (cuantías, provisiones, calificación del proceso, fechas, cuentas contables asociadas y ajustes calculados).</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litig_parametros_cuentas_hist</w:t>
            </w:r>
          </w:p>
        </w:tc>
        <w:tc>
          <w:tcPr>
            <w:tcW w:w="4791" w:type="dxa"/>
            <w:vAlign w:val="center"/>
          </w:tcPr>
          <w:p>
            <w:pPr>
              <w:jc w:val="left"/>
            </w:pPr>
            <w:r>
              <w:t xml:space="preserve">Dato maestro con las cuentas contables afectadas en el proceso, según el tipo de litigio y el tipo de ajuste (8 cuentas por litigio).</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fcr_sap_saldos_diarios_banco</w:t>
            </w:r>
          </w:p>
        </w:tc>
        <w:tc>
          <w:tcPr>
            <w:tcW w:w="4791" w:type="dxa"/>
            <w:vAlign w:val="center"/>
          </w:tcPr>
          <w:p>
            <w:pPr>
              <w:jc w:val="left"/>
            </w:pPr>
            <w:r>
              <w:t xml:space="preserve">Saldos contables diarios registrados en SAP para la sociedad Bancolombia, usados como fuente oficial para la conciliación.</w:t>
            </w:r>
          </w:p>
        </w:tc>
        <w:tc>
          <w:tcPr>
            <w:tcW w:w="1844" w:type="dxa"/>
            <w:vAlign w:val="center"/>
          </w:tcPr>
          <w:p>
            <w:pPr>
              <w:jc w:val="left"/>
            </w:pPr>
            <w:r>
              <w:rPr>
                <w:rFonts w:ascii="Consolas" w:hAnsi="Consolas" w:cs="Consolas"/>
              </w:rPr>
              <w:t xml:space="preserve">resultados_fcr</w:t>
            </w:r>
          </w:p>
        </w:tc>
      </w:tr>
      <w:tr>
        <w:tc>
          <w:tcPr>
            <w:tcW w:w="2579" w:type="dxa"/>
            <w:vAlign w:val="center"/>
          </w:tcPr>
          <w:p>
            <w:pPr>
              <w:jc w:val="left"/>
            </w:pPr>
            <w:r>
              <w:rPr>
                <w:rFonts w:ascii="Consolas" w:hAnsi="Consolas" w:cs="Consolas"/>
              </w:rPr>
              <w:t xml:space="preserve">Fcr_sap_saldos_diarios_fiduc</w:t>
            </w:r>
          </w:p>
        </w:tc>
        <w:tc>
          <w:tcPr>
            <w:tcW w:w="4791" w:type="dxa"/>
            <w:vAlign w:val="center"/>
          </w:tcPr>
          <w:p>
            <w:pPr>
              <w:jc w:val="left"/>
            </w:pPr>
            <w:r>
              <w:t xml:space="preserve">Saldos contables diarios registrados en SAP para la sociedad Fiduciaria, usados como fuente oficial para la conciliación.</w:t>
            </w:r>
          </w:p>
        </w:tc>
        <w:tc>
          <w:tcPr>
            <w:tcW w:w="1844" w:type="dxa"/>
            <w:vAlign w:val="center"/>
          </w:tcPr>
          <w:p>
            <w:pPr>
              <w:jc w:val="left"/>
            </w:pPr>
            <w:r>
              <w:rPr>
                <w:rFonts w:ascii="Consolas" w:hAnsi="Consolas" w:cs="Consolas"/>
              </w:rPr>
              <w:t xml:space="preserve">resultados_fcr</w:t>
            </w:r>
          </w:p>
        </w:tc>
      </w:tr>
      <w:tr>
        <w:tc>
          <w:tcPr>
            <w:tcW w:w="2579" w:type="dxa"/>
            <w:vAlign w:val="center"/>
          </w:tcPr>
          <w:p>
            <w:pPr>
              <w:jc w:val="left"/>
            </w:pPr>
            <w:r>
              <w:rPr>
                <w:rFonts w:ascii="Consolas" w:hAnsi="Consolas" w:cs="Consolas"/>
              </w:rPr>
              <w:t xml:space="preserve">fcr_sap_saldos_diarios_banin</w:t>
            </w:r>
          </w:p>
        </w:tc>
        <w:tc>
          <w:tcPr>
            <w:tcW w:w="4791" w:type="dxa"/>
            <w:vAlign w:val="center"/>
          </w:tcPr>
          <w:p>
            <w:pPr>
              <w:jc w:val="left"/>
            </w:pPr>
            <w:r>
              <w:t xml:space="preserve">Saldos contables diarios registrados en SAP para la sociedad Banca de Inversión, usados como fuente oficial para la conciliación.</w:t>
            </w:r>
          </w:p>
        </w:tc>
        <w:tc>
          <w:tcPr>
            <w:tcW w:w="1844" w:type="dxa"/>
            <w:vAlign w:val="center"/>
          </w:tcPr>
          <w:p>
            <w:pPr>
              <w:jc w:val="left"/>
            </w:pPr>
            <w:r>
              <w:rPr>
                <w:rFonts w:ascii="Consolas" w:hAnsi="Consolas" w:cs="Consolas"/>
              </w:rPr>
              <w:t xml:space="preserve">resultados_fcr</w:t>
            </w:r>
          </w:p>
        </w:tc>
      </w:tr>
      <w:tr>
        <w:tc>
          <w:tcPr>
            <w:tcW w:w="2579" w:type="dxa"/>
            <w:vAlign w:val="center"/>
          </w:tcPr>
          <w:p>
            <w:pPr>
              <w:jc w:val="left"/>
            </w:pPr>
            <w:r>
              <w:rPr>
                <w:rFonts w:ascii="Consolas" w:hAnsi="Consolas" w:cs="Consolas"/>
              </w:rPr>
              <w:t xml:space="preserve">fcr_sap_saldos_diarios_valor</w:t>
            </w:r>
          </w:p>
        </w:tc>
        <w:tc>
          <w:tcPr>
            <w:tcW w:w="4791" w:type="dxa"/>
            <w:vAlign w:val="center"/>
          </w:tcPr>
          <w:p>
            <w:pPr>
              <w:jc w:val="left"/>
            </w:pPr>
            <w:r>
              <w:t xml:space="preserve">Saldos contables diarios registrados en SAP para la sociedad Valores, usados como fuente oficial para la conciliación.</w:t>
            </w:r>
          </w:p>
        </w:tc>
        <w:tc>
          <w:tcPr>
            <w:tcW w:w="1844" w:type="dxa"/>
            <w:vAlign w:val="center"/>
          </w:tcPr>
          <w:p>
            <w:pPr>
              <w:jc w:val="left"/>
            </w:pPr>
            <w:r>
              <w:rPr>
                <w:rFonts w:ascii="Consolas" w:hAnsi="Consolas" w:cs="Consolas"/>
              </w:rPr>
              <w:t xml:space="preserve">resultados_fcr</w:t>
            </w:r>
          </w:p>
        </w:tc>
      </w:tr>
      <w:tr>
        <w:tc>
          <w:tcPr>
            <w:tcW w:w="2579" w:type="dxa"/>
            <w:vAlign w:val="center"/>
          </w:tcPr>
          <w:p>
            <w:pPr>
              <w:jc w:val="left"/>
            </w:pPr>
            <w:r>
              <w:rPr>
                <w:rFonts w:ascii="Consolas" w:hAnsi="Consolas" w:cs="Consolas"/>
              </w:rPr>
              <w:t xml:space="preserve">litig_p1pl_hist</w:t>
            </w:r>
            <w:r>
              <w:t xml:space="preserve"> (corte del mes anterior)</w:t>
            </w:r>
          </w:p>
        </w:tc>
        <w:tc>
          <w:tcPr>
            <w:tcW w:w="4791" w:type="dxa"/>
            <w:vAlign w:val="center"/>
          </w:tcPr>
          <w:p>
            <w:pPr>
              <w:jc w:val="left"/>
            </w:pPr>
            <w:r>
              <w:t xml:space="preserve">Reporte P1PL acumulado del mes anterior, usado como saldo inicial para construir el reporte P1PL del mes en curso.</w:t>
            </w:r>
          </w:p>
        </w:tc>
        <w:tc>
          <w:tcPr>
            <w:tcW w:w="1844" w:type="dxa"/>
            <w:vAlign w:val="center"/>
          </w:tcPr>
          <w:p>
            <w:pPr>
              <w:jc w:val="left"/>
            </w:pPr>
            <w:r>
              <w:rPr>
                <w:rFonts w:ascii="Consolas" w:hAnsi="Consolas" w:cs="Consolas"/>
              </w:rPr>
              <w:t xml:space="preserve">resultados_vspc_serv</w:t>
            </w:r>
          </w:p>
        </w:tc>
      </w:tr>
    </w:tbl>
    <w:p/>
    <w:p>
      <w:r>
        <w:t xml:space="preserve">Sin el insumo de la EUC (</w:t>
      </w:r>
      <w:r>
        <w:rPr>
          <w:rFonts w:ascii="Consolas" w:hAnsi="Consolas" w:cs="Consolas"/>
        </w:rPr>
        <w:t xml:space="preserve">litig_provision_hist</w:t>
      </w:r>
      <w:r>
        <w:t xml:space="preserve">), el proceso no tiene información para procesar en el mes.</w:t>
      </w:r>
    </w:p>
    <w:p>
      <w:pPr>
        <w:pStyle w:val="Ttulo2"/>
      </w:pPr>
      <w:bookmarkStart w:id="90000017" w:name="_Toc90000018"/>
      <w:r>
        <w:t xml:space="preserve">Tablas intermedias generadas durante el proceso</w:t>
      </w:r>
      <w:bookmarkEnd w:id="90000017"/>
    </w:p>
    <w:p/>
    <w:p>
      <w:r>
        <w:t xml:space="preserve">Además de los insumos anteriores, el proceso crea y recrea, en cada ejecución, tablas de apoyo dentro de la zona de procesos:</w:t>
      </w:r>
    </w:p>
    <w:tbl>
      <w:tblPr>
        <w:tblStyle w:val="Tablaconcuadrcula"/>
        <w:tblW w:w="9214" w:type="dxa"/>
        <w:tblLayout w:type="fixed"/>
        <w:tblLook w:val="04A0" w:firstRow="1" w:lastRow="0" w:firstColumn="1" w:lastColumn="0" w:noHBand="0" w:noVBand="1"/>
      </w:tblPr>
      <w:tblGrid>
        <w:gridCol w:w="2948"/>
        <w:gridCol w:w="6266"/>
      </w:tblGrid>
      <w:tr>
        <w:trPr>
          <w:tblHeader/>
        </w:trPr>
        <w:tc>
          <w:tcPr>
            <w:tcW w:w="2948" w:type="dxa"/>
            <w:shd w:val="clear" w:color="auto" w:fill="EDEBE8"/>
            <w:vAlign w:val="center"/>
          </w:tcPr>
          <w:p>
            <w:pPr>
              <w:jc w:val="left"/>
            </w:pPr>
            <w:r>
              <w:rPr>
                <w:b/>
                <w:bCs/>
              </w:rPr>
              <w:t xml:space="preserve">Tabla</w:t>
            </w:r>
          </w:p>
        </w:tc>
        <w:tc>
          <w:tcPr>
            <w:tcW w:w="6266" w:type="dxa"/>
            <w:shd w:val="clear" w:color="auto" w:fill="EDEBE8"/>
            <w:vAlign w:val="center"/>
          </w:tcPr>
          <w:p>
            <w:pPr>
              <w:jc w:val="left"/>
            </w:pPr>
            <w:r>
              <w:rPr>
                <w:b/>
                <w:bCs/>
              </w:rPr>
              <w:t xml:space="preserve">Para qué sirve</w:t>
            </w:r>
          </w:p>
        </w:tc>
      </w:tr>
      <w:tr>
        <w:tc>
          <w:tcPr>
            <w:tcW w:w="2948" w:type="dxa"/>
            <w:vAlign w:val="center"/>
          </w:tcPr>
          <w:p>
            <w:pPr>
              <w:jc w:val="left"/>
            </w:pPr>
            <w:r>
              <w:rPr>
                <w:rFonts w:ascii="Consolas" w:hAnsi="Consolas" w:cs="Consolas"/>
              </w:rPr>
              <w:t xml:space="preserve">litig_last_provision</w:t>
            </w:r>
          </w:p>
        </w:tc>
        <w:tc>
          <w:tcPr>
            <w:tcW w:w="6266" w:type="dxa"/>
            <w:vAlign w:val="center"/>
          </w:tcPr>
          <w:p>
            <w:pPr>
              <w:jc w:val="left"/>
            </w:pPr>
            <w:r>
              <w:t xml:space="preserve">Contiene únicamente la información más reciente (última ingestión) de las provisiones del mes que se está procesando, evitando trabajar con datos duplicados por reprocesos.</w:t>
            </w:r>
          </w:p>
        </w:tc>
      </w:tr>
      <w:tr>
        <w:tc>
          <w:tcPr>
            <w:tcW w:w="2948" w:type="dxa"/>
            <w:vAlign w:val="center"/>
          </w:tcPr>
          <w:p>
            <w:pPr>
              <w:jc w:val="left"/>
            </w:pPr>
            <w:r>
              <w:rPr>
                <w:rFonts w:ascii="Consolas" w:hAnsi="Consolas" w:cs="Consolas"/>
              </w:rPr>
              <w:t xml:space="preserve">litig_indices</w:t>
            </w:r>
          </w:p>
        </w:tc>
        <w:tc>
          <w:tcPr>
            <w:tcW w:w="6266" w:type="dxa"/>
            <w:vAlign w:val="center"/>
          </w:tcPr>
          <w:p>
            <w:pPr>
              <w:jc w:val="left"/>
            </w:pPr>
            <w:r>
              <w:t xml:space="preserve">Tabla auxiliar con los valores del 1 al 8, usada para "desenrollar" las 8 cuentas contables de cada litigio en filas individuales.</w:t>
            </w:r>
          </w:p>
        </w:tc>
      </w:tr>
      <w:tr>
        <w:tc>
          <w:tcPr>
            <w:tcW w:w="2948" w:type="dxa"/>
            <w:vAlign w:val="center"/>
          </w:tcPr>
          <w:p>
            <w:pPr>
              <w:jc w:val="left"/>
            </w:pPr>
            <w:r>
              <w:rPr>
                <w:rFonts w:ascii="Consolas" w:hAnsi="Consolas" w:cs="Consolas"/>
              </w:rPr>
              <w:t xml:space="preserve">litig_last_cuentas</w:t>
            </w:r>
          </w:p>
        </w:tc>
        <w:tc>
          <w:tcPr>
            <w:tcW w:w="6266" w:type="dxa"/>
            <w:vAlign w:val="center"/>
          </w:tcPr>
          <w:p>
            <w:pPr>
              <w:jc w:val="left"/>
            </w:pPr>
            <w:r>
              <w:t xml:space="preserve">Catálogo depurado de las cuentas contables vigentes, en formato de una cuenta por fila, listo para cruzar contra los saldos de SAP.</w:t>
            </w:r>
          </w:p>
        </w:tc>
      </w:tr>
      <w:tr>
        <w:tc>
          <w:tcPr>
            <w:tcW w:w="2948" w:type="dxa"/>
            <w:vAlign w:val="center"/>
          </w:tcPr>
          <w:p>
            <w:pPr>
              <w:jc w:val="left"/>
            </w:pPr>
            <w:r>
              <w:rPr>
                <w:rFonts w:ascii="Consolas" w:hAnsi="Consolas" w:cs="Consolas"/>
              </w:rPr>
              <w:t xml:space="preserve">litig_ajustes</w:t>
            </w:r>
          </w:p>
        </w:tc>
        <w:tc>
          <w:tcPr>
            <w:tcW w:w="6266" w:type="dxa"/>
            <w:vAlign w:val="center"/>
          </w:tcPr>
          <w:p>
            <w:pPr>
              <w:jc w:val="left"/>
            </w:pPr>
            <w:r>
              <w:t xml:space="preserve">Valor de ajuste esperado por cada litigio, sociedad y cuenta contable, calculado a partir de las provisiones del mes (es el valor "teórico" contra el que se compara la contabilidad real).</w:t>
            </w:r>
          </w:p>
        </w:tc>
      </w:tr>
      <w:tr>
        <w:tc>
          <w:tcPr>
            <w:tcW w:w="2948" w:type="dxa"/>
            <w:vAlign w:val="center"/>
          </w:tcPr>
          <w:p>
            <w:pPr>
              <w:jc w:val="left"/>
            </w:pPr>
            <w:r>
              <w:rPr>
                <w:rFonts w:ascii="Consolas" w:hAnsi="Consolas" w:cs="Consolas"/>
              </w:rPr>
              <w:t xml:space="preserve">litig_conciliacion_bancolombia</w:t>
            </w:r>
            <w:r>
              <w:t xml:space="preserve"> / </w:t>
            </w:r>
            <w:r>
              <w:rPr>
                <w:rFonts w:ascii="Consolas" w:hAnsi="Consolas" w:cs="Consolas"/>
              </w:rPr>
              <w:t xml:space="preserve">_fiduciaria</w:t>
            </w:r>
            <w:r>
              <w:t xml:space="preserve"> / </w:t>
            </w:r>
            <w:r>
              <w:rPr>
                <w:rFonts w:ascii="Consolas" w:hAnsi="Consolas" w:cs="Consolas"/>
              </w:rPr>
              <w:t xml:space="preserve">_banca_inversion</w:t>
            </w:r>
            <w:r>
              <w:t xml:space="preserve"> / </w:t>
            </w:r>
            <w:r>
              <w:rPr>
                <w:rFonts w:ascii="Consolas" w:hAnsi="Consolas" w:cs="Consolas"/>
              </w:rPr>
              <w:t xml:space="preserve">_valores</w:t>
            </w:r>
          </w:p>
        </w:tc>
        <w:tc>
          <w:tcPr>
            <w:tcW w:w="6266" w:type="dxa"/>
            <w:vAlign w:val="center"/>
          </w:tcPr>
          <w:p>
            <w:pPr>
              <w:jc w:val="left"/>
            </w:pPr>
            <w:r>
              <w:t xml:space="preserve">Resultado de comparar, para cada sociedad, el ajuste esperado contra el movimiento contable real de SAP.</w:t>
            </w:r>
          </w:p>
        </w:tc>
      </w:tr>
    </w:tbl>
    <w:p/>
    <w:p>
      <w:pPr>
        <w:pStyle w:val="Ttulo1"/>
      </w:pPr>
      <w:bookmarkStart w:id="90000019" w:name="_Toc90000020"/>
      <w:r>
        <w:t xml:space="preserve">6. Tablas de salida (resultados)</w:t>
      </w:r>
      <w:bookmarkEnd w:id="90000019"/>
    </w:p>
    <w:p/>
    <w:p>
      <w:r>
        <w:t xml:space="preserve">Al terminar la ejecución mensual, quedan actualizadas las siguientes tablas históricas, cada una particionada por fecha de ingestión (año, mes y día). Estas son las tablas que otras áreas del banco </w:t>
      </w:r>
      <w:r>
        <w:rPr>
          <w:b/>
          <w:bCs/>
        </w:rPr>
        <w:t xml:space="preserve">consultan</w:t>
      </w:r>
      <w:r>
        <w:t xml:space="preserve"> como resultado oficial del proceso:</w:t>
      </w:r>
    </w:p>
    <w:tbl>
      <w:tblPr>
        <w:tblStyle w:val="Tablaconcuadrcula"/>
        <w:tblW w:w="9214" w:type="dxa"/>
        <w:tblLayout w:type="fixed"/>
        <w:tblLook w:val="04A0" w:firstRow="1" w:lastRow="0" w:firstColumn="1" w:lastColumn="0" w:noHBand="0" w:noVBand="1"/>
      </w:tblPr>
      <w:tblGrid>
        <w:gridCol w:w="2579"/>
        <w:gridCol w:w="4791"/>
        <w:gridCol w:w="1844"/>
      </w:tblGrid>
      <w:tr>
        <w:trPr>
          <w:tblHeader/>
        </w:trPr>
        <w:tc>
          <w:tcPr>
            <w:tcW w:w="2579" w:type="dxa"/>
            <w:shd w:val="clear" w:color="auto" w:fill="EDEBE8"/>
            <w:vAlign w:val="center"/>
          </w:tcPr>
          <w:p>
            <w:pPr>
              <w:jc w:val="left"/>
            </w:pPr>
            <w:r>
              <w:rPr>
                <w:b/>
                <w:bCs/>
              </w:rPr>
              <w:t xml:space="preserve">Nombre de Output</w:t>
            </w:r>
          </w:p>
        </w:tc>
        <w:tc>
          <w:tcPr>
            <w:tcW w:w="4791" w:type="dxa"/>
            <w:shd w:val="clear" w:color="auto" w:fill="EDEBE8"/>
            <w:vAlign w:val="center"/>
          </w:tcPr>
          <w:p>
            <w:pPr>
              <w:jc w:val="left"/>
            </w:pPr>
            <w:r>
              <w:rPr>
                <w:b/>
                <w:bCs/>
              </w:rPr>
              <w:t xml:space="preserve">Descripción / contenido</w:t>
            </w:r>
          </w:p>
        </w:tc>
        <w:tc>
          <w:tcPr>
            <w:tcW w:w="1844" w:type="dxa"/>
            <w:shd w:val="clear" w:color="auto" w:fill="EDEBE8"/>
            <w:vAlign w:val="center"/>
          </w:tcPr>
          <w:p>
            <w:pPr>
              <w:jc w:val="left"/>
            </w:pPr>
            <w:r>
              <w:rPr>
                <w:b/>
                <w:bCs/>
              </w:rPr>
              <w:t xml:space="preserve">Ubicación / origen</w:t>
            </w:r>
          </w:p>
        </w:tc>
      </w:tr>
      <w:tr>
        <w:tc>
          <w:tcPr>
            <w:tcW w:w="2579" w:type="dxa"/>
            <w:vAlign w:val="center"/>
          </w:tcPr>
          <w:p>
            <w:pPr>
              <w:jc w:val="left"/>
            </w:pPr>
            <w:r>
              <w:rPr>
                <w:rFonts w:ascii="Consolas" w:hAnsi="Consolas" w:cs="Consolas"/>
              </w:rPr>
              <w:t xml:space="preserve">litig_conciliacion_hist</w:t>
            </w:r>
          </w:p>
        </w:tc>
        <w:tc>
          <w:tcPr>
            <w:tcW w:w="4791" w:type="dxa"/>
            <w:vAlign w:val="center"/>
          </w:tcPr>
          <w:p>
            <w:pPr>
              <w:jc w:val="left"/>
            </w:pPr>
            <w:r>
              <w:t xml:space="preserve">Conciliación entre los resultados de la EUC Provisión Litigios y la contabilidad registrada en SAP.</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litig_p1pl_hist</w:t>
            </w:r>
          </w:p>
        </w:tc>
        <w:tc>
          <w:tcPr>
            <w:tcW w:w="4791" w:type="dxa"/>
            <w:vAlign w:val="center"/>
          </w:tcPr>
          <w:p>
            <w:pPr>
              <w:jc w:val="left"/>
            </w:pPr>
            <w:r>
              <w:t xml:space="preserve">Reporte P1PL (acumulado mensual de provisión de litigios).</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litig_p1pyacpl_hist</w:t>
            </w:r>
          </w:p>
        </w:tc>
        <w:tc>
          <w:tcPr>
            <w:tcW w:w="4791" w:type="dxa"/>
            <w:vAlign w:val="center"/>
          </w:tcPr>
          <w:p>
            <w:pPr>
              <w:jc w:val="left"/>
            </w:pPr>
            <w:r>
              <w:t xml:space="preserve">Reporte P1PYACPL (cuantía actual acumulada de los procesos vigentes).</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litig_pyg_comerciales_hist</w:t>
            </w:r>
          </w:p>
        </w:tc>
        <w:tc>
          <w:tcPr>
            <w:tcW w:w="4791" w:type="dxa"/>
            <w:vAlign w:val="center"/>
          </w:tcPr>
          <w:p>
            <w:pPr>
              <w:jc w:val="left"/>
            </w:pPr>
            <w:r>
              <w:t xml:space="preserve">Reporte PYG comerciales (efecto contable débito/crédito de los litigios comerciales).</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litig_pyg_laborales_hist</w:t>
            </w:r>
          </w:p>
        </w:tc>
        <w:tc>
          <w:tcPr>
            <w:tcW w:w="4791" w:type="dxa"/>
            <w:vAlign w:val="center"/>
          </w:tcPr>
          <w:p>
            <w:pPr>
              <w:jc w:val="left"/>
            </w:pPr>
            <w:r>
              <w:t xml:space="preserve">Reporte PYG laborales (efecto contable débito/crédito de los litigios laborales).</w:t>
            </w:r>
          </w:p>
        </w:tc>
        <w:tc>
          <w:tcPr>
            <w:tcW w:w="1844" w:type="dxa"/>
            <w:vAlign w:val="center"/>
          </w:tcPr>
          <w:p>
            <w:pPr>
              <w:jc w:val="left"/>
            </w:pPr>
            <w:r>
              <w:rPr>
                <w:rFonts w:ascii="Consolas" w:hAnsi="Consolas" w:cs="Consolas"/>
              </w:rPr>
              <w:t xml:space="preserve">resultados_vspc_serv</w:t>
            </w:r>
          </w:p>
        </w:tc>
      </w:tr>
      <w:tr>
        <w:tc>
          <w:tcPr>
            <w:tcW w:w="2579" w:type="dxa"/>
            <w:vAlign w:val="center"/>
          </w:tcPr>
          <w:p>
            <w:pPr>
              <w:jc w:val="left"/>
            </w:pPr>
            <w:r>
              <w:rPr>
                <w:rFonts w:ascii="Consolas" w:hAnsi="Consolas" w:cs="Consolas"/>
              </w:rPr>
              <w:t xml:space="preserve">litig_pyg_hipotecarios_hist</w:t>
            </w:r>
          </w:p>
        </w:tc>
        <w:tc>
          <w:tcPr>
            <w:tcW w:w="4791" w:type="dxa"/>
            <w:vAlign w:val="center"/>
          </w:tcPr>
          <w:p>
            <w:pPr>
              <w:jc w:val="left"/>
            </w:pPr>
            <w:r>
              <w:t xml:space="preserve">Reporte PYG hipotecarios (efecto contable débito/crédito de los litigios hipotecarios).</w:t>
            </w:r>
          </w:p>
        </w:tc>
        <w:tc>
          <w:tcPr>
            <w:tcW w:w="1844" w:type="dxa"/>
            <w:vAlign w:val="center"/>
          </w:tcPr>
          <w:p>
            <w:pPr>
              <w:jc w:val="left"/>
            </w:pPr>
            <w:r>
              <w:rPr>
                <w:rFonts w:ascii="Consolas" w:hAnsi="Consolas" w:cs="Consolas"/>
              </w:rPr>
              <w:t xml:space="preserve">resultados_vspc_serv</w:t>
            </w:r>
          </w:p>
        </w:tc>
      </w:tr>
    </w:tbl>
    <w:p/>
    <w:p>
      <w:r>
        <w:t xml:space="preserve">Estas tablas son la fuente oficial que consultan las áreas contables y de riesgo del banco para su análisis mensual, y quedan disponibles de forma histórica para consultas de periodos anteriores.</w:t>
      </w:r>
    </w:p>
    <w:p>
      <w:pPr>
        <w:pStyle w:val="Ttulo1"/>
      </w:pPr>
      <w:bookmarkStart w:id="90000021" w:name="_Toc90000022"/>
      <w:r>
        <w:t xml:space="preserve">7. Estructura del proyecto y archivos generales</w:t>
      </w:r>
      <w:bookmarkEnd w:id="90000021"/>
    </w:p>
    <w:p/>
    <w:p>
      <w:pPr>
        <w:spacing w:after="0" w:line="240" w:lineRule="auto"/>
        <w:jc w:val="left"/>
      </w:pPr>
      <w:r>
        <w:rPr>
          <w:rFonts w:ascii="Consolas" w:hAnsi="Consolas" w:cs="Consolas"/>
          <w:sz w:val="14"/>
          <w:szCs w:val="14"/>
        </w:rPr>
        <w:t xml:space="preserve">vope-cdeo-reflitig/</w:t>
      </w:r>
    </w:p>
    <w:p>
      <w:pPr>
        <w:spacing w:after="0" w:line="240" w:lineRule="auto"/>
        <w:jc w:val="left"/>
      </w:pPr>
      <w:r>
        <w:rPr>
          <w:rFonts w:ascii="Consolas" w:hAnsi="Consolas" w:cs="Consolas"/>
          <w:sz w:val="14"/>
          <w:szCs w:val="14"/>
        </w:rPr>
        <w:t xml:space="preserve">├── README.md                  → Descripción funcional del proceso</w:t>
      </w:r>
    </w:p>
    <w:p>
      <w:pPr>
        <w:spacing w:after="0" w:line="240" w:lineRule="auto"/>
        <w:jc w:val="left"/>
      </w:pPr>
      <w:r>
        <w:rPr>
          <w:rFonts w:ascii="Consolas" w:hAnsi="Consolas" w:cs="Consolas"/>
          <w:sz w:val="14"/>
          <w:szCs w:val="14"/>
        </w:rPr>
        <w:t xml:space="preserve">├── setup.py / setup.cfg       → Definición del paquete Python y sus dependencias</w:t>
      </w:r>
    </w:p>
    <w:p>
      <w:pPr>
        <w:spacing w:after="0" w:line="240" w:lineRule="auto"/>
        <w:jc w:val="left"/>
      </w:pPr>
      <w:r>
        <w:rPr>
          <w:rFonts w:ascii="Consolas" w:hAnsi="Consolas" w:cs="Consolas"/>
          <w:sz w:val="14"/>
          <w:szCs w:val="14"/>
        </w:rPr>
        <w:t xml:space="preserve">├── versioneer.py              → Manejo automático de versiones a partir de Git</w:t>
      </w:r>
    </w:p>
    <w:p>
      <w:pPr>
        <w:spacing w:after="0" w:line="240" w:lineRule="auto"/>
        <w:jc w:val="left"/>
      </w:pPr>
      <w:r>
        <w:rPr>
          <w:rFonts w:ascii="Consolas" w:hAnsi="Consolas" w:cs="Consolas"/>
          <w:sz w:val="14"/>
          <w:szCs w:val="14"/>
        </w:rPr>
        <w:t xml:space="preserve">├── MANIFEST.in                → Define qué archivos adicionales se empaquetan (SQL, JSON, Excel)</w:t>
      </w:r>
    </w:p>
    <w:p>
      <w:pPr>
        <w:spacing w:after="0" w:line="240" w:lineRule="auto"/>
        <w:jc w:val="left"/>
      </w:pPr>
      <w:r>
        <w:rPr>
          <w:rFonts w:ascii="Consolas" w:hAnsi="Consolas" w:cs="Consolas"/>
          <w:sz w:val="14"/>
          <w:szCs w:val="14"/>
        </w:rPr>
        <w:t xml:space="preserve">├── docs/                      → Diagramas e imágenes de referencia</w:t>
      </w:r>
    </w:p>
    <w:p>
      <w:pPr>
        <w:spacing w:after="0" w:line="240" w:lineRule="auto"/>
        <w:jc w:val="left"/>
      </w:pPr>
      <w:r>
        <w:rPr>
          <w:rFonts w:ascii="Consolas" w:hAnsi="Consolas" w:cs="Consolas"/>
          <w:sz w:val="14"/>
          <w:szCs w:val="14"/>
        </w:rPr>
        <w:t xml:space="preserve">├── logs_calendarizacion/      → Carpeta donde se guardan los logs de cada ejecución</w:t>
      </w:r>
    </w:p>
    <w:p>
      <w:pPr>
        <w:spacing w:after="0" w:line="240" w:lineRule="auto"/>
        <w:jc w:val="left"/>
      </w:pPr>
      <w:r>
        <w:rPr>
          <w:rFonts w:ascii="Consolas" w:hAnsi="Consolas" w:cs="Consolas"/>
          <w:sz w:val="14"/>
          <w:szCs w:val="14"/>
        </w:rPr>
        <w:t xml:space="preserve">└── src/vope_cdeo_reflitig/</w:t>
      </w:r>
    </w:p>
    <w:p>
      <w:pPr>
        <w:spacing w:after="0" w:line="240" w:lineRule="auto"/>
        <w:jc w:val="left"/>
      </w:pPr>
      <w:r>
        <w:rPr>
          <w:rFonts w:ascii="Consolas" w:hAnsi="Consolas" w:cs="Consolas"/>
          <w:sz w:val="14"/>
          <w:szCs w:val="14"/>
        </w:rPr>
        <w:t xml:space="preserve">    ├── __init__.py             → Marca la carpeta como paquete de Python</w:t>
      </w:r>
    </w:p>
    <w:p>
      <w:pPr>
        <w:spacing w:after="0" w:line="240" w:lineRule="auto"/>
        <w:jc w:val="left"/>
      </w:pPr>
      <w:r>
        <w:rPr>
          <w:rFonts w:ascii="Consolas" w:hAnsi="Consolas" w:cs="Consolas"/>
          <w:sz w:val="14"/>
          <w:szCs w:val="14"/>
        </w:rPr>
        <w:t xml:space="preserve">    ├── _version.py             → Versión del paquete, generada automáticamente</w:t>
      </w:r>
    </w:p>
    <w:p>
      <w:pPr>
        <w:spacing w:after="0" w:line="240" w:lineRule="auto"/>
        <w:jc w:val="left"/>
      </w:pPr>
      <w:r>
        <w:rPr>
          <w:rFonts w:ascii="Consolas" w:hAnsi="Consolas" w:cs="Consolas"/>
          <w:sz w:val="14"/>
          <w:szCs w:val="14"/>
        </w:rPr>
        <w:t xml:space="preserve">    ├── ejecucion.py            → Punto de entrada: arranca todo el proceso</w:t>
      </w:r>
    </w:p>
    <w:p>
      <w:pPr>
        <w:spacing w:after="0" w:line="240" w:lineRule="auto"/>
        <w:jc w:val="left"/>
      </w:pPr>
      <w:r>
        <w:rPr>
          <w:rFonts w:ascii="Consolas" w:hAnsi="Consolas" w:cs="Consolas"/>
          <w:sz w:val="14"/>
          <w:szCs w:val="14"/>
        </w:rPr>
        <w:t xml:space="preserve">    ├── etl.py                  → Define el orden de las etapas y su lógica de control</w:t>
      </w:r>
    </w:p>
    <w:p>
      <w:pPr>
        <w:spacing w:after="0" w:line="240" w:lineRule="auto"/>
        <w:jc w:val="left"/>
      </w:pPr>
      <w:r>
        <w:rPr>
          <w:rFonts w:ascii="Consolas" w:hAnsi="Consolas" w:cs="Consolas"/>
          <w:sz w:val="14"/>
          <w:szCs w:val="14"/>
        </w:rPr>
        <w:t xml:space="preserve">    ├── utils.py                → Funciones de apoyo (argumentos de consola, logs, carga de Excel)</w:t>
      </w:r>
    </w:p>
    <w:p>
      <w:pPr>
        <w:spacing w:after="0" w:line="240" w:lineRule="auto"/>
        <w:jc w:val="left"/>
      </w:pPr>
      <w:r>
        <w:rPr>
          <w:rFonts w:ascii="Consolas" w:hAnsi="Consolas" w:cs="Consolas"/>
          <w:sz w:val="14"/>
          <w:szCs w:val="14"/>
        </w:rPr>
        <w:t xml:space="preserve">    └── static/</w:t>
      </w:r>
    </w:p>
    <w:p>
      <w:pPr>
        <w:spacing w:after="0" w:line="240" w:lineRule="auto"/>
        <w:jc w:val="left"/>
      </w:pPr>
      <w:r>
        <w:rPr>
          <w:rFonts w:ascii="Consolas" w:hAnsi="Consolas" w:cs="Consolas"/>
          <w:sz w:val="14"/>
          <w:szCs w:val="14"/>
        </w:rPr>
        <w:t xml:space="preserve">        ├── config.json         → Configuración central: nombres de tablas, zonas, orden de ejecución</w:t>
      </w:r>
    </w:p>
    <w:p>
      <w:pPr>
        <w:spacing w:after="0" w:line="240" w:lineRule="auto"/>
        <w:jc w:val="left"/>
      </w:pPr>
      <w:r>
        <w:rPr>
          <w:rFonts w:ascii="Consolas" w:hAnsi="Consolas" w:cs="Consolas"/>
          <w:sz w:val="14"/>
          <w:szCs w:val="14"/>
        </w:rPr>
        <w:t xml:space="preserve">        └── sql/</w:t>
      </w:r>
    </w:p>
    <w:p>
      <w:pPr>
        <w:spacing w:after="0" w:line="240" w:lineRule="auto"/>
        <w:jc w:val="left"/>
      </w:pPr>
      <w:r>
        <w:rPr>
          <w:rFonts w:ascii="Consolas" w:hAnsi="Consolas" w:cs="Consolas"/>
          <w:sz w:val="14"/>
          <w:szCs w:val="14"/>
        </w:rPr>
        <w:t xml:space="preserve">            ├── etl/            → SQL de la Etapa 1: Carga</w:t>
      </w:r>
    </w:p>
    <w:p>
      <w:pPr>
        <w:spacing w:after="0" w:line="240" w:lineRule="auto"/>
        <w:jc w:val="left"/>
      </w:pPr>
      <w:r>
        <w:rPr>
          <w:rFonts w:ascii="Consolas" w:hAnsi="Consolas" w:cs="Consolas"/>
          <w:sz w:val="14"/>
          <w:szCs w:val="14"/>
        </w:rPr>
        <w:t xml:space="preserve">            ├── conciliacion/   → SQL de la Etapa 2: Conciliación</w:t>
      </w:r>
    </w:p>
    <w:p>
      <w:pPr>
        <w:spacing w:after="0" w:line="240" w:lineRule="auto"/>
        <w:jc w:val="left"/>
      </w:pPr>
      <w:r>
        <w:rPr>
          <w:rFonts w:ascii="Consolas" w:hAnsi="Consolas" w:cs="Consolas"/>
          <w:sz w:val="14"/>
          <w:szCs w:val="14"/>
        </w:rPr>
        <w:t xml:space="preserve">            └── reportes/       → SQL de la Etapa 3: Reportes</w:t>
      </w:r>
    </w:p>
    <w:p/>
    <w:p>
      <w:pPr>
        <w:pStyle w:val="Ttulo2"/>
      </w:pPr>
      <w:bookmarkStart w:id="90000023" w:name="_Toc90000024"/>
      <w:r>
        <w:t xml:space="preserve">6.1. Archivos de configuración y empaquetado (explicación general)</w:t>
      </w:r>
      <w:bookmarkEnd w:id="90000023"/>
    </w:p>
    <w:p/>
    <w:tbl>
      <w:tblPr>
        <w:tblStyle w:val="Tablaconcuadrcula"/>
        <w:tblW w:w="9214" w:type="dxa"/>
        <w:tblLayout w:type="fixed"/>
        <w:tblLook w:val="04A0" w:firstRow="1" w:lastRow="0" w:firstColumn="1" w:lastColumn="0" w:noHBand="0" w:noVBand="1"/>
      </w:tblPr>
      <w:tblGrid>
        <w:gridCol w:w="2579"/>
        <w:gridCol w:w="6635"/>
      </w:tblGrid>
      <w:tr>
        <w:trPr>
          <w:tblHeader/>
        </w:trPr>
        <w:tc>
          <w:tcPr>
            <w:tcW w:w="2579" w:type="dxa"/>
            <w:shd w:val="clear" w:color="auto" w:fill="EDEBE8"/>
            <w:vAlign w:val="center"/>
          </w:tcPr>
          <w:p>
            <w:pPr>
              <w:jc w:val="left"/>
            </w:pPr>
            <w:r>
              <w:rPr>
                <w:b/>
                <w:bCs/>
              </w:rPr>
              <w:t xml:space="preserve">Archivo</w:t>
            </w:r>
          </w:p>
        </w:tc>
        <w:tc>
          <w:tcPr>
            <w:tcW w:w="6635" w:type="dxa"/>
            <w:shd w:val="clear" w:color="auto" w:fill="EDEBE8"/>
            <w:vAlign w:val="center"/>
          </w:tcPr>
          <w:p>
            <w:pPr>
              <w:jc w:val="left"/>
            </w:pPr>
            <w:r>
              <w:rPr>
                <w:b/>
                <w:bCs/>
              </w:rPr>
              <w:t xml:space="preserve">Para qué sirve</w:t>
            </w:r>
          </w:p>
        </w:tc>
      </w:tr>
      <w:tr>
        <w:tc>
          <w:tcPr>
            <w:tcW w:w="2579" w:type="dxa"/>
            <w:vAlign w:val="center"/>
          </w:tcPr>
          <w:p>
            <w:pPr>
              <w:jc w:val="left"/>
            </w:pPr>
            <w:r>
              <w:rPr>
                <w:rFonts w:ascii="Consolas" w:hAnsi="Consolas" w:cs="Consolas"/>
                <w:b/>
                <w:bCs/>
              </w:rPr>
              <w:t xml:space="preserve">setup.py</w:t>
            </w:r>
            <w:r>
              <w:rPr>
                <w:b/>
                <w:bCs/>
              </w:rPr>
              <w:t xml:space="preserve"> / </w:t>
            </w:r>
            <w:r>
              <w:rPr>
                <w:rFonts w:ascii="Consolas" w:hAnsi="Consolas" w:cs="Consolas"/>
                <w:b/>
                <w:bCs/>
              </w:rPr>
              <w:t xml:space="preserve">setup.cfg</w:t>
            </w:r>
          </w:p>
        </w:tc>
        <w:tc>
          <w:tcPr>
            <w:tcW w:w="6635" w:type="dxa"/>
            <w:vAlign w:val="center"/>
          </w:tcPr>
          <w:p>
            <w:pPr>
              <w:jc w:val="left"/>
            </w:pPr>
            <w:r>
              <w:t xml:space="preserve">Son los archivos estándar de Python que describen el proyecto como un paquete instalable: su nombre (</w:t>
            </w:r>
            <w:r>
              <w:rPr>
                <w:rFonts w:ascii="Consolas" w:hAnsi="Consolas" w:cs="Consolas"/>
              </w:rPr>
              <w:t xml:space="preserve">vope-cdeo-reflitig</w:t>
            </w:r>
            <w:r>
              <w:t xml:space="preserve">), autor, dependencias necesarias (</w:t>
            </w:r>
            <w:r>
              <w:rPr>
                <w:rFonts w:ascii="Consolas" w:hAnsi="Consolas" w:cs="Consolas"/>
              </w:rPr>
              <w:t xml:space="preserve">orquestador2</w:t>
            </w:r>
            <w:r>
              <w:t xml:space="preserve">, </w:t>
            </w:r>
            <w:r>
              <w:rPr>
                <w:rFonts w:ascii="Consolas" w:hAnsi="Consolas" w:cs="Consolas"/>
              </w:rPr>
              <w:t xml:space="preserve">vspc-config-utils</w:t>
            </w:r>
            <w:r>
              <w:t xml:space="preserve">, </w:t>
            </w:r>
            <w:r>
              <w:rPr>
                <w:rFonts w:ascii="Consolas" w:hAnsi="Consolas" w:cs="Consolas"/>
              </w:rPr>
              <w:t xml:space="preserve">vspc-respaldo-logs</w:t>
            </w:r>
            <w:r>
              <w:t xml:space="preserve">, </w:t>
            </w:r>
            <w:r>
              <w:rPr>
                <w:rFonts w:ascii="Consolas" w:hAnsi="Consolas" w:cs="Consolas"/>
              </w:rPr>
              <w:t xml:space="preserve">master-validation</w:t>
            </w:r>
            <w:r>
              <w:t xml:space="preserve">) y la versión mínima de Python requerida. Gracias a esto, el proceso se puede instalar como cualquier librería y ejecutarse de forma calendarizada.</w:t>
            </w:r>
          </w:p>
        </w:tc>
      </w:tr>
      <w:tr>
        <w:tc>
          <w:tcPr>
            <w:tcW w:w="2579" w:type="dxa"/>
            <w:vAlign w:val="center"/>
          </w:tcPr>
          <w:p>
            <w:pPr>
              <w:jc w:val="left"/>
            </w:pPr>
            <w:r>
              <w:rPr>
                <w:rFonts w:ascii="Consolas" w:hAnsi="Consolas" w:cs="Consolas"/>
                <w:b/>
                <w:bCs/>
              </w:rPr>
              <w:t xml:space="preserve">versioneer.py</w:t>
            </w:r>
          </w:p>
        </w:tc>
        <w:tc>
          <w:tcPr>
            <w:tcW w:w="6635" w:type="dxa"/>
            <w:vAlign w:val="center"/>
          </w:tcPr>
          <w:p>
            <w:pPr>
              <w:jc w:val="left"/>
            </w:pPr>
            <w:r>
              <w:t xml:space="preserve">Herramienta que calcula automáticamente el número de versión del paquete a partir del historial de Git (por ejemplo, a partir de las etiquetas/tags del repositorio). Evita tener que actualizar manualmente un número de versión en cada entrega.</w:t>
            </w:r>
          </w:p>
        </w:tc>
      </w:tr>
      <w:tr>
        <w:tc>
          <w:tcPr>
            <w:tcW w:w="2579" w:type="dxa"/>
            <w:vAlign w:val="center"/>
          </w:tcPr>
          <w:p>
            <w:pPr>
              <w:jc w:val="left"/>
            </w:pPr>
            <w:r>
              <w:rPr>
                <w:rFonts w:ascii="Consolas" w:hAnsi="Consolas" w:cs="Consolas"/>
                <w:b/>
                <w:bCs/>
              </w:rPr>
              <w:t xml:space="preserve">MANIFEST.in</w:t>
            </w:r>
          </w:p>
        </w:tc>
        <w:tc>
          <w:tcPr>
            <w:tcW w:w="6635" w:type="dxa"/>
            <w:vAlign w:val="center"/>
          </w:tcPr>
          <w:p>
            <w:pPr>
              <w:jc w:val="left"/>
            </w:pPr>
            <w:r>
              <w:t xml:space="preserve">Le indica al empaquetador qué archivos adicionales (que no son código Python, como los </w:t>
            </w:r>
            <w:r>
              <w:rPr>
                <w:rFonts w:ascii="Consolas" w:hAnsi="Consolas" w:cs="Consolas"/>
              </w:rPr>
              <w:t xml:space="preserve">.sql</w:t>
            </w:r>
            <w:r>
              <w:t xml:space="preserve">, </w:t>
            </w:r>
            <w:r>
              <w:rPr>
                <w:rFonts w:ascii="Consolas" w:hAnsi="Consolas" w:cs="Consolas"/>
              </w:rPr>
              <w:t xml:space="preserve">.json</w:t>
            </w:r>
            <w:r>
              <w:t xml:space="preserve"> y </w:t>
            </w:r>
            <w:r>
              <w:rPr>
                <w:rFonts w:ascii="Consolas" w:hAnsi="Consolas" w:cs="Consolas"/>
              </w:rPr>
              <w:t xml:space="preserve">.xlsx</w:t>
            </w:r>
            <w:r>
              <w:t xml:space="preserve">) deben incluirse dentro del paquete final. Sin este archivo, los scripts SQL o el archivo de configuración no viajarían junto con el código.</w:t>
            </w:r>
          </w:p>
        </w:tc>
      </w:tr>
      <w:tr>
        <w:tc>
          <w:tcPr>
            <w:tcW w:w="2579" w:type="dxa"/>
            <w:vAlign w:val="center"/>
          </w:tcPr>
          <w:p>
            <w:pPr>
              <w:jc w:val="left"/>
            </w:pPr>
            <w:r>
              <w:rPr>
                <w:rFonts w:ascii="Consolas" w:hAnsi="Consolas" w:cs="Consolas"/>
                <w:b/>
                <w:bCs/>
              </w:rPr>
              <w:t xml:space="preserve">config.json</w:t>
            </w:r>
          </w:p>
        </w:tc>
        <w:tc>
          <w:tcPr>
            <w:tcW w:w="6635" w:type="dxa"/>
            <w:vAlign w:val="center"/>
          </w:tcPr>
          <w:p>
            <w:pPr>
              <w:jc w:val="left"/>
            </w:pPr>
            <w:r>
              <w:t xml:space="preserve">Es el archivo de configuración central del proceso. Define en un solo lugar los nombres de todas las tablas y zonas, el usuario técnico con el que corre el proceso, el punto de conexión a la plataforma de datos, y el orden exacto de las tareas y de los archivos SQL de cada etapa. Cualquier cambio de comportamiento del proceso pasa por aquí, de forma centralizada y versionada.</w:t>
            </w:r>
          </w:p>
        </w:tc>
      </w:tr>
      <w:tr>
        <w:tc>
          <w:tcPr>
            <w:tcW w:w="2579" w:type="dxa"/>
            <w:vAlign w:val="center"/>
          </w:tcPr>
          <w:p>
            <w:pPr>
              <w:jc w:val="left"/>
            </w:pPr>
            <w:r>
              <w:rPr>
                <w:rFonts w:ascii="Consolas" w:hAnsi="Consolas" w:cs="Consolas"/>
                <w:b/>
                <w:bCs/>
              </w:rPr>
              <w:t xml:space="preserve">README.md</w:t>
            </w:r>
          </w:p>
        </w:tc>
        <w:tc>
          <w:tcPr>
            <w:tcW w:w="6635" w:type="dxa"/>
            <w:vAlign w:val="center"/>
          </w:tcPr>
          <w:p>
            <w:pPr>
              <w:jc w:val="left"/>
            </w:pPr>
            <w:r>
              <w:t xml:space="preserve">Descripción funcional oficial del proceso, dirigida a las áreas de negocio.</w:t>
            </w:r>
          </w:p>
        </w:tc>
      </w:tr>
    </w:tbl>
    <w:p/>
    <w:p>
      <w:pPr>
        <w:pStyle w:val="Ttulo2"/>
      </w:pPr>
      <w:bookmarkStart w:id="90000025" w:name="_Toc90000026"/>
      <w:r>
        <w:t xml:space="preserve">6.2. Archivos de código Python (explicación general)</w:t>
      </w:r>
      <w:bookmarkEnd w:id="90000025"/>
    </w:p>
    <w:p/>
    <w:tbl>
      <w:tblPr>
        <w:tblStyle w:val="Tablaconcuadrcula"/>
        <w:tblW w:w="9214" w:type="dxa"/>
        <w:tblLayout w:type="fixed"/>
        <w:tblLook w:val="04A0" w:firstRow="1" w:lastRow="0" w:firstColumn="1" w:lastColumn="0" w:noHBand="0" w:noVBand="1"/>
      </w:tblPr>
      <w:tblGrid>
        <w:gridCol w:w="2579"/>
        <w:gridCol w:w="6635"/>
      </w:tblGrid>
      <w:tr>
        <w:trPr>
          <w:tblHeader/>
        </w:trPr>
        <w:tc>
          <w:tcPr>
            <w:tcW w:w="2579" w:type="dxa"/>
            <w:shd w:val="clear" w:color="auto" w:fill="EDEBE8"/>
            <w:vAlign w:val="center"/>
          </w:tcPr>
          <w:p>
            <w:pPr>
              <w:jc w:val="left"/>
            </w:pPr>
            <w:r>
              <w:rPr>
                <w:b/>
                <w:bCs/>
              </w:rPr>
              <w:t xml:space="preserve">Archivo</w:t>
            </w:r>
          </w:p>
        </w:tc>
        <w:tc>
          <w:tcPr>
            <w:tcW w:w="6635" w:type="dxa"/>
            <w:shd w:val="clear" w:color="auto" w:fill="EDEBE8"/>
            <w:vAlign w:val="center"/>
          </w:tcPr>
          <w:p>
            <w:pPr>
              <w:jc w:val="left"/>
            </w:pPr>
            <w:r>
              <w:rPr>
                <w:b/>
                <w:bCs/>
              </w:rPr>
              <w:t xml:space="preserve">Rol</w:t>
            </w:r>
          </w:p>
        </w:tc>
      </w:tr>
      <w:tr>
        <w:tc>
          <w:tcPr>
            <w:tcW w:w="2579" w:type="dxa"/>
            <w:vAlign w:val="center"/>
          </w:tcPr>
          <w:p>
            <w:pPr>
              <w:jc w:val="left"/>
            </w:pPr>
            <w:r>
              <w:rPr>
                <w:rFonts w:ascii="Consolas" w:hAnsi="Consolas" w:cs="Consolas"/>
                <w:b/>
                <w:bCs/>
              </w:rPr>
              <w:t xml:space="preserve">ejecucion.py</w:t>
            </w:r>
          </w:p>
        </w:tc>
        <w:tc>
          <w:tcPr>
            <w:tcW w:w="6635" w:type="dxa"/>
            <w:vAlign w:val="center"/>
          </w:tcPr>
          <w:p>
            <w:pPr>
              <w:jc w:val="left"/>
            </w:pPr>
            <w:r>
              <w:t xml:space="preserve">Es el punto de entrada del proceso. Prepara el entorno de ejecución, lee la configuración, crea el orquestador con la etapa </w:t>
            </w:r>
            <w:r>
              <w:rPr>
                <w:rFonts w:ascii="Consolas" w:hAnsi="Consolas" w:cs="Consolas"/>
              </w:rPr>
              <w:t xml:space="preserve">Etl</w:t>
            </w:r>
            <w:r>
              <w:t xml:space="preserve">, dispara la ejecución completa y, al finalizar (con éxito o con error), genera el respaldo de logs.</w:t>
            </w:r>
          </w:p>
        </w:tc>
      </w:tr>
      <w:tr>
        <w:tc>
          <w:tcPr>
            <w:tcW w:w="2579" w:type="dxa"/>
            <w:vAlign w:val="center"/>
          </w:tcPr>
          <w:p>
            <w:pPr>
              <w:jc w:val="left"/>
            </w:pPr>
            <w:r>
              <w:rPr>
                <w:rFonts w:ascii="Consolas" w:hAnsi="Consolas" w:cs="Consolas"/>
                <w:b/>
                <w:bCs/>
              </w:rPr>
              <w:t xml:space="preserve">etl.py</w:t>
            </w:r>
          </w:p>
        </w:tc>
        <w:tc>
          <w:tcPr>
            <w:tcW w:w="6635" w:type="dxa"/>
            <w:vAlign w:val="center"/>
          </w:tcPr>
          <w:p>
            <w:pPr>
              <w:jc w:val="left"/>
            </w:pPr>
            <w:r>
              <w:t xml:space="preserve">Contiene la clase </w:t>
            </w:r>
            <w:r>
              <w:rPr>
                <w:rFonts w:ascii="Consolas" w:hAnsi="Consolas" w:cs="Consolas"/>
              </w:rPr>
              <w:t xml:space="preserve">Etl</w:t>
            </w:r>
            <w:r>
              <w:t xml:space="preserve">, que define el orden de las 4 tareas del proceso (fecha de corte, carga, conciliación, reportes) y la lógica de cada una de ellas.</w:t>
            </w:r>
          </w:p>
        </w:tc>
      </w:tr>
      <w:tr>
        <w:tc>
          <w:tcPr>
            <w:tcW w:w="2579" w:type="dxa"/>
            <w:vAlign w:val="center"/>
          </w:tcPr>
          <w:p>
            <w:pPr>
              <w:jc w:val="left"/>
            </w:pPr>
            <w:r>
              <w:rPr>
                <w:rFonts w:ascii="Consolas" w:hAnsi="Consolas" w:cs="Consolas"/>
                <w:b/>
                <w:bCs/>
              </w:rPr>
              <w:t xml:space="preserve">utils.py</w:t>
            </w:r>
          </w:p>
        </w:tc>
        <w:tc>
          <w:tcPr>
            <w:tcW w:w="6635" w:type="dxa"/>
            <w:vAlign w:val="center"/>
          </w:tcPr>
          <w:p>
            <w:pPr>
              <w:jc w:val="left"/>
            </w:pPr>
            <w:r>
              <w:t xml:space="preserve">Contiene funciones de apoyo: lectura de parámetros por línea de comandos, creación de carpetas de logs, y la función para subir un archivo Excel de parámetros a la plataforma de datos.</w:t>
            </w:r>
          </w:p>
        </w:tc>
      </w:tr>
    </w:tbl>
    <w:p/>
    <w:p>
      <w:pPr>
        <w:pStyle w:val="Ttulo1"/>
      </w:pPr>
      <w:bookmarkStart w:id="90000027" w:name="_Toc90000028"/>
      <w:r>
        <w:t xml:space="preserve">8. Detalle de la lógica SQL por etapa</w:t>
      </w:r>
      <w:bookmarkEnd w:id="90000027"/>
    </w:p>
    <w:p/>
    <w:p>
      <w:r>
        <w:t xml:space="preserve">Toda la lógica de negocio del proceso está contenida en los archivos SQL, organizados en tres carpetas según la etapa a la que pertenecen. A continuación se explica, paso a paso, qué hace cada archivo y cómo está construida su lógica interna.</w:t>
      </w:r>
    </w:p>
    <w:p>
      <w:pPr>
        <w:pStyle w:val="Ttulo2"/>
      </w:pPr>
      <w:bookmarkStart w:id="90000029" w:name="_Toc90000030"/>
      <w:r>
        <w:t xml:space="preserve">7.1. Etapa 1 — Carga (</w:t>
      </w:r>
      <w:r>
        <w:rPr>
          <w:rFonts w:ascii="Consolas" w:hAnsi="Consolas" w:cs="Consolas"/>
        </w:rPr>
        <w:t xml:space="preserve">sql/etl/</w:t>
      </w:r>
      <w:r>
        <w:t xml:space="preserve">)</w:t>
      </w:r>
      <w:bookmarkEnd w:id="90000029"/>
    </w:p>
    <w:p/>
    <w:p>
      <w:r>
        <w:t xml:space="preserve">Objetivo: tomar el resultado de la EUC y dejarlo almacenado de forma histórica y confiable, preparando además las tablas de apoyo que usarán las siguientes etapas.</w:t>
      </w:r>
    </w:p>
    <w:p>
      <w:pPr>
        <w:pStyle w:val="Subttulo"/>
        <w:jc w:val="left"/>
      </w:pPr>
      <w:r>
        <w:rPr>
          <w:rFonts w:ascii="Consolas" w:hAnsi="Consolas" w:cs="Consolas"/>
        </w:rPr>
        <w:t xml:space="preserve">00_crear_tabla.sql</w:t>
      </w:r>
    </w:p>
    <w:p>
      <w:r>
        <w:t xml:space="preserve">Crea, únicamente si todavía no existe (</w:t>
      </w:r>
      <w:r>
        <w:rPr>
          <w:rFonts w:ascii="Consolas" w:hAnsi="Consolas" w:cs="Consolas"/>
        </w:rPr>
        <w:t xml:space="preserve">CREATE TABLE IF NOT EXISTS</w:t>
      </w:r>
      <w:r>
        <w:t xml:space="preserve">), la tabla histórica </w:t>
      </w:r>
      <w:r>
        <w:rPr>
          <w:rFonts w:ascii="Consolas" w:hAnsi="Consolas" w:cs="Consolas"/>
        </w:rPr>
        <w:t xml:space="preserve">litig_provision_hist</w:t>
      </w:r>
      <w:r>
        <w:t xml:space="preserve"> en la zona de resultados. Esta tabla tiene cerca de 60 columnas, entre las que están: identificadores del litigio (</w:t>
      </w:r>
      <w:r>
        <w:rPr>
          <w:rFonts w:ascii="Consolas" w:hAnsi="Consolas" w:cs="Consolas"/>
        </w:rPr>
        <w:t xml:space="preserve">llave</w:t>
      </w:r>
      <w:r>
        <w:t xml:space="preserve">, </w:t>
      </w:r>
      <w:r>
        <w:rPr>
          <w:rFonts w:ascii="Consolas" w:hAnsi="Consolas" w:cs="Consolas"/>
        </w:rPr>
        <w:t xml:space="preserve">numero_de_proceso</w:t>
      </w:r>
      <w:r>
        <w:t xml:space="preserve">, </w:t>
      </w:r>
      <w:r>
        <w:rPr>
          <w:rFonts w:ascii="Consolas" w:hAnsi="Consolas" w:cs="Consolas"/>
        </w:rPr>
        <w:t xml:space="preserve">sujeto_principal</w:t>
      </w:r>
      <w:r>
        <w:t xml:space="preserve">), montos (</w:t>
      </w:r>
      <w:r>
        <w:rPr>
          <w:rFonts w:ascii="Consolas" w:hAnsi="Consolas" w:cs="Consolas"/>
        </w:rPr>
        <w:t xml:space="preserve">cuantia_inicial</w:t>
      </w:r>
      <w:r>
        <w:t xml:space="preserve">, </w:t>
      </w:r>
      <w:r>
        <w:rPr>
          <w:rFonts w:ascii="Consolas" w:hAnsi="Consolas" w:cs="Consolas"/>
        </w:rPr>
        <w:t xml:space="preserve">cuantia_actual</w:t>
      </w:r>
      <w:r>
        <w:t xml:space="preserve">, </w:t>
      </w:r>
      <w:r>
        <w:rPr>
          <w:rFonts w:ascii="Consolas" w:hAnsi="Consolas" w:cs="Consolas"/>
        </w:rPr>
        <w:t xml:space="preserve">provision_total</w:t>
      </w:r>
      <w:r>
        <w:t xml:space="preserve">, etc.), fechas del proceso legal, calificación del litigio, las 8 cuentas contables asociadas, y los ajustes ya calculados por la EUC (</w:t>
      </w:r>
      <w:r>
        <w:rPr>
          <w:rFonts w:ascii="Consolas" w:hAnsi="Consolas" w:cs="Consolas"/>
        </w:rPr>
        <w:t xml:space="preserve">ajuste_gasto_financiero</w:t>
      </w:r>
      <w:r>
        <w:t xml:space="preserve">, </w:t>
      </w:r>
      <w:r>
        <w:rPr>
          <w:rFonts w:ascii="Consolas" w:hAnsi="Consolas" w:cs="Consolas"/>
        </w:rPr>
        <w:t xml:space="preserve">ajuste_provision_niif</w:t>
      </w:r>
      <w:r>
        <w:t xml:space="preserve">, </w:t>
      </w:r>
      <w:r>
        <w:rPr>
          <w:rFonts w:ascii="Consolas" w:hAnsi="Consolas" w:cs="Consolas"/>
        </w:rPr>
        <w:t xml:space="preserve">recuperacion</w:t>
      </w:r>
      <w:r>
        <w:t xml:space="preserve">, </w:t>
      </w:r>
      <w:r>
        <w:rPr>
          <w:rFonts w:ascii="Consolas" w:hAnsi="Consolas" w:cs="Consolas"/>
        </w:rPr>
        <w:t xml:space="preserve">ajuste_61</w:t>
      </w:r>
      <w:r>
        <w:t xml:space="preserve">). La tabla queda </w:t>
      </w:r>
      <w:r>
        <w:rPr>
          <w:b/>
          <w:bCs/>
        </w:rPr>
        <w:t xml:space="preserve">particionada por año, mes y día de ingestión</w:t>
      </w:r>
      <w:r>
        <w:t xml:space="preserve"> y almacenada en formato Parquet. Al no recrearla si ya existe, nunca se pierde la información cargada en meses anteriores.</w:t>
      </w:r>
    </w:p>
    <w:p>
      <w:pPr>
        <w:pStyle w:val="Subttulo"/>
        <w:jc w:val="left"/>
      </w:pPr>
      <w:r>
        <w:rPr>
          <w:rFonts w:ascii="Consolas" w:hAnsi="Consolas" w:cs="Consolas"/>
        </w:rPr>
        <w:t xml:space="preserve">01_insertar_tabla_hist.sql</w:t>
      </w:r>
    </w:p>
    <w:p>
      <w:r>
        <w:t xml:space="preserve">Inserta en </w:t>
      </w:r>
      <w:r>
        <w:rPr>
          <w:rFonts w:ascii="Consolas" w:hAnsi="Consolas" w:cs="Consolas"/>
        </w:rPr>
        <w:t xml:space="preserve">litig_provision_hist</w:t>
      </w:r>
      <w:r>
        <w:t xml:space="preserve"> los registros de la tabla de provisiones de la EUC (</w:t>
      </w:r>
      <w:r>
        <w:rPr>
          <w:rFonts w:ascii="Consolas" w:hAnsi="Consolas" w:cs="Consolas"/>
        </w:rPr>
        <w:t xml:space="preserve">litig_provision</w:t>
      </w:r>
      <w:r>
        <w:t xml:space="preserve">, en la zona de procesos) que correspondan a la fecha de corte del mes en curso. Puntos clave de su lógica:</w:t>
      </w:r>
    </w:p>
    <w:p>
      <w:pPr>
        <w:pStyle w:val="Prrafodelista"/>
        <w:numPr>
          <w:ilvl w:val="0"/>
          <w:numId w:val="1"/>
        </w:numPr>
        <w:jc w:val="left"/>
      </w:pPr>
      <w:r>
        <w:rPr>
          <w:b/>
          <w:bCs/>
        </w:rPr>
        <w:t xml:space="preserve">Conversión de tipos explícita:</w:t>
      </w:r>
      <w:r>
        <w:t xml:space="preserve"> cada una de las ~60 columnas se castea con </w:t>
      </w:r>
      <w:r>
        <w:rPr>
          <w:rFonts w:ascii="Consolas" w:hAnsi="Consolas" w:cs="Consolas"/>
        </w:rPr>
        <w:t xml:space="preserve">CAST(... AS tipo)</w:t>
      </w:r>
      <w:r>
        <w:t xml:space="preserve"> al tipo de dato definido en la tabla histórica (</w:t>
      </w:r>
      <w:r>
        <w:rPr>
          <w:rFonts w:ascii="Consolas" w:hAnsi="Consolas" w:cs="Consolas"/>
        </w:rPr>
        <w:t xml:space="preserve">VARCHAR</w:t>
      </w:r>
      <w:r>
        <w:t xml:space="preserve">, </w:t>
      </w:r>
      <w:r>
        <w:rPr>
          <w:rFonts w:ascii="Consolas" w:hAnsi="Consolas" w:cs="Consolas"/>
        </w:rPr>
        <w:t xml:space="preserve">DOUBLE</w:t>
      </w:r>
      <w:r>
        <w:t xml:space="preserve">, </w:t>
      </w:r>
      <w:r>
        <w:rPr>
          <w:rFonts w:ascii="Consolas" w:hAnsi="Consolas" w:cs="Consolas"/>
        </w:rPr>
        <w:t xml:space="preserve">DATE</w:t>
      </w:r>
      <w:r>
        <w:t xml:space="preserve">, </w:t>
      </w:r>
      <w:r>
        <w:rPr>
          <w:rFonts w:ascii="Consolas" w:hAnsi="Consolas" w:cs="Consolas"/>
        </w:rPr>
        <w:t xml:space="preserve">BIGINT</w:t>
      </w:r>
      <w:r>
        <w:t xml:space="preserve">, </w:t>
      </w:r>
      <w:r>
        <w:rPr>
          <w:rFonts w:ascii="Consolas" w:hAnsi="Consolas" w:cs="Consolas"/>
        </w:rPr>
        <w:t xml:space="preserve">BOOLEAN</w:t>
      </w:r>
      <w:r>
        <w:t xml:space="preserve">, etc.), evitando que un dato mal formado se cargue de forma incorrecta.</w:t>
      </w:r>
    </w:p>
    <w:p>
      <w:pPr>
        <w:pStyle w:val="Prrafodelista"/>
        <w:numPr>
          <w:ilvl w:val="0"/>
          <w:numId w:val="1"/>
        </w:numPr>
        <w:jc w:val="left"/>
      </w:pPr>
      <w:r>
        <w:rPr>
          <w:b/>
          <w:bCs/>
        </w:rPr>
        <w:t xml:space="preserve">Filtro por período:</w:t>
      </w:r>
      <w:r>
        <w:t xml:space="preserve"> la cláusula </w:t>
      </w:r>
      <w:r>
        <w:rPr>
          <w:rFonts w:ascii="Consolas" w:hAnsi="Consolas" w:cs="Consolas"/>
        </w:rPr>
        <w:t xml:space="preserve">WHERE fecha_corte = CAST({fecha_corte} AS DATE)</w:t>
      </w:r>
      <w:r>
        <w:t xml:space="preserve"> asegura que únicamente se inserte la información del mes que se está procesando.</w:t>
      </w:r>
    </w:p>
    <w:p>
      <w:pPr>
        <w:pStyle w:val="Prrafodelista"/>
        <w:numPr>
          <w:ilvl w:val="0"/>
          <w:numId w:val="1"/>
        </w:numPr>
        <w:jc w:val="left"/>
      </w:pPr>
      <w:r>
        <w:rPr>
          <w:b/>
          <w:bCs/>
        </w:rPr>
        <w:t xml:space="preserve">Marca de auditoría:</w:t>
      </w:r>
      <w:r>
        <w:t xml:space="preserve"> agrega </w:t>
      </w:r>
      <w:r>
        <w:rPr>
          <w:rFonts w:ascii="Consolas" w:hAnsi="Consolas" w:cs="Consolas"/>
        </w:rPr>
        <w:t xml:space="preserve">ingestion_date = NOW()</w:t>
      </w:r>
      <w:r>
        <w:t xml:space="preserve"> y las columnas de partición </w:t>
      </w:r>
      <w:r>
        <w:rPr>
          <w:rFonts w:ascii="Consolas" w:hAnsi="Consolas" w:cs="Consolas"/>
        </w:rPr>
        <w:t xml:space="preserve">ingestion_year</w:t>
      </w:r>
      <w:r>
        <w:t xml:space="preserve">, </w:t>
      </w:r>
      <w:r>
        <w:rPr>
          <w:rFonts w:ascii="Consolas" w:hAnsi="Consolas" w:cs="Consolas"/>
        </w:rPr>
        <w:t xml:space="preserve">ingestion_month</w:t>
      </w:r>
      <w:r>
        <w:t xml:space="preserve">, </w:t>
      </w:r>
      <w:r>
        <w:rPr>
          <w:rFonts w:ascii="Consolas" w:hAnsi="Consolas" w:cs="Consolas"/>
        </w:rPr>
        <w:t xml:space="preserve">ingestion_day</w:t>
      </w:r>
      <w:r>
        <w:t xml:space="preserve">, calculadas a partir de la fecha real de ejecución. Esto permite saber exactamente cuándo entró cada registro.</w:t>
      </w:r>
    </w:p>
    <w:p>
      <w:pPr>
        <w:pStyle w:val="Prrafodelista"/>
        <w:numPr>
          <w:ilvl w:val="0"/>
          <w:numId w:val="1"/>
        </w:numPr>
        <w:jc w:val="left"/>
      </w:pPr>
      <w:r>
        <w:t xml:space="preserve">Finaliza con </w:t>
      </w:r>
      <w:r>
        <w:rPr>
          <w:rFonts w:ascii="Consolas" w:hAnsi="Consolas" w:cs="Consolas"/>
        </w:rPr>
        <w:t xml:space="preserve">COMPUTE STATS</w:t>
      </w:r>
      <w:r>
        <w:t xml:space="preserve">, que recalcula las estadísticas de la tabla para que las consultas posteriores sean más eficientes.</w:t>
      </w:r>
    </w:p>
    <w:p>
      <w:pPr>
        <w:pStyle w:val="Subttulo"/>
        <w:jc w:val="left"/>
      </w:pPr>
      <w:r>
        <w:rPr>
          <w:rFonts w:ascii="Consolas" w:hAnsi="Consolas" w:cs="Consolas"/>
        </w:rPr>
        <w:t xml:space="preserve">02_last_provision.sql</w:t>
      </w:r>
    </w:p>
    <w:p>
      <w:r>
        <w:t xml:space="preserve">Como la tabla histórica puede tener </w:t>
      </w:r>
      <w:r>
        <w:rPr>
          <w:b/>
          <w:bCs/>
        </w:rPr>
        <w:t xml:space="preserve">más de una ingestión</w:t>
      </w:r>
      <w:r>
        <w:t xml:space="preserve"> para el mismo mes (por ejemplo, si el proceso se corrió más de una vez por un reproceso), este script construye la tabla </w:t>
      </w:r>
      <w:r>
        <w:rPr>
          <w:rFonts w:ascii="Consolas" w:hAnsi="Consolas" w:cs="Consolas"/>
        </w:rPr>
        <w:t xml:space="preserve">litig_last_provision</w:t>
      </w:r>
      <w:r>
        <w:t xml:space="preserve"> con únicamente los registros de </w:t>
      </w:r>
      <w:r>
        <w:rPr>
          <w:b/>
          <w:bCs/>
        </w:rPr>
        <w:t xml:space="preserve">la ingestión más reciente</w:t>
      </w:r>
      <w:r>
        <w:t xml:space="preserve">. Su lógica:</w:t>
      </w:r>
    </w:p>
    <w:p>
      <w:pPr>
        <w:pStyle w:val="Prrafodelista"/>
        <w:numPr>
          <w:ilvl w:val="0"/>
          <w:numId w:val="102"/>
        </w:numPr>
        <w:jc w:val="left"/>
      </w:pPr>
      <w:r>
        <w:t xml:space="preserve">Un CTE (</w:t>
      </w:r>
      <w:r>
        <w:rPr>
          <w:rFonts w:ascii="Consolas" w:hAnsi="Consolas" w:cs="Consolas"/>
        </w:rPr>
        <w:t xml:space="preserve">ultima_ingestion_provision</w:t>
      </w:r>
      <w:r>
        <w:t xml:space="preserve">) filtra la tabla histórica por la </w:t>
      </w:r>
      <w:r>
        <w:rPr>
          <w:rFonts w:ascii="Consolas" w:hAnsi="Consolas" w:cs="Consolas"/>
        </w:rPr>
        <w:t xml:space="preserve">fecha_corte</w:t>
      </w:r>
      <w:r>
        <w:t xml:space="preserve"> en curso, ordena por año/mes/día/hora de ingestión en forma descendente y toma solo el primer resultado (</w:t>
      </w:r>
      <w:r>
        <w:rPr>
          <w:rFonts w:ascii="Consolas" w:hAnsi="Consolas" w:cs="Consolas"/>
        </w:rPr>
        <w:t xml:space="preserve">LIMIT 1</w:t>
      </w:r>
      <w:r>
        <w:t xml:space="preserve">), es decir, identifica cuál fue la última carga.</w:t>
      </w:r>
    </w:p>
    <w:p>
      <w:pPr>
        <w:pStyle w:val="Prrafodelista"/>
        <w:numPr>
          <w:ilvl w:val="0"/>
          <w:numId w:val="102"/>
        </w:numPr>
        <w:jc w:val="left"/>
      </w:pPr>
      <w:r>
        <w:t xml:space="preserve">La consulta principal hace un </w:t>
      </w:r>
      <w:r>
        <w:rPr>
          <w:rFonts w:ascii="Consolas" w:hAnsi="Consolas" w:cs="Consolas"/>
        </w:rPr>
        <w:t xml:space="preserve">INNER JOIN</w:t>
      </w:r>
      <w:r>
        <w:t xml:space="preserve"> entre la tabla histórica completa y ese CTE, cruzando por año, mes, día y fecha/hora exacta de ingestión, de forma que solo sobrevivan los registros que pertenecen a esa última carga.</w:t>
      </w:r>
    </w:p>
    <w:p>
      <w:pPr>
        <w:pStyle w:val="Prrafodelista"/>
        <w:numPr>
          <w:ilvl w:val="0"/>
          <w:numId w:val="102"/>
        </w:numPr>
        <w:jc w:val="left"/>
      </w:pPr>
      <w:r>
        <w:t xml:space="preserve">El resultado (</w:t>
      </w:r>
      <w:r>
        <w:rPr>
          <w:rFonts w:ascii="Consolas" w:hAnsi="Consolas" w:cs="Consolas"/>
        </w:rPr>
        <w:t xml:space="preserve">litig_last_provision</w:t>
      </w:r>
      <w:r>
        <w:t xml:space="preserve">) selecciona un subconjunto de columnas (llave, litigio, sociedad, cuantías, provisiones, calificaciones, ajustes, cuentas contables, etc.), que es el que usarán en adelante las etapas de conciliación y reportes como </w:t>
      </w:r>
      <w:r>
        <w:rPr>
          <w:b/>
          <w:bCs/>
        </w:rPr>
        <w:t xml:space="preserve">fuente única de verdad</w:t>
      </w:r>
      <w:r>
        <w:t xml:space="preserve"> del mes.</w:t>
      </w:r>
    </w:p>
    <w:p>
      <w:pPr>
        <w:pStyle w:val="Subttulo"/>
        <w:jc w:val="left"/>
      </w:pPr>
      <w:r>
        <w:rPr>
          <w:rFonts w:ascii="Consolas" w:hAnsi="Consolas" w:cs="Consolas"/>
        </w:rPr>
        <w:t xml:space="preserve">03_last_cuentas.sql</w:t>
      </w:r>
    </w:p>
    <w:p>
      <w:r>
        <w:t xml:space="preserve">Prepara el catálogo de cuentas contables que se usará en la conciliación:</w:t>
      </w:r>
    </w:p>
    <w:p>
      <w:pPr>
        <w:pStyle w:val="Prrafodelista"/>
        <w:numPr>
          <w:ilvl w:val="0"/>
          <w:numId w:val="103"/>
        </w:numPr>
        <w:jc w:val="left"/>
      </w:pPr>
      <w:r>
        <w:t xml:space="preserve">Crea una tabla auxiliar </w:t>
      </w:r>
      <w:r>
        <w:rPr>
          <w:rFonts w:ascii="Consolas" w:hAnsi="Consolas" w:cs="Consolas"/>
        </w:rPr>
        <w:t xml:space="preserve">litig_indices</w:t>
      </w:r>
      <w:r>
        <w:t xml:space="preserve"> con los valores del 1 al 8 (uno por cada tipo de cuenta contable definida para un litigio).</w:t>
      </w:r>
    </w:p>
    <w:p>
      <w:pPr>
        <w:pStyle w:val="Prrafodelista"/>
        <w:numPr>
          <w:ilvl w:val="0"/>
          <w:numId w:val="103"/>
        </w:numPr>
        <w:jc w:val="left"/>
      </w:pPr>
      <w:r>
        <w:t xml:space="preserve">Toma, mediante el CTE </w:t>
      </w:r>
      <w:r>
        <w:rPr>
          <w:rFonts w:ascii="Consolas" w:hAnsi="Consolas" w:cs="Consolas"/>
        </w:rPr>
        <w:t xml:space="preserve">cuentas_filtrada</w:t>
      </w:r>
      <w:r>
        <w:t xml:space="preserve">, la última ingestión de la tabla </w:t>
      </w:r>
      <w:r>
        <w:rPr>
          <w:rFonts w:ascii="Consolas" w:hAnsi="Consolas" w:cs="Consolas"/>
        </w:rPr>
        <w:t xml:space="preserve">litig_parametros_cuentas_hist</w:t>
      </w:r>
      <w:r>
        <w:t xml:space="preserve"> (filtrando por año/mes/día de ingestión, que llegan como parámetro </w:t>
      </w:r>
      <w:r>
        <w:rPr>
          <w:rFonts w:ascii="Consolas" w:hAnsi="Consolas" w:cs="Consolas"/>
        </w:rPr>
        <w:t xml:space="preserve">last_ing_cuentas</w:t>
      </w:r>
      <w:r>
        <w:t xml:space="preserve"> desde </w:t>
      </w:r>
      <w:r>
        <w:rPr>
          <w:rFonts w:ascii="Consolas" w:hAnsi="Consolas" w:cs="Consolas"/>
        </w:rPr>
        <w:t xml:space="preserve">etl.py</w:t>
      </w:r>
      <w:r>
        <w:t xml:space="preserve">).</w:t>
      </w:r>
    </w:p>
    <w:p>
      <w:pPr>
        <w:pStyle w:val="Prrafodelista"/>
        <w:numPr>
          <w:ilvl w:val="0"/>
          <w:numId w:val="103"/>
        </w:numPr>
        <w:jc w:val="left"/>
      </w:pPr>
      <w:r>
        <w:t xml:space="preserve">Con un </w:t>
      </w:r>
      <w:r>
        <w:rPr>
          <w:rFonts w:ascii="Consolas" w:hAnsi="Consolas" w:cs="Consolas"/>
        </w:rPr>
        <w:t xml:space="preserve">INNER JOIN</w:t>
      </w:r>
      <w:r>
        <w:t xml:space="preserve"> contra </w:t>
      </w:r>
      <w:r>
        <w:rPr>
          <w:rFonts w:ascii="Consolas" w:hAnsi="Consolas" w:cs="Consolas"/>
        </w:rPr>
        <w:t xml:space="preserve">litig_indices</w:t>
      </w:r>
      <w:r>
        <w:t xml:space="preserve"> (condición </w:t>
      </w:r>
      <w:r>
        <w:rPr>
          <w:rFonts w:ascii="Consolas" w:hAnsi="Consolas" w:cs="Consolas"/>
        </w:rPr>
        <w:t xml:space="preserve">BETWEEN 1 AND 8</w:t>
      </w:r>
      <w:r>
        <w:t xml:space="preserve">) y una expresión </w:t>
      </w:r>
      <w:r>
        <w:rPr>
          <w:rFonts w:ascii="Consolas" w:hAnsi="Consolas" w:cs="Consolas"/>
        </w:rPr>
        <w:t xml:space="preserve">CASE t2.indice WHEN 1 THEN ... WHEN 2 THEN ...</w:t>
      </w:r>
      <w:r>
        <w:t xml:space="preserve">, "desenrolla" las 8 columnas de cuentas de cada litigio (contingente 1 y 2, provisión/gasto financiero, provisión/gasto de provisión, provisión/ingreso de provisión) y las convierte en </w:t>
      </w:r>
      <w:r>
        <w:rPr>
          <w:b/>
          <w:bCs/>
        </w:rPr>
        <w:t xml:space="preserve">una fila por cuenta</w:t>
      </w:r>
      <w:r>
        <w:t xml:space="preserve">, dejando la tabla </w:t>
      </w:r>
      <w:r>
        <w:rPr>
          <w:rFonts w:ascii="Consolas" w:hAnsi="Consolas" w:cs="Consolas"/>
        </w:rPr>
        <w:t xml:space="preserve">litig_last_cuentas</w:t>
      </w:r>
      <w:r>
        <w:t xml:space="preserve"> lista para cruzar contra los saldos de SAP.</w:t>
      </w:r>
    </w:p>
    <w:p>
      <w:r>
        <w:rPr>
          <w:b/>
          <w:bCs/>
        </w:rPr>
        <w:t xml:space="preserve">Referencia de los 8 índices de cuenta usados en todo el proceso:</w:t>
      </w:r>
    </w:p>
    <w:tbl>
      <w:tblPr>
        <w:tblStyle w:val="Tablaconcuadrcula"/>
        <w:tblW w:w="9214" w:type="dxa"/>
        <w:tblLayout w:type="fixed"/>
        <w:tblLook w:val="04A0" w:firstRow="1" w:lastRow="0" w:firstColumn="1" w:lastColumn="0" w:noHBand="0" w:noVBand="1"/>
      </w:tblPr>
      <w:tblGrid>
        <w:gridCol w:w="1382"/>
        <w:gridCol w:w="7832"/>
      </w:tblGrid>
      <w:tr>
        <w:trPr>
          <w:tblHeader/>
        </w:trPr>
        <w:tc>
          <w:tcPr>
            <w:tcW w:w="1382" w:type="dxa"/>
            <w:shd w:val="clear" w:color="auto" w:fill="EDEBE8"/>
            <w:vAlign w:val="center"/>
          </w:tcPr>
          <w:p>
            <w:pPr>
              <w:jc w:val="left"/>
            </w:pPr>
            <w:r>
              <w:rPr>
                <w:b/>
                <w:bCs/>
              </w:rPr>
              <w:t xml:space="preserve">Índice</w:t>
            </w:r>
          </w:p>
        </w:tc>
        <w:tc>
          <w:tcPr>
            <w:tcW w:w="7832" w:type="dxa"/>
            <w:shd w:val="clear" w:color="auto" w:fill="EDEBE8"/>
            <w:vAlign w:val="center"/>
          </w:tcPr>
          <w:p>
            <w:pPr>
              <w:jc w:val="left"/>
            </w:pPr>
            <w:r>
              <w:rPr>
                <w:b/>
                <w:bCs/>
              </w:rPr>
              <w:t xml:space="preserve">Cuenta</w:t>
            </w:r>
          </w:p>
        </w:tc>
      </w:tr>
      <w:tr>
        <w:tc>
          <w:tcPr>
            <w:tcW w:w="1382" w:type="dxa"/>
            <w:vAlign w:val="center"/>
          </w:tcPr>
          <w:p>
            <w:pPr>
              <w:jc w:val="left"/>
            </w:pPr>
            <w:r>
              <w:t xml:space="preserve">1</w:t>
            </w:r>
          </w:p>
        </w:tc>
        <w:tc>
          <w:tcPr>
            <w:tcW w:w="7832" w:type="dxa"/>
            <w:vAlign w:val="center"/>
          </w:tcPr>
          <w:p>
            <w:pPr>
              <w:jc w:val="left"/>
            </w:pPr>
            <w:r>
              <w:rPr>
                <w:rFonts w:ascii="Consolas" w:hAnsi="Consolas" w:cs="Consolas"/>
              </w:rPr>
              <w:t xml:space="preserve">cuenta_contingente_1</w:t>
            </w:r>
          </w:p>
        </w:tc>
      </w:tr>
      <w:tr>
        <w:tc>
          <w:tcPr>
            <w:tcW w:w="1382" w:type="dxa"/>
            <w:vAlign w:val="center"/>
          </w:tcPr>
          <w:p>
            <w:pPr>
              <w:jc w:val="left"/>
            </w:pPr>
            <w:r>
              <w:t xml:space="preserve">2</w:t>
            </w:r>
          </w:p>
        </w:tc>
        <w:tc>
          <w:tcPr>
            <w:tcW w:w="7832" w:type="dxa"/>
            <w:vAlign w:val="center"/>
          </w:tcPr>
          <w:p>
            <w:pPr>
              <w:jc w:val="left"/>
            </w:pPr>
            <w:r>
              <w:rPr>
                <w:rFonts w:ascii="Consolas" w:hAnsi="Consolas" w:cs="Consolas"/>
              </w:rPr>
              <w:t xml:space="preserve">cuenta_contingente_2</w:t>
            </w:r>
          </w:p>
        </w:tc>
      </w:tr>
      <w:tr>
        <w:tc>
          <w:tcPr>
            <w:tcW w:w="1382" w:type="dxa"/>
            <w:vAlign w:val="center"/>
          </w:tcPr>
          <w:p>
            <w:pPr>
              <w:jc w:val="left"/>
            </w:pPr>
            <w:r>
              <w:t xml:space="preserve">3</w:t>
            </w:r>
          </w:p>
        </w:tc>
        <w:tc>
          <w:tcPr>
            <w:tcW w:w="7832" w:type="dxa"/>
            <w:vAlign w:val="center"/>
          </w:tcPr>
          <w:p>
            <w:pPr>
              <w:jc w:val="left"/>
            </w:pPr>
            <w:r>
              <w:rPr>
                <w:rFonts w:ascii="Consolas" w:hAnsi="Consolas" w:cs="Consolas"/>
              </w:rPr>
              <w:t xml:space="preserve">cuenta_provision_gasto_financiero</w:t>
            </w:r>
          </w:p>
        </w:tc>
      </w:tr>
      <w:tr>
        <w:tc>
          <w:tcPr>
            <w:tcW w:w="1382" w:type="dxa"/>
            <w:vAlign w:val="center"/>
          </w:tcPr>
          <w:p>
            <w:pPr>
              <w:jc w:val="left"/>
            </w:pPr>
            <w:r>
              <w:t xml:space="preserve">4</w:t>
            </w:r>
          </w:p>
        </w:tc>
        <w:tc>
          <w:tcPr>
            <w:tcW w:w="7832" w:type="dxa"/>
            <w:vAlign w:val="center"/>
          </w:tcPr>
          <w:p>
            <w:pPr>
              <w:jc w:val="left"/>
            </w:pPr>
            <w:r>
              <w:rPr>
                <w:rFonts w:ascii="Consolas" w:hAnsi="Consolas" w:cs="Consolas"/>
              </w:rPr>
              <w:t xml:space="preserve">cuenta_gasto_financiero</w:t>
            </w:r>
          </w:p>
        </w:tc>
      </w:tr>
      <w:tr>
        <w:tc>
          <w:tcPr>
            <w:tcW w:w="1382" w:type="dxa"/>
            <w:vAlign w:val="center"/>
          </w:tcPr>
          <w:p>
            <w:pPr>
              <w:jc w:val="left"/>
            </w:pPr>
            <w:r>
              <w:t xml:space="preserve">5</w:t>
            </w:r>
          </w:p>
        </w:tc>
        <w:tc>
          <w:tcPr>
            <w:tcW w:w="7832" w:type="dxa"/>
            <w:vAlign w:val="center"/>
          </w:tcPr>
          <w:p>
            <w:pPr>
              <w:jc w:val="left"/>
            </w:pPr>
            <w:r>
              <w:rPr>
                <w:rFonts w:ascii="Consolas" w:hAnsi="Consolas" w:cs="Consolas"/>
              </w:rPr>
              <w:t xml:space="preserve">cuenta_provision_gasto_provision</w:t>
            </w:r>
          </w:p>
        </w:tc>
      </w:tr>
      <w:tr>
        <w:tc>
          <w:tcPr>
            <w:tcW w:w="1382" w:type="dxa"/>
            <w:vAlign w:val="center"/>
          </w:tcPr>
          <w:p>
            <w:pPr>
              <w:jc w:val="left"/>
            </w:pPr>
            <w:r>
              <w:t xml:space="preserve">6</w:t>
            </w:r>
          </w:p>
        </w:tc>
        <w:tc>
          <w:tcPr>
            <w:tcW w:w="7832" w:type="dxa"/>
            <w:vAlign w:val="center"/>
          </w:tcPr>
          <w:p>
            <w:pPr>
              <w:jc w:val="left"/>
            </w:pPr>
            <w:r>
              <w:rPr>
                <w:rFonts w:ascii="Consolas" w:hAnsi="Consolas" w:cs="Consolas"/>
              </w:rPr>
              <w:t xml:space="preserve">cuenta_gasto_provision</w:t>
            </w:r>
          </w:p>
        </w:tc>
      </w:tr>
      <w:tr>
        <w:tc>
          <w:tcPr>
            <w:tcW w:w="1382" w:type="dxa"/>
            <w:vAlign w:val="center"/>
          </w:tcPr>
          <w:p>
            <w:pPr>
              <w:jc w:val="left"/>
            </w:pPr>
            <w:r>
              <w:t xml:space="preserve">7</w:t>
            </w:r>
          </w:p>
        </w:tc>
        <w:tc>
          <w:tcPr>
            <w:tcW w:w="7832" w:type="dxa"/>
            <w:vAlign w:val="center"/>
          </w:tcPr>
          <w:p>
            <w:pPr>
              <w:jc w:val="left"/>
            </w:pPr>
            <w:r>
              <w:rPr>
                <w:rFonts w:ascii="Consolas" w:hAnsi="Consolas" w:cs="Consolas"/>
              </w:rPr>
              <w:t xml:space="preserve">cuenta_provision_ingreso_provision</w:t>
            </w:r>
          </w:p>
        </w:tc>
      </w:tr>
      <w:tr>
        <w:tc>
          <w:tcPr>
            <w:tcW w:w="1382" w:type="dxa"/>
            <w:vAlign w:val="center"/>
          </w:tcPr>
          <w:p>
            <w:pPr>
              <w:jc w:val="left"/>
            </w:pPr>
            <w:r>
              <w:t xml:space="preserve">8</w:t>
            </w:r>
          </w:p>
        </w:tc>
        <w:tc>
          <w:tcPr>
            <w:tcW w:w="7832" w:type="dxa"/>
            <w:vAlign w:val="center"/>
          </w:tcPr>
          <w:p>
            <w:pPr>
              <w:jc w:val="left"/>
            </w:pPr>
            <w:r>
              <w:rPr>
                <w:rFonts w:ascii="Consolas" w:hAnsi="Consolas" w:cs="Consolas"/>
              </w:rPr>
              <w:t xml:space="preserve">cuenta_ingreso_provision</w:t>
            </w:r>
          </w:p>
        </w:tc>
      </w:tr>
    </w:tbl>
    <w:p/>
    <w:p>
      <w:pPr>
        <w:pStyle w:val="Ttulo2"/>
      </w:pPr>
      <w:bookmarkStart w:id="90000031" w:name="_Toc90000032"/>
      <w:r>
        <w:t xml:space="preserve">7.2. Etapa 2 — Conciliación contra SAP (</w:t>
      </w:r>
      <w:r>
        <w:rPr>
          <w:rFonts w:ascii="Consolas" w:hAnsi="Consolas" w:cs="Consolas"/>
        </w:rPr>
        <w:t xml:space="preserve">sql/conciliacion/</w:t>
      </w:r>
      <w:r>
        <w:t xml:space="preserve">)</w:t>
      </w:r>
      <w:bookmarkEnd w:id="90000031"/>
    </w:p>
    <w:p/>
    <w:p>
      <w:r>
        <w:t xml:space="preserve">Objetivo: comprobar que el valor que la EUC dice que se debe ajustar contablemente coincide con lo que realmente se movió en la contabilidad del banco (SAP).</w:t>
      </w:r>
    </w:p>
    <w:p>
      <w:pPr>
        <w:pStyle w:val="Subttulo"/>
        <w:jc w:val="left"/>
      </w:pPr>
      <w:r>
        <w:rPr>
          <w:rFonts w:ascii="Consolas" w:hAnsi="Consolas" w:cs="Consolas"/>
        </w:rPr>
        <w:t xml:space="preserve">00_prov_ajustes.sql</w:t>
      </w:r>
      <w:r>
        <w:t xml:space="preserve"> — Cálculo del ajuste esperado</w:t>
      </w:r>
    </w:p>
    <w:p>
      <w:r>
        <w:t xml:space="preserve">Construye la tabla </w:t>
      </w:r>
      <w:r>
        <w:rPr>
          <w:rFonts w:ascii="Consolas" w:hAnsi="Consolas" w:cs="Consolas"/>
        </w:rPr>
        <w:t xml:space="preserve">litig_ajustes</w:t>
      </w:r>
      <w:r>
        <w:t xml:space="preserve">, que determina, por litigio, sociedad y cuenta, cuál era el movimiento contable que </w:t>
      </w:r>
      <w:r>
        <w:rPr>
          <w:b/>
          <w:bCs/>
        </w:rPr>
        <w:t xml:space="preserve">debía</w:t>
      </w:r>
      <w:r>
        <w:t xml:space="preserve"> producirse ese mes según el cálculo de la EUC. Su lógica:</w:t>
      </w:r>
    </w:p>
    <w:p>
      <w:pPr>
        <w:pStyle w:val="Prrafodelista"/>
        <w:numPr>
          <w:ilvl w:val="0"/>
          <w:numId w:val="104"/>
        </w:numPr>
        <w:jc w:val="left"/>
      </w:pPr>
      <w:r>
        <w:t xml:space="preserve">El CTE </w:t>
      </w:r>
      <w:r>
        <w:rPr>
          <w:rFonts w:ascii="Consolas" w:hAnsi="Consolas" w:cs="Consolas"/>
        </w:rPr>
        <w:t xml:space="preserve">ajustes_calculados</w:t>
      </w:r>
      <w:r>
        <w:t xml:space="preserve"> cruza </w:t>
      </w:r>
      <w:r>
        <w:rPr>
          <w:rFonts w:ascii="Consolas" w:hAnsi="Consolas" w:cs="Consolas"/>
        </w:rPr>
        <w:t xml:space="preserve">litig_last_provision</w:t>
      </w:r>
      <w:r>
        <w:t xml:space="preserve"> con </w:t>
      </w:r>
      <w:r>
        <w:rPr>
          <w:rFonts w:ascii="Consolas" w:hAnsi="Consolas" w:cs="Consolas"/>
        </w:rPr>
        <w:t xml:space="preserve">litig_indices</w:t>
      </w:r>
      <w:r>
        <w:t xml:space="preserve"> (</w:t>
      </w:r>
      <w:r>
        <w:rPr>
          <w:rFonts w:ascii="Consolas" w:hAnsi="Consolas" w:cs="Consolas"/>
        </w:rPr>
        <w:t xml:space="preserve">BETWEEN 1 AND 8</w:t>
      </w:r>
      <w:r>
        <w:t xml:space="preserve">), de forma que cada litigio se "explota" en sus 8 posibles cuentas.</w:t>
      </w:r>
    </w:p>
    <w:p>
      <w:pPr>
        <w:pStyle w:val="Prrafodelista"/>
        <w:numPr>
          <w:ilvl w:val="0"/>
          <w:numId w:val="104"/>
        </w:numPr>
        <w:jc w:val="left"/>
      </w:pPr>
      <w:r>
        <w:t xml:space="preserve">Para cada índice, un </w:t>
      </w:r>
      <w:r>
        <w:rPr>
          <w:rFonts w:ascii="Consolas" w:hAnsi="Consolas" w:cs="Consolas"/>
        </w:rPr>
        <w:t xml:space="preserve">CASE</w:t>
      </w:r>
      <w:r>
        <w:t xml:space="preserve"> determina la </w:t>
      </w:r>
      <w:r>
        <w:rPr>
          <w:b/>
          <w:bCs/>
        </w:rPr>
        <w:t xml:space="preserve">cuenta</w:t>
      </w:r>
      <w:r>
        <w:t xml:space="preserve"> correspondiente y otro </w:t>
      </w:r>
      <w:r>
        <w:rPr>
          <w:rFonts w:ascii="Consolas" w:hAnsi="Consolas" w:cs="Consolas"/>
        </w:rPr>
        <w:t xml:space="preserve">CASE</w:t>
      </w:r>
      <w:r>
        <w:t xml:space="preserve"> determina el </w:t>
      </w:r>
      <w:r>
        <w:rPr>
          <w:b/>
          <w:bCs/>
        </w:rPr>
        <w:t xml:space="preserve">valor y signo del ajuste</w:t>
      </w:r>
      <w:r>
        <w:t xml:space="preserve">:</w:t>
      </w:r>
    </w:p>
    <w:tbl>
      <w:tblPr>
        <w:tblStyle w:val="Tablaconcuadrcula"/>
        <w:tblW w:w="9214" w:type="dxa"/>
        <w:tblLayout w:type="fixed"/>
        <w:tblLook w:val="04A0" w:firstRow="1" w:lastRow="0" w:firstColumn="1" w:lastColumn="0" w:noHBand="0" w:noVBand="1"/>
      </w:tblPr>
      <w:tblGrid>
        <w:gridCol w:w="1105"/>
        <w:gridCol w:w="3224"/>
        <w:gridCol w:w="4885"/>
      </w:tblGrid>
      <w:tr>
        <w:trPr>
          <w:tblHeader/>
        </w:trPr>
        <w:tc>
          <w:tcPr>
            <w:tcW w:w="1105" w:type="dxa"/>
            <w:shd w:val="clear" w:color="auto" w:fill="EDEBE8"/>
            <w:vAlign w:val="center"/>
          </w:tcPr>
          <w:p>
            <w:pPr>
              <w:jc w:val="left"/>
            </w:pPr>
            <w:r>
              <w:rPr>
                <w:b/>
                <w:bCs/>
              </w:rPr>
              <w:t xml:space="preserve">Índice</w:t>
            </w:r>
          </w:p>
        </w:tc>
        <w:tc>
          <w:tcPr>
            <w:tcW w:w="3224" w:type="dxa"/>
            <w:shd w:val="clear" w:color="auto" w:fill="EDEBE8"/>
            <w:vAlign w:val="center"/>
          </w:tcPr>
          <w:p>
            <w:pPr>
              <w:jc w:val="left"/>
            </w:pPr>
            <w:r>
              <w:rPr>
                <w:b/>
                <w:bCs/>
              </w:rPr>
              <w:t xml:space="preserve">Cuenta</w:t>
            </w:r>
          </w:p>
        </w:tc>
        <w:tc>
          <w:tcPr>
            <w:tcW w:w="4885" w:type="dxa"/>
            <w:shd w:val="clear" w:color="auto" w:fill="EDEBE8"/>
            <w:vAlign w:val="center"/>
          </w:tcPr>
          <w:p>
            <w:pPr>
              <w:jc w:val="left"/>
            </w:pPr>
            <w:r>
              <w:rPr>
                <w:b/>
                <w:bCs/>
              </w:rPr>
              <w:t xml:space="preserve">Ajuste esperado</w:t>
            </w:r>
          </w:p>
        </w:tc>
      </w:tr>
      <w:tr>
        <w:tc>
          <w:tcPr>
            <w:tcW w:w="1105" w:type="dxa"/>
            <w:vAlign w:val="center"/>
          </w:tcPr>
          <w:p>
            <w:pPr>
              <w:jc w:val="left"/>
            </w:pPr>
            <w:r>
              <w:t xml:space="preserve">1</w:t>
            </w:r>
          </w:p>
        </w:tc>
        <w:tc>
          <w:tcPr>
            <w:tcW w:w="3224" w:type="dxa"/>
            <w:vAlign w:val="center"/>
          </w:tcPr>
          <w:p>
            <w:pPr>
              <w:jc w:val="left"/>
            </w:pPr>
            <w:r>
              <w:t xml:space="preserve">Contingente 1</w:t>
            </w:r>
          </w:p>
        </w:tc>
        <w:tc>
          <w:tcPr>
            <w:tcW w:w="4885" w:type="dxa"/>
            <w:vAlign w:val="center"/>
          </w:tcPr>
          <w:p>
            <w:pPr>
              <w:jc w:val="left"/>
            </w:pPr>
            <w:r>
              <w:rPr>
                <w:rFonts w:ascii="Consolas" w:hAnsi="Consolas" w:cs="Consolas"/>
              </w:rPr>
              <w:t xml:space="preserve">+ SUM(ajuste_61)</w:t>
            </w:r>
          </w:p>
        </w:tc>
      </w:tr>
      <w:tr>
        <w:tc>
          <w:tcPr>
            <w:tcW w:w="1105" w:type="dxa"/>
            <w:vAlign w:val="center"/>
          </w:tcPr>
          <w:p>
            <w:pPr>
              <w:jc w:val="left"/>
            </w:pPr>
            <w:r>
              <w:t xml:space="preserve">2</w:t>
            </w:r>
          </w:p>
        </w:tc>
        <w:tc>
          <w:tcPr>
            <w:tcW w:w="3224" w:type="dxa"/>
            <w:vAlign w:val="center"/>
          </w:tcPr>
          <w:p>
            <w:pPr>
              <w:jc w:val="left"/>
            </w:pPr>
            <w:r>
              <w:t xml:space="preserve">Contingente 2</w:t>
            </w:r>
          </w:p>
        </w:tc>
        <w:tc>
          <w:tcPr>
            <w:tcW w:w="4885" w:type="dxa"/>
            <w:vAlign w:val="center"/>
          </w:tcPr>
          <w:p>
            <w:pPr>
              <w:jc w:val="left"/>
            </w:pPr>
            <w:r>
              <w:rPr>
                <w:rFonts w:ascii="Consolas" w:hAnsi="Consolas" w:cs="Consolas"/>
              </w:rPr>
              <w:t xml:space="preserve">− SUM(ajuste_61)</w:t>
            </w:r>
          </w:p>
        </w:tc>
      </w:tr>
      <w:tr>
        <w:tc>
          <w:tcPr>
            <w:tcW w:w="1105" w:type="dxa"/>
            <w:vAlign w:val="center"/>
          </w:tcPr>
          <w:p>
            <w:pPr>
              <w:jc w:val="left"/>
            </w:pPr>
            <w:r>
              <w:t xml:space="preserve">3</w:t>
            </w:r>
          </w:p>
        </w:tc>
        <w:tc>
          <w:tcPr>
            <w:tcW w:w="3224" w:type="dxa"/>
            <w:vAlign w:val="center"/>
          </w:tcPr>
          <w:p>
            <w:pPr>
              <w:jc w:val="left"/>
            </w:pPr>
            <w:r>
              <w:t xml:space="preserve">Provisión gasto financiero</w:t>
            </w:r>
          </w:p>
        </w:tc>
        <w:tc>
          <w:tcPr>
            <w:tcW w:w="4885" w:type="dxa"/>
            <w:vAlign w:val="center"/>
          </w:tcPr>
          <w:p>
            <w:pPr>
              <w:jc w:val="left"/>
            </w:pPr>
            <w:r>
              <w:rPr>
                <w:rFonts w:ascii="Consolas" w:hAnsi="Consolas" w:cs="Consolas"/>
              </w:rPr>
              <w:t xml:space="preserve">+ SUM(ajuste_gasto_financiero)</w:t>
            </w:r>
          </w:p>
        </w:tc>
      </w:tr>
      <w:tr>
        <w:tc>
          <w:tcPr>
            <w:tcW w:w="1105" w:type="dxa"/>
            <w:vAlign w:val="center"/>
          </w:tcPr>
          <w:p>
            <w:pPr>
              <w:jc w:val="left"/>
            </w:pPr>
            <w:r>
              <w:t xml:space="preserve">4</w:t>
            </w:r>
          </w:p>
        </w:tc>
        <w:tc>
          <w:tcPr>
            <w:tcW w:w="3224" w:type="dxa"/>
            <w:vAlign w:val="center"/>
          </w:tcPr>
          <w:p>
            <w:pPr>
              <w:jc w:val="left"/>
            </w:pPr>
            <w:r>
              <w:t xml:space="preserve">Gasto financiero</w:t>
            </w:r>
          </w:p>
        </w:tc>
        <w:tc>
          <w:tcPr>
            <w:tcW w:w="4885" w:type="dxa"/>
            <w:vAlign w:val="center"/>
          </w:tcPr>
          <w:p>
            <w:pPr>
              <w:jc w:val="left"/>
            </w:pPr>
            <w:r>
              <w:rPr>
                <w:rFonts w:ascii="Consolas" w:hAnsi="Consolas" w:cs="Consolas"/>
              </w:rPr>
              <w:t xml:space="preserve">− SUM(ajuste_gasto_financiero)</w:t>
            </w:r>
          </w:p>
        </w:tc>
      </w:tr>
      <w:tr>
        <w:tc>
          <w:tcPr>
            <w:tcW w:w="1105" w:type="dxa"/>
            <w:vAlign w:val="center"/>
          </w:tcPr>
          <w:p>
            <w:pPr>
              <w:jc w:val="left"/>
            </w:pPr>
            <w:r>
              <w:t xml:space="preserve">5</w:t>
            </w:r>
          </w:p>
        </w:tc>
        <w:tc>
          <w:tcPr>
            <w:tcW w:w="3224" w:type="dxa"/>
            <w:vAlign w:val="center"/>
          </w:tcPr>
          <w:p>
            <w:pPr>
              <w:jc w:val="left"/>
            </w:pPr>
            <w:r>
              <w:t xml:space="preserve">Provisión gasto provisión</w:t>
            </w:r>
          </w:p>
        </w:tc>
        <w:tc>
          <w:tcPr>
            <w:tcW w:w="4885" w:type="dxa"/>
            <w:vAlign w:val="center"/>
          </w:tcPr>
          <w:p>
            <w:pPr>
              <w:jc w:val="left"/>
            </w:pPr>
            <w:r>
              <w:rPr>
                <w:rFonts w:ascii="Consolas" w:hAnsi="Consolas" w:cs="Consolas"/>
              </w:rPr>
              <w:t xml:space="preserve">+ (SUM(ajuste_provision_niif) − SUM(recuperacion))</w:t>
            </w:r>
          </w:p>
        </w:tc>
      </w:tr>
      <w:tr>
        <w:tc>
          <w:tcPr>
            <w:tcW w:w="1105" w:type="dxa"/>
            <w:vAlign w:val="center"/>
          </w:tcPr>
          <w:p>
            <w:pPr>
              <w:jc w:val="left"/>
            </w:pPr>
            <w:r>
              <w:t xml:space="preserve">6</w:t>
            </w:r>
          </w:p>
        </w:tc>
        <w:tc>
          <w:tcPr>
            <w:tcW w:w="3224" w:type="dxa"/>
            <w:vAlign w:val="center"/>
          </w:tcPr>
          <w:p>
            <w:pPr>
              <w:jc w:val="left"/>
            </w:pPr>
            <w:r>
              <w:t xml:space="preserve">Gasto provisión</w:t>
            </w:r>
          </w:p>
        </w:tc>
        <w:tc>
          <w:tcPr>
            <w:tcW w:w="4885" w:type="dxa"/>
            <w:vAlign w:val="center"/>
          </w:tcPr>
          <w:p>
            <w:pPr>
              <w:jc w:val="left"/>
            </w:pPr>
            <w:r>
              <w:rPr>
                <w:rFonts w:ascii="Consolas" w:hAnsi="Consolas" w:cs="Consolas"/>
              </w:rPr>
              <w:t xml:space="preserve">− (SUM(ajuste_provision_niif) − SUM(recuperacion))</w:t>
            </w:r>
          </w:p>
        </w:tc>
      </w:tr>
      <w:tr>
        <w:tc>
          <w:tcPr>
            <w:tcW w:w="1105" w:type="dxa"/>
            <w:vAlign w:val="center"/>
          </w:tcPr>
          <w:p>
            <w:pPr>
              <w:jc w:val="left"/>
            </w:pPr>
            <w:r>
              <w:t xml:space="preserve">7</w:t>
            </w:r>
          </w:p>
        </w:tc>
        <w:tc>
          <w:tcPr>
            <w:tcW w:w="3224" w:type="dxa"/>
            <w:vAlign w:val="center"/>
          </w:tcPr>
          <w:p>
            <w:pPr>
              <w:jc w:val="left"/>
            </w:pPr>
            <w:r>
              <w:t xml:space="preserve">Provisión ingreso provisión</w:t>
            </w:r>
          </w:p>
        </w:tc>
        <w:tc>
          <w:tcPr>
            <w:tcW w:w="4885" w:type="dxa"/>
            <w:vAlign w:val="center"/>
          </w:tcPr>
          <w:p>
            <w:pPr>
              <w:jc w:val="left"/>
            </w:pPr>
            <w:r>
              <w:rPr>
                <w:rFonts w:ascii="Consolas" w:hAnsi="Consolas" w:cs="Consolas"/>
              </w:rPr>
              <w:t xml:space="preserve">+ SUM(recuperacion)</w:t>
            </w:r>
          </w:p>
        </w:tc>
      </w:tr>
      <w:tr>
        <w:tc>
          <w:tcPr>
            <w:tcW w:w="1105" w:type="dxa"/>
            <w:vAlign w:val="center"/>
          </w:tcPr>
          <w:p>
            <w:pPr>
              <w:jc w:val="left"/>
            </w:pPr>
            <w:r>
              <w:t xml:space="preserve">8</w:t>
            </w:r>
          </w:p>
        </w:tc>
        <w:tc>
          <w:tcPr>
            <w:tcW w:w="3224" w:type="dxa"/>
            <w:vAlign w:val="center"/>
          </w:tcPr>
          <w:p>
            <w:pPr>
              <w:jc w:val="left"/>
            </w:pPr>
            <w:r>
              <w:t xml:space="preserve">Ingreso provisión</w:t>
            </w:r>
          </w:p>
        </w:tc>
        <w:tc>
          <w:tcPr>
            <w:tcW w:w="4885" w:type="dxa"/>
            <w:vAlign w:val="center"/>
          </w:tcPr>
          <w:p>
            <w:pPr>
              <w:jc w:val="left"/>
            </w:pPr>
            <w:r>
              <w:rPr>
                <w:rFonts w:ascii="Consolas" w:hAnsi="Consolas" w:cs="Consolas"/>
              </w:rPr>
              <w:t xml:space="preserve">− SUM(recuperacion)</w:t>
            </w:r>
          </w:p>
        </w:tc>
      </w:tr>
    </w:tbl>
    <w:p/>
    <w:p>
      <w:pPr>
        <w:pStyle w:val="Prrafodelista"/>
        <w:numPr>
          <w:ilvl w:val="0"/>
          <w:numId w:val="104"/>
        </w:numPr>
        <w:jc w:val="left"/>
      </w:pPr>
      <w:r>
        <w:t xml:space="preserve">Antes de agrupar, la sociedad </w:t>
      </w:r>
      <w:r>
        <w:rPr>
          <w:rFonts w:ascii="Consolas" w:hAnsi="Consolas" w:cs="Consolas"/>
        </w:rPr>
        <w:t xml:space="preserve">NEQUI</w:t>
      </w:r>
      <w:r>
        <w:t xml:space="preserve"> se reclasifica como </w:t>
      </w:r>
      <w:r>
        <w:rPr>
          <w:rFonts w:ascii="Consolas" w:hAnsi="Consolas" w:cs="Consolas"/>
        </w:rPr>
        <w:t xml:space="preserve">BANCOLOMBIA</w:t>
      </w:r>
      <w:r>
        <w:t xml:space="preserve"> (</w:t>
      </w:r>
      <w:r>
        <w:rPr>
          <w:rFonts w:ascii="Consolas" w:hAnsi="Consolas" w:cs="Consolas"/>
        </w:rPr>
        <w:t xml:space="preserve">CASE WHEN sociedad IN ('BANCOLOMBIA','NEQUI') THEN 'BANCOLOMBIA' ELSE sociedad END</w:t>
      </w:r>
      <w:r>
        <w:t xml:space="preserve">), de modo que ambas se concilian como una sola entidad contable.</w:t>
      </w:r>
    </w:p>
    <w:p>
      <w:pPr>
        <w:pStyle w:val="Prrafodelista"/>
        <w:numPr>
          <w:ilvl w:val="0"/>
          <w:numId w:val="104"/>
        </w:numPr>
        <w:jc w:val="left"/>
      </w:pPr>
      <w:r>
        <w:t xml:space="preserve">La consulta final agrupa por </w:t>
      </w:r>
      <w:r>
        <w:rPr>
          <w:rFonts w:ascii="Consolas" w:hAnsi="Consolas" w:cs="Consolas"/>
        </w:rPr>
        <w:t xml:space="preserve">fecha_corte</w:t>
      </w:r>
      <w:r>
        <w:t xml:space="preserve">, </w:t>
      </w:r>
      <w:r>
        <w:rPr>
          <w:rFonts w:ascii="Consolas" w:hAnsi="Consolas" w:cs="Consolas"/>
        </w:rPr>
        <w:t xml:space="preserve">litigio</w:t>
      </w:r>
      <w:r>
        <w:t xml:space="preserve">, </w:t>
      </w:r>
      <w:r>
        <w:rPr>
          <w:rFonts w:ascii="Consolas" w:hAnsi="Consolas" w:cs="Consolas"/>
        </w:rPr>
        <w:t xml:space="preserve">sociedad</w:t>
      </w:r>
      <w:r>
        <w:t xml:space="preserve"> y </w:t>
      </w:r>
      <w:r>
        <w:rPr>
          <w:rFonts w:ascii="Consolas" w:hAnsi="Consolas" w:cs="Consolas"/>
        </w:rPr>
        <w:t xml:space="preserve">cuenta</w:t>
      </w:r>
      <w:r>
        <w:t xml:space="preserve">, y </w:t>
      </w:r>
      <w:r>
        <w:rPr>
          <w:b/>
          <w:bCs/>
        </w:rPr>
        <w:t xml:space="preserve">suma los ajustes</w:t>
      </w:r>
      <w:r>
        <w:t xml:space="preserve"> de todos los litigios que comparten la misma cuenta (esto es relevante porque varias reglas de la tabla anterior pueden apuntar a la misma cuenta, por ejemplo la cuenta 28). El resultado es el valor </w:t>
      </w:r>
      <w:r>
        <w:rPr>
          <w:rFonts w:ascii="Consolas" w:hAnsi="Consolas" w:cs="Consolas"/>
        </w:rPr>
        <w:t xml:space="preserve">ajuste</w:t>
      </w:r>
      <w:r>
        <w:t xml:space="preserve"> que se compara contra SAP en el siguiente paso.</w:t>
      </w:r>
    </w:p>
    <w:p>
      <w:pPr>
        <w:pStyle w:val="Subttulo"/>
        <w:jc w:val="left"/>
      </w:pPr>
      <w:r>
        <w:rPr>
          <w:rFonts w:ascii="Consolas" w:hAnsi="Consolas" w:cs="Consolas"/>
        </w:rPr>
        <w:t xml:space="preserve">01_conciliacion_bancolombia.sql</w:t>
      </w:r>
      <w:r>
        <w:t xml:space="preserve">, </w:t>
      </w:r>
      <w:r>
        <w:rPr>
          <w:rFonts w:ascii="Consolas" w:hAnsi="Consolas" w:cs="Consolas"/>
        </w:rPr>
        <w:t xml:space="preserve">02_conciliacion_fiduciaria.sql</w:t>
      </w:r>
      <w:r>
        <w:t xml:space="preserve">, </w:t>
      </w:r>
      <w:r>
        <w:rPr>
          <w:rFonts w:ascii="Consolas" w:hAnsi="Consolas" w:cs="Consolas"/>
        </w:rPr>
        <w:t xml:space="preserve">03_conciliacion_banca_inversion.sql</w:t>
      </w:r>
      <w:r>
        <w:t xml:space="preserve">, </w:t>
      </w:r>
      <w:r>
        <w:rPr>
          <w:rFonts w:ascii="Consolas" w:hAnsi="Consolas" w:cs="Consolas"/>
        </w:rPr>
        <w:t xml:space="preserve">04_conciliacion_valores.sql</w:t>
      </w:r>
    </w:p>
    <w:p>
      <w:r>
        <w:t xml:space="preserve">Son cuatro archivos con </w:t>
      </w:r>
      <w:r>
        <w:rPr>
          <w:b/>
          <w:bCs/>
        </w:rPr>
        <w:t xml:space="preserve">exactamente la misma lógica</w:t>
      </w:r>
      <w:r>
        <w:t xml:space="preserve">, cada uno enfocado en una sociedad y en su tabla de saldos de SAP correspondiente:</w:t>
      </w:r>
    </w:p>
    <w:tbl>
      <w:tblPr>
        <w:tblStyle w:val="Tablaconcuadrcula"/>
        <w:tblW w:w="9214" w:type="dxa"/>
        <w:tblLayout w:type="fixed"/>
        <w:tblLook w:val="04A0" w:firstRow="1" w:lastRow="0" w:firstColumn="1" w:lastColumn="0" w:noHBand="0" w:noVBand="1"/>
      </w:tblPr>
      <w:tblGrid>
        <w:gridCol w:w="3132"/>
        <w:gridCol w:w="2395"/>
        <w:gridCol w:w="3687"/>
      </w:tblGrid>
      <w:tr>
        <w:trPr>
          <w:tblHeader/>
        </w:trPr>
        <w:tc>
          <w:tcPr>
            <w:tcW w:w="3132" w:type="dxa"/>
            <w:shd w:val="clear" w:color="auto" w:fill="EDEBE8"/>
            <w:vAlign w:val="center"/>
          </w:tcPr>
          <w:p>
            <w:pPr>
              <w:jc w:val="left"/>
            </w:pPr>
            <w:r>
              <w:rPr>
                <w:b/>
                <w:bCs/>
              </w:rPr>
              <w:t xml:space="preserve">Archivo</w:t>
            </w:r>
          </w:p>
        </w:tc>
        <w:tc>
          <w:tcPr>
            <w:tcW w:w="2395" w:type="dxa"/>
            <w:shd w:val="clear" w:color="auto" w:fill="EDEBE8"/>
            <w:vAlign w:val="center"/>
          </w:tcPr>
          <w:p>
            <w:pPr>
              <w:jc w:val="left"/>
            </w:pPr>
            <w:r>
              <w:rPr>
                <w:b/>
                <w:bCs/>
              </w:rPr>
              <w:t xml:space="preserve">Sociedad</w:t>
            </w:r>
          </w:p>
        </w:tc>
        <w:tc>
          <w:tcPr>
            <w:tcW w:w="3687" w:type="dxa"/>
            <w:shd w:val="clear" w:color="auto" w:fill="EDEBE8"/>
            <w:vAlign w:val="center"/>
          </w:tcPr>
          <w:p>
            <w:pPr>
              <w:jc w:val="left"/>
            </w:pPr>
            <w:r>
              <w:rPr>
                <w:b/>
                <w:bCs/>
              </w:rPr>
              <w:t xml:space="preserve">Tabla de saldos SAP</w:t>
            </w:r>
          </w:p>
        </w:tc>
      </w:tr>
      <w:tr>
        <w:tc>
          <w:tcPr>
            <w:tcW w:w="3132" w:type="dxa"/>
            <w:vAlign w:val="center"/>
          </w:tcPr>
          <w:p>
            <w:pPr>
              <w:jc w:val="left"/>
            </w:pPr>
            <w:r>
              <w:rPr>
                <w:rFonts w:ascii="Consolas" w:hAnsi="Consolas" w:cs="Consolas"/>
              </w:rPr>
              <w:t xml:space="preserve">01_conciliacion_bancolombia.sql</w:t>
            </w:r>
          </w:p>
        </w:tc>
        <w:tc>
          <w:tcPr>
            <w:tcW w:w="2395" w:type="dxa"/>
            <w:vAlign w:val="center"/>
          </w:tcPr>
          <w:p>
            <w:pPr>
              <w:jc w:val="left"/>
            </w:pPr>
            <w:r>
              <w:t xml:space="preserve">Bancolombia</w:t>
            </w:r>
          </w:p>
        </w:tc>
        <w:tc>
          <w:tcPr>
            <w:tcW w:w="3687" w:type="dxa"/>
            <w:vAlign w:val="center"/>
          </w:tcPr>
          <w:p>
            <w:pPr>
              <w:jc w:val="left"/>
            </w:pPr>
            <w:r>
              <w:rPr>
                <w:rFonts w:ascii="Consolas" w:hAnsi="Consolas" w:cs="Consolas"/>
              </w:rPr>
              <w:t xml:space="preserve">resultados_fcr.fcr_sap_saldos_diarios_banco</w:t>
            </w:r>
          </w:p>
        </w:tc>
      </w:tr>
      <w:tr>
        <w:tc>
          <w:tcPr>
            <w:tcW w:w="3132" w:type="dxa"/>
            <w:vAlign w:val="center"/>
          </w:tcPr>
          <w:p>
            <w:pPr>
              <w:jc w:val="left"/>
            </w:pPr>
            <w:r>
              <w:rPr>
                <w:rFonts w:ascii="Consolas" w:hAnsi="Consolas" w:cs="Consolas"/>
              </w:rPr>
              <w:t xml:space="preserve">02_conciliacion_fiduciaria.sql</w:t>
            </w:r>
          </w:p>
        </w:tc>
        <w:tc>
          <w:tcPr>
            <w:tcW w:w="2395" w:type="dxa"/>
            <w:vAlign w:val="center"/>
          </w:tcPr>
          <w:p>
            <w:pPr>
              <w:jc w:val="left"/>
            </w:pPr>
            <w:r>
              <w:t xml:space="preserve">Fiduciaria</w:t>
            </w:r>
          </w:p>
        </w:tc>
        <w:tc>
          <w:tcPr>
            <w:tcW w:w="3687" w:type="dxa"/>
            <w:vAlign w:val="center"/>
          </w:tcPr>
          <w:p>
            <w:pPr>
              <w:jc w:val="left"/>
            </w:pPr>
            <w:r>
              <w:rPr>
                <w:rFonts w:ascii="Consolas" w:hAnsi="Consolas" w:cs="Consolas"/>
              </w:rPr>
              <w:t xml:space="preserve">resultados_fcr.Fcr_sap_saldos_diarios_fiduc</w:t>
            </w:r>
          </w:p>
        </w:tc>
      </w:tr>
      <w:tr>
        <w:tc>
          <w:tcPr>
            <w:tcW w:w="3132" w:type="dxa"/>
            <w:vAlign w:val="center"/>
          </w:tcPr>
          <w:p>
            <w:pPr>
              <w:jc w:val="left"/>
            </w:pPr>
            <w:r>
              <w:rPr>
                <w:rFonts w:ascii="Consolas" w:hAnsi="Consolas" w:cs="Consolas"/>
              </w:rPr>
              <w:t xml:space="preserve">03_conciliacion_banca_inversion.sql</w:t>
            </w:r>
          </w:p>
        </w:tc>
        <w:tc>
          <w:tcPr>
            <w:tcW w:w="2395" w:type="dxa"/>
            <w:vAlign w:val="center"/>
          </w:tcPr>
          <w:p>
            <w:pPr>
              <w:jc w:val="left"/>
            </w:pPr>
            <w:r>
              <w:t xml:space="preserve">Banca de Inversión</w:t>
            </w:r>
          </w:p>
        </w:tc>
        <w:tc>
          <w:tcPr>
            <w:tcW w:w="3687" w:type="dxa"/>
            <w:vAlign w:val="center"/>
          </w:tcPr>
          <w:p>
            <w:pPr>
              <w:jc w:val="left"/>
            </w:pPr>
            <w:r>
              <w:rPr>
                <w:rFonts w:ascii="Consolas" w:hAnsi="Consolas" w:cs="Consolas"/>
              </w:rPr>
              <w:t xml:space="preserve">resultados_fcr.fcr_sap_saldos_diarios_banin</w:t>
            </w:r>
          </w:p>
        </w:tc>
      </w:tr>
      <w:tr>
        <w:tc>
          <w:tcPr>
            <w:tcW w:w="3132" w:type="dxa"/>
            <w:vAlign w:val="center"/>
          </w:tcPr>
          <w:p>
            <w:pPr>
              <w:jc w:val="left"/>
            </w:pPr>
            <w:r>
              <w:rPr>
                <w:rFonts w:ascii="Consolas" w:hAnsi="Consolas" w:cs="Consolas"/>
              </w:rPr>
              <w:t xml:space="preserve">04_conciliacion_valores.sql</w:t>
            </w:r>
          </w:p>
        </w:tc>
        <w:tc>
          <w:tcPr>
            <w:tcW w:w="2395" w:type="dxa"/>
            <w:vAlign w:val="center"/>
          </w:tcPr>
          <w:p>
            <w:pPr>
              <w:jc w:val="left"/>
            </w:pPr>
            <w:r>
              <w:t xml:space="preserve">Valores</w:t>
            </w:r>
          </w:p>
        </w:tc>
        <w:tc>
          <w:tcPr>
            <w:tcW w:w="3687" w:type="dxa"/>
            <w:vAlign w:val="center"/>
          </w:tcPr>
          <w:p>
            <w:pPr>
              <w:jc w:val="left"/>
            </w:pPr>
            <w:r>
              <w:rPr>
                <w:rFonts w:ascii="Consolas" w:hAnsi="Consolas" w:cs="Consolas"/>
              </w:rPr>
              <w:t xml:space="preserve">resultados_fcr.fcr_sap_saldos_diarios_valor</w:t>
            </w:r>
          </w:p>
        </w:tc>
      </w:tr>
    </w:tbl>
    <w:p/>
    <w:p>
      <w:r>
        <w:t xml:space="preserve">La lógica interna, común a los cuatro, se construye con cuatro CTE y una consulta final:</w:t>
      </w:r>
    </w:p>
    <w:p>
      <w:pPr>
        <w:pStyle w:val="Prrafodelista"/>
        <w:numPr>
          <w:ilvl w:val="0"/>
          <w:numId w:val="105"/>
        </w:numPr>
        <w:jc w:val="left"/>
      </w:pPr>
      <w:r>
        <w:rPr>
          <w:rFonts w:ascii="Consolas" w:hAnsi="Consolas" w:cs="Consolas"/>
          <w:b/>
          <w:bCs/>
        </w:rPr>
        <w:t xml:space="preserve">fcr_1_full</w:t>
      </w:r>
      <w:r>
        <w:t xml:space="preserve"> — saldos de SAP del </w:t>
      </w:r>
      <w:r>
        <w:rPr>
          <w:b/>
          <w:bCs/>
        </w:rPr>
        <w:t xml:space="preserve">cierre del mes anterior</w:t>
      </w:r>
      <w:r>
        <w:t xml:space="preserve"> (</w:t>
      </w:r>
      <w:r>
        <w:rPr>
          <w:rFonts w:ascii="Consolas" w:hAnsi="Consolas" w:cs="Consolas"/>
        </w:rPr>
        <w:t xml:space="preserve">{fc_mes_ant}</w:t>
      </w:r>
      <w:r>
        <w:t xml:space="preserve">). Hace </w:t>
      </w:r>
      <w:r>
        <w:rPr>
          <w:rFonts w:ascii="Consolas" w:hAnsi="Consolas" w:cs="Consolas"/>
        </w:rPr>
        <w:t xml:space="preserve">INNER JOIN</w:t>
      </w:r>
      <w:r>
        <w:t xml:space="preserve"> contra </w:t>
      </w:r>
      <w:r>
        <w:rPr>
          <w:rFonts w:ascii="Consolas" w:hAnsi="Consolas" w:cs="Consolas"/>
        </w:rPr>
        <w:t xml:space="preserve">litig_last_cuentas</w:t>
      </w:r>
      <w:r>
        <w:t xml:space="preserve"> para quedarse solo con las cuentas que interesan a litigios, y filtra por: año contable (</w:t>
      </w:r>
      <w:r>
        <w:rPr>
          <w:rFonts w:ascii="Consolas" w:hAnsi="Consolas" w:cs="Consolas"/>
        </w:rPr>
        <w:t xml:space="preserve">ejercicio</w:t>
      </w:r>
      <w:r>
        <w:t xml:space="preserve">) igual al año de </w:t>
      </w:r>
      <w:r>
        <w:rPr>
          <w:rFonts w:ascii="Consolas" w:hAnsi="Consolas" w:cs="Consolas"/>
        </w:rPr>
        <w:t xml:space="preserve">fc_mes_ant</w:t>
      </w:r>
      <w:r>
        <w:t xml:space="preserve">; año de ingestión (</w:t>
      </w:r>
      <w:r>
        <w:rPr>
          <w:rFonts w:ascii="Consolas" w:hAnsi="Consolas" w:cs="Consolas"/>
        </w:rPr>
        <w:t xml:space="preserve">year</w:t>
      </w:r>
      <w:r>
        <w:t xml:space="preserve">) igual al de </w:t>
      </w:r>
      <w:r>
        <w:rPr>
          <w:rFonts w:ascii="Consolas" w:hAnsi="Consolas" w:cs="Consolas"/>
        </w:rPr>
        <w:t xml:space="preserve">fc_mes_ant</w:t>
      </w:r>
      <w:r>
        <w:t xml:space="preserve"> o al año actual (para cubrir cargas tardías); fecha contable exacta (</w:t>
      </w:r>
      <w:r>
        <w:rPr>
          <w:rFonts w:ascii="Consolas" w:hAnsi="Consolas" w:cs="Consolas"/>
        </w:rPr>
        <w:t xml:space="preserve">fecha_contab</w:t>
      </w:r>
      <w:r>
        <w:t xml:space="preserve">, en formato </w:t>
      </w:r>
      <w:r>
        <w:rPr>
          <w:rFonts w:ascii="Consolas" w:hAnsi="Consolas" w:cs="Consolas"/>
        </w:rPr>
        <w:t xml:space="preserve">AAAAMMDD</w:t>
      </w:r>
      <w:r>
        <w:t xml:space="preserve">); libro contable </w:t>
      </w:r>
      <w:r>
        <w:rPr>
          <w:rFonts w:ascii="Consolas" w:hAnsi="Consolas" w:cs="Consolas"/>
        </w:rPr>
        <w:t xml:space="preserve">ledger = '0L'</w:t>
      </w:r>
      <w:r>
        <w:t xml:space="preserve">; y segmento </w:t>
      </w:r>
      <w:r>
        <w:rPr>
          <w:rFonts w:ascii="Consolas" w:hAnsi="Consolas" w:cs="Consolas"/>
        </w:rPr>
        <w:t xml:space="preserve">'0500100099'</w:t>
      </w:r>
      <w:r>
        <w:t xml:space="preserve">. Además, asigna un número de fila (</w:t>
      </w:r>
      <w:r>
        <w:rPr>
          <w:rFonts w:ascii="Consolas" w:hAnsi="Consolas" w:cs="Consolas"/>
        </w:rPr>
        <w:t xml:space="preserve">ROW_NUMBER() OVER (PARTITION BY ... ORDER BY cronomarcador DESC)</w:t>
      </w:r>
      <w:r>
        <w:t xml:space="preserve">) particionado por mandante, sociedad, cuenta, moneda, ejercicio, fecha contable, segmento, libro y clase, para poder identificar el registro </w:t>
      </w:r>
      <w:r>
        <w:rPr>
          <w:b/>
          <w:bCs/>
        </w:rPr>
        <w:t xml:space="preserve">más reciente</w:t>
      </w:r>
      <w:r>
        <w:t xml:space="preserve"> de cada combinación.</w:t>
      </w:r>
    </w:p>
    <w:p>
      <w:pPr>
        <w:pStyle w:val="Prrafodelista"/>
        <w:numPr>
          <w:ilvl w:val="0"/>
          <w:numId w:val="105"/>
        </w:numPr>
        <w:jc w:val="left"/>
      </w:pPr>
      <w:r>
        <w:rPr>
          <w:rFonts w:ascii="Consolas" w:hAnsi="Consolas" w:cs="Consolas"/>
          <w:b/>
          <w:bCs/>
        </w:rPr>
        <w:t xml:space="preserve">fcr_2_full</w:t>
      </w:r>
      <w:r>
        <w:t xml:space="preserve"> — es idéntico a </w:t>
      </w:r>
      <w:r>
        <w:rPr>
          <w:rFonts w:ascii="Consolas" w:hAnsi="Consolas" w:cs="Consolas"/>
        </w:rPr>
        <w:t xml:space="preserve">fcr_1_full</w:t>
      </w:r>
      <w:r>
        <w:t xml:space="preserve">, pero calculado para la </w:t>
      </w:r>
      <w:r>
        <w:rPr>
          <w:b/>
          <w:bCs/>
        </w:rPr>
        <w:t xml:space="preserve">fecha de corte del mes que se está cerrando</w:t>
      </w:r>
      <w:r>
        <w:t xml:space="preserve"> (</w:t>
      </w:r>
      <w:r>
        <w:rPr>
          <w:rFonts w:ascii="Consolas" w:hAnsi="Consolas" w:cs="Consolas"/>
        </w:rPr>
        <w:t xml:space="preserve">{fecha_corte}</w:t>
      </w:r>
      <w:r>
        <w:t xml:space="preserve">) en lugar del mes anterior.</w:t>
      </w:r>
    </w:p>
    <w:p>
      <w:pPr>
        <w:pStyle w:val="Prrafodelista"/>
        <w:numPr>
          <w:ilvl w:val="0"/>
          <w:numId w:val="105"/>
        </w:numPr>
        <w:jc w:val="left"/>
      </w:pPr>
      <w:r>
        <w:rPr>
          <w:rFonts w:ascii="Consolas" w:hAnsi="Consolas" w:cs="Consolas"/>
          <w:b/>
          <w:bCs/>
        </w:rPr>
        <w:t xml:space="preserve">fcr_1</w:t>
      </w:r>
      <w:r>
        <w:t xml:space="preserve"> y </w:t>
      </w:r>
      <w:r>
        <w:rPr>
          <w:rFonts w:ascii="Consolas" w:hAnsi="Consolas" w:cs="Consolas"/>
          <w:b/>
          <w:bCs/>
        </w:rPr>
        <w:t xml:space="preserve">fcr_2</w:t>
      </w:r>
      <w:r>
        <w:t xml:space="preserve"> — a partir de los CTE anteriores, se filtran únicamente los registros con </w:t>
      </w:r>
      <w:r>
        <w:rPr>
          <w:rFonts w:ascii="Consolas" w:hAnsi="Consolas" w:cs="Consolas"/>
        </w:rPr>
        <w:t xml:space="preserve">rn_cn = 1</w:t>
      </w:r>
      <w:r>
        <w:t xml:space="preserve"> (el más reciente) y se agrupan sumando </w:t>
      </w:r>
      <w:r>
        <w:rPr>
          <w:rFonts w:ascii="Consolas" w:hAnsi="Consolas" w:cs="Consolas"/>
        </w:rPr>
        <w:t xml:space="preserve">acum_orig</w:t>
      </w:r>
      <w:r>
        <w:t xml:space="preserve"> por cuenta. </w:t>
      </w:r>
      <w:r>
        <w:rPr>
          <w:rFonts w:ascii="Consolas" w:hAnsi="Consolas" w:cs="Consolas"/>
        </w:rPr>
        <w:t xml:space="preserve">fcr_1</w:t>
      </w:r>
      <w:r>
        <w:t xml:space="preserve"> representa el </w:t>
      </w:r>
      <w:r>
        <w:rPr>
          <w:b/>
          <w:bCs/>
        </w:rPr>
        <w:t xml:space="preserve">saldo inicial</w:t>
      </w:r>
      <w:r>
        <w:t xml:space="preserve"> del mes de cierre (el saldo final del mes anterior); </w:t>
      </w:r>
      <w:r>
        <w:rPr>
          <w:rFonts w:ascii="Consolas" w:hAnsi="Consolas" w:cs="Consolas"/>
        </w:rPr>
        <w:t xml:space="preserve">fcr_2</w:t>
      </w:r>
      <w:r>
        <w:t xml:space="preserve"> representa el </w:t>
      </w:r>
      <w:r>
        <w:rPr>
          <w:b/>
          <w:bCs/>
        </w:rPr>
        <w:t xml:space="preserve">saldo final</w:t>
      </w:r>
      <w:r>
        <w:t xml:space="preserve"> del mes de cierre.</w:t>
      </w:r>
    </w:p>
    <w:p>
      <w:pPr>
        <w:pStyle w:val="Prrafodelista"/>
        <w:numPr>
          <w:ilvl w:val="0"/>
          <w:numId w:val="105"/>
        </w:numPr>
        <w:jc w:val="left"/>
      </w:pPr>
      <w:r>
        <w:rPr>
          <w:b/>
          <w:bCs/>
        </w:rPr>
        <w:t xml:space="preserve">Consulta final</w:t>
      </w:r>
      <w:r>
        <w:t xml:space="preserve"> — combina, con </w:t>
      </w:r>
      <w:r>
        <w:rPr>
          <w:rFonts w:ascii="Consolas" w:hAnsi="Consolas" w:cs="Consolas"/>
        </w:rPr>
        <w:t xml:space="preserve">FULL OUTER JOIN</w:t>
      </w:r>
      <w:r>
        <w:t xml:space="preserve">, la tabla </w:t>
      </w:r>
      <w:r>
        <w:rPr>
          <w:rFonts w:ascii="Consolas" w:hAnsi="Consolas" w:cs="Consolas"/>
        </w:rPr>
        <w:t xml:space="preserve">litig_ajustes</w:t>
      </w:r>
      <w:r>
        <w:t xml:space="preserve"> (filtrada por la sociedad correspondiente) contra </w:t>
      </w:r>
      <w:r>
        <w:rPr>
          <w:rFonts w:ascii="Consolas" w:hAnsi="Consolas" w:cs="Consolas"/>
        </w:rPr>
        <w:t xml:space="preserve">fcr_1</w:t>
      </w:r>
      <w:r>
        <w:t xml:space="preserve"> y </w:t>
      </w:r>
      <w:r>
        <w:rPr>
          <w:rFonts w:ascii="Consolas" w:hAnsi="Consolas" w:cs="Consolas"/>
        </w:rPr>
        <w:t xml:space="preserve">fcr_2</w:t>
      </w:r>
      <w:r>
        <w:t xml:space="preserve"> por número de cuenta. Se usa </w:t>
      </w:r>
      <w:r>
        <w:rPr>
          <w:rFonts w:ascii="Consolas" w:hAnsi="Consolas" w:cs="Consolas"/>
        </w:rPr>
        <w:t xml:space="preserve">FULL OUTER JOIN</w:t>
      </w:r>
      <w:r>
        <w:t xml:space="preserve"> a propósito, para no perder ni las cuentas que aparecen en el ajuste calculado pero no en SAP, ni las que aparecen en SAP pero no en el ajuste calculado. A partir de ahí calcula:</w:t>
      </w:r>
    </w:p>
    <w:p>
      <w:pPr>
        <w:pStyle w:val="Prrafodelista"/>
        <w:numPr>
          <w:ilvl w:val="1"/>
          <w:numId w:val="1"/>
        </w:numPr>
        <w:jc w:val="left"/>
      </w:pPr>
      <w:r>
        <w:rPr>
          <w:rFonts w:ascii="Consolas" w:hAnsi="Consolas" w:cs="Consolas"/>
        </w:rPr>
        <w:t xml:space="preserve">saldo_inicial</w:t>
      </w:r>
      <w:r>
        <w:t xml:space="preserve"> = saldo de </w:t>
      </w:r>
      <w:r>
        <w:rPr>
          <w:rFonts w:ascii="Consolas" w:hAnsi="Consolas" w:cs="Consolas"/>
        </w:rPr>
        <w:t xml:space="preserve">fcr_1</w:t>
      </w:r>
      <w:r>
        <w:t xml:space="preserve"> (0 si no existe).</w:t>
      </w:r>
    </w:p>
    <w:p>
      <w:pPr>
        <w:pStyle w:val="Prrafodelista"/>
        <w:numPr>
          <w:ilvl w:val="1"/>
          <w:numId w:val="1"/>
        </w:numPr>
        <w:jc w:val="left"/>
      </w:pPr>
      <w:r>
        <w:rPr>
          <w:rFonts w:ascii="Consolas" w:hAnsi="Consolas" w:cs="Consolas"/>
        </w:rPr>
        <w:t xml:space="preserve">saldo_final</w:t>
      </w:r>
      <w:r>
        <w:t xml:space="preserve"> = saldo de </w:t>
      </w:r>
      <w:r>
        <w:rPr>
          <w:rFonts w:ascii="Consolas" w:hAnsi="Consolas" w:cs="Consolas"/>
        </w:rPr>
        <w:t xml:space="preserve">fcr_2</w:t>
      </w:r>
      <w:r>
        <w:t xml:space="preserve"> (0 si no existe).</w:t>
      </w:r>
    </w:p>
    <w:p>
      <w:pPr>
        <w:pStyle w:val="Prrafodelista"/>
        <w:numPr>
          <w:ilvl w:val="1"/>
          <w:numId w:val="1"/>
        </w:numPr>
        <w:jc w:val="left"/>
      </w:pPr>
      <w:r>
        <w:rPr>
          <w:rFonts w:ascii="Consolas" w:hAnsi="Consolas" w:cs="Consolas"/>
        </w:rPr>
        <w:t xml:space="preserve">movimiento_mes = saldo_final − saldo_inicial</w:t>
      </w:r>
      <w:r>
        <w:t xml:space="preserve"> (lo que realmente se movió en la contabilidad real).</w:t>
      </w:r>
    </w:p>
    <w:p>
      <w:pPr>
        <w:pStyle w:val="Prrafodelista"/>
        <w:numPr>
          <w:ilvl w:val="1"/>
          <w:numId w:val="1"/>
        </w:numPr>
        <w:jc w:val="left"/>
      </w:pPr>
      <w:r>
        <w:rPr>
          <w:rFonts w:ascii="Consolas" w:hAnsi="Consolas" w:cs="Consolas"/>
        </w:rPr>
        <w:t xml:space="preserve">ajuste</w:t>
      </w:r>
      <w:r>
        <w:t xml:space="preserve"> = el valor calculado en </w:t>
      </w:r>
      <w:r>
        <w:rPr>
          <w:rFonts w:ascii="Consolas" w:hAnsi="Consolas" w:cs="Consolas"/>
        </w:rPr>
        <w:t xml:space="preserve">00_prov_ajustes.sql</w:t>
      </w:r>
      <w:r>
        <w:t xml:space="preserve">, redondeado a 2 decimales.</w:t>
      </w:r>
    </w:p>
    <w:p>
      <w:pPr>
        <w:pStyle w:val="Prrafodelista"/>
        <w:numPr>
          <w:ilvl w:val="1"/>
          <w:numId w:val="1"/>
        </w:numPr>
        <w:jc w:val="left"/>
      </w:pPr>
      <w:r>
        <w:rPr>
          <w:rFonts w:ascii="Consolas" w:hAnsi="Consolas" w:cs="Consolas"/>
          <w:b/>
          <w:bCs/>
        </w:rPr>
        <w:t xml:space="preserve">diferencia = movimiento_mes − ajuste</w:t>
      </w:r>
      <w:r>
        <w:t xml:space="preserve">, redondeada a 2 decimales: es el resultado final de la conciliación y, en condiciones normales, debe ser cero.</w:t>
      </w:r>
    </w:p>
    <w:p>
      <w:r>
        <w:t xml:space="preserve">El resultado se guarda en una tabla intermedia por sociedad (</w:t>
      </w:r>
      <w:r>
        <w:rPr>
          <w:rFonts w:ascii="Consolas" w:hAnsi="Consolas" w:cs="Consolas"/>
        </w:rPr>
        <w:t xml:space="preserve">litig_conciliacion_bancolombia</w:t>
      </w:r>
      <w:r>
        <w:t xml:space="preserve">, </w:t>
      </w:r>
      <w:r>
        <w:rPr>
          <w:rFonts w:ascii="Consolas" w:hAnsi="Consolas" w:cs="Consolas"/>
        </w:rPr>
        <w:t xml:space="preserve">litig_conciliacion_fiduciaria</w:t>
      </w:r>
      <w:r>
        <w:t xml:space="preserve">, </w:t>
      </w:r>
      <w:r>
        <w:rPr>
          <w:rFonts w:ascii="Consolas" w:hAnsi="Consolas" w:cs="Consolas"/>
        </w:rPr>
        <w:t xml:space="preserve">litig_conciliacion_banca_inversion</w:t>
      </w:r>
      <w:r>
        <w:t xml:space="preserve">, </w:t>
      </w:r>
      <w:r>
        <w:rPr>
          <w:rFonts w:ascii="Consolas" w:hAnsi="Consolas" w:cs="Consolas"/>
        </w:rPr>
        <w:t xml:space="preserve">litig_conciliacion_valores</w:t>
      </w:r>
      <w:r>
        <w:t xml:space="preserve">).</w:t>
      </w:r>
    </w:p>
    <w:p>
      <w:pPr>
        <w:pStyle w:val="Subttulo"/>
        <w:jc w:val="left"/>
      </w:pPr>
      <w:r>
        <w:rPr>
          <w:rFonts w:ascii="Consolas" w:hAnsi="Consolas" w:cs="Consolas"/>
        </w:rPr>
        <w:t xml:space="preserve">05_crear_conciliacion_hist.sql</w:t>
      </w:r>
    </w:p>
    <w:p>
      <w:r>
        <w:t xml:space="preserve">Crea (si no existe) la tabla histórica </w:t>
      </w:r>
      <w:r>
        <w:rPr>
          <w:rFonts w:ascii="Consolas" w:hAnsi="Consolas" w:cs="Consolas"/>
        </w:rPr>
        <w:t xml:space="preserve">litig_conciliacion_hist</w:t>
      </w:r>
      <w:r>
        <w:t xml:space="preserve"> en la zona de resultados, con las columnas </w:t>
      </w:r>
      <w:r>
        <w:rPr>
          <w:rFonts w:ascii="Consolas" w:hAnsi="Consolas" w:cs="Consolas"/>
        </w:rPr>
        <w:t xml:space="preserve">fecha_corte</w:t>
      </w:r>
      <w:r>
        <w:t xml:space="preserve">, </w:t>
      </w:r>
      <w:r>
        <w:rPr>
          <w:rFonts w:ascii="Consolas" w:hAnsi="Consolas" w:cs="Consolas"/>
        </w:rPr>
        <w:t xml:space="preserve">litigio</w:t>
      </w:r>
      <w:r>
        <w:t xml:space="preserve">, </w:t>
      </w:r>
      <w:r>
        <w:rPr>
          <w:rFonts w:ascii="Consolas" w:hAnsi="Consolas" w:cs="Consolas"/>
        </w:rPr>
        <w:t xml:space="preserve">sociedad</w:t>
      </w:r>
      <w:r>
        <w:t xml:space="preserve">, </w:t>
      </w:r>
      <w:r>
        <w:rPr>
          <w:rFonts w:ascii="Consolas" w:hAnsi="Consolas" w:cs="Consolas"/>
        </w:rPr>
        <w:t xml:space="preserve">cuenta</w:t>
      </w:r>
      <w:r>
        <w:t xml:space="preserve">, </w:t>
      </w:r>
      <w:r>
        <w:rPr>
          <w:rFonts w:ascii="Consolas" w:hAnsi="Consolas" w:cs="Consolas"/>
        </w:rPr>
        <w:t xml:space="preserve">saldo_inicial</w:t>
      </w:r>
      <w:r>
        <w:t xml:space="preserve">, </w:t>
      </w:r>
      <w:r>
        <w:rPr>
          <w:rFonts w:ascii="Consolas" w:hAnsi="Consolas" w:cs="Consolas"/>
        </w:rPr>
        <w:t xml:space="preserve">saldo_final</w:t>
      </w:r>
      <w:r>
        <w:t xml:space="preserve">, </w:t>
      </w:r>
      <w:r>
        <w:rPr>
          <w:rFonts w:ascii="Consolas" w:hAnsi="Consolas" w:cs="Consolas"/>
        </w:rPr>
        <w:t xml:space="preserve">movimiento_mes</w:t>
      </w:r>
      <w:r>
        <w:t xml:space="preserve">, </w:t>
      </w:r>
      <w:r>
        <w:rPr>
          <w:rFonts w:ascii="Consolas" w:hAnsi="Consolas" w:cs="Consolas"/>
        </w:rPr>
        <w:t xml:space="preserve">ajuste</w:t>
      </w:r>
      <w:r>
        <w:t xml:space="preserve"> y </w:t>
      </w:r>
      <w:r>
        <w:rPr>
          <w:rFonts w:ascii="Consolas" w:hAnsi="Consolas" w:cs="Consolas"/>
        </w:rPr>
        <w:t xml:space="preserve">diferencia</w:t>
      </w:r>
      <w:r>
        <w:t xml:space="preserve">, particionada por año, mes y día de ingestión.</w:t>
      </w:r>
    </w:p>
    <w:p>
      <w:pPr>
        <w:pStyle w:val="Subttulo"/>
        <w:jc w:val="left"/>
      </w:pPr>
      <w:r>
        <w:rPr>
          <w:rFonts w:ascii="Consolas" w:hAnsi="Consolas" w:cs="Consolas"/>
        </w:rPr>
        <w:t xml:space="preserve">06_insertar_conciliacion_hist.sql</w:t>
      </w:r>
    </w:p>
    <w:p>
      <w:r>
        <w:t xml:space="preserve">Combina con </w:t>
      </w:r>
      <w:r>
        <w:rPr>
          <w:rFonts w:ascii="Consolas" w:hAnsi="Consolas" w:cs="Consolas"/>
        </w:rPr>
        <w:t xml:space="preserve">UNION ALL</w:t>
      </w:r>
      <w:r>
        <w:t xml:space="preserve"> los resultados de las cuatro tablas intermedias de conciliación (Bancolombia, Fiduciaria, Banca de Inversión y Valores), aplica </w:t>
      </w:r>
      <w:r>
        <w:rPr>
          <w:rFonts w:ascii="Consolas" w:hAnsi="Consolas" w:cs="Consolas"/>
        </w:rPr>
        <w:t xml:space="preserve">CAST</w:t>
      </w:r>
      <w:r>
        <w:t xml:space="preserve"> a cada columna según su tipo definitivo, agrega las marcas de ingestión (</w:t>
      </w:r>
      <w:r>
        <w:rPr>
          <w:rFonts w:ascii="Consolas" w:hAnsi="Consolas" w:cs="Consolas"/>
        </w:rPr>
        <w:t xml:space="preserve">NOW()</w:t>
      </w:r>
      <w:r>
        <w:t xml:space="preserve">, año/mes/día) y los inserta juntos en </w:t>
      </w:r>
      <w:r>
        <w:rPr>
          <w:rFonts w:ascii="Consolas" w:hAnsi="Consolas" w:cs="Consolas"/>
        </w:rPr>
        <w:t xml:space="preserve">litig_conciliacion_hist</w:t>
      </w:r>
      <w:r>
        <w:t xml:space="preserve">. Finaliza con </w:t>
      </w:r>
      <w:r>
        <w:rPr>
          <w:rFonts w:ascii="Consolas" w:hAnsi="Consolas" w:cs="Consolas"/>
        </w:rPr>
        <w:t xml:space="preserve">COMPUTE STATS</w:t>
      </w:r>
      <w:r>
        <w:t xml:space="preserve">. De esta forma, el resultado de la conciliación del grupo completo queda consolidado en un único registro histórico por mes.</w:t>
      </w:r>
    </w:p>
    <w:p>
      <w:pPr>
        <w:pStyle w:val="Ttulo2"/>
      </w:pPr>
      <w:bookmarkStart w:id="90000033" w:name="_Toc90000034"/>
      <w:r>
        <w:t xml:space="preserve">7.3. Etapa 3 — Reportes (</w:t>
      </w:r>
      <w:r>
        <w:rPr>
          <w:rFonts w:ascii="Consolas" w:hAnsi="Consolas" w:cs="Consolas"/>
        </w:rPr>
        <w:t xml:space="preserve">sql/reportes/</w:t>
      </w:r>
      <w:r>
        <w:t xml:space="preserve">)</w:t>
      </w:r>
      <w:bookmarkEnd w:id="90000033"/>
    </w:p>
    <w:p/>
    <w:p>
      <w:r>
        <w:t xml:space="preserve">Objetivo: generar los reportes finales que consumen las áreas del banco, a partir de la información ya cargada y conciliada (</w:t>
      </w:r>
      <w:r>
        <w:rPr>
          <w:rFonts w:ascii="Consolas" w:hAnsi="Consolas" w:cs="Consolas"/>
        </w:rPr>
        <w:t xml:space="preserve">litig_last_provision</w:t>
      </w:r>
      <w:r>
        <w:t xml:space="preserve">).</w:t>
      </w:r>
    </w:p>
    <w:p>
      <w:pPr>
        <w:pStyle w:val="Subttulo"/>
        <w:jc w:val="left"/>
      </w:pPr>
      <w:r>
        <w:rPr>
          <w:rFonts w:ascii="Consolas" w:hAnsi="Consolas" w:cs="Consolas"/>
        </w:rPr>
        <w:t xml:space="preserve">00_p1pyacpl.sql</w:t>
      </w:r>
    </w:p>
    <w:p>
      <w:r>
        <w:t xml:space="preserve">Calcula la </w:t>
      </w:r>
      <w:r>
        <w:rPr>
          <w:b/>
          <w:bCs/>
        </w:rPr>
        <w:t xml:space="preserve">cuantía actual total</w:t>
      </w:r>
      <w:r>
        <w:t xml:space="preserve"> de los litigios (</w:t>
      </w:r>
      <w:r>
        <w:rPr>
          <w:rFonts w:ascii="Consolas" w:hAnsi="Consolas" w:cs="Consolas"/>
        </w:rPr>
        <w:t xml:space="preserve">SUM(cuantia_actual)</w:t>
      </w:r>
      <w:r>
        <w:t xml:space="preserve">), agrupando por fecha de corte, sociedad y litigio, y filtrando únicamente los procesos con </w:t>
      </w:r>
      <w:r>
        <w:rPr>
          <w:rFonts w:ascii="Consolas" w:hAnsi="Consolas" w:cs="Consolas"/>
        </w:rPr>
        <w:t xml:space="preserve">PROCESO_VIGENTE_TERMINADO = 'VIGENTE'</w:t>
      </w:r>
      <w:r>
        <w:t xml:space="preserve">. El resultado (tabla </w:t>
      </w:r>
      <w:r>
        <w:rPr>
          <w:rFonts w:ascii="Consolas" w:hAnsi="Consolas" w:cs="Consolas"/>
        </w:rPr>
        <w:t xml:space="preserve">litig_p1pyacpl</w:t>
      </w:r>
      <w:r>
        <w:t xml:space="preserve">) es la base del reporte </w:t>
      </w:r>
      <w:r>
        <w:rPr>
          <w:rFonts w:ascii="Consolas" w:hAnsi="Consolas" w:cs="Consolas"/>
        </w:rPr>
        <w:t xml:space="preserve">P1PYACPL</w:t>
      </w:r>
      <w:r>
        <w:t xml:space="preserve">.</w:t>
      </w:r>
    </w:p>
    <w:p>
      <w:pPr>
        <w:pStyle w:val="Subttulo"/>
        <w:jc w:val="left"/>
      </w:pPr>
      <w:r>
        <w:rPr>
          <w:rFonts w:ascii="Consolas" w:hAnsi="Consolas" w:cs="Consolas"/>
        </w:rPr>
        <w:t xml:space="preserve">01_pyg_laborales.sql</w:t>
      </w:r>
      <w:r>
        <w:t xml:space="preserve">, </w:t>
      </w:r>
      <w:r>
        <w:rPr>
          <w:rFonts w:ascii="Consolas" w:hAnsi="Consolas" w:cs="Consolas"/>
        </w:rPr>
        <w:t xml:space="preserve">02_pyg_comerciales.sql</w:t>
      </w:r>
      <w:r>
        <w:t xml:space="preserve">, </w:t>
      </w:r>
      <w:r>
        <w:rPr>
          <w:rFonts w:ascii="Consolas" w:hAnsi="Consolas" w:cs="Consolas"/>
        </w:rPr>
        <w:t xml:space="preserve">03_pyg_hipotecarios.sql</w:t>
      </w:r>
    </w:p>
    <w:p>
      <w:r>
        <w:t xml:space="preserve">Tres archivos con </w:t>
      </w:r>
      <w:r>
        <w:rPr>
          <w:b/>
          <w:bCs/>
        </w:rPr>
        <w:t xml:space="preserve">idéntica lógica</w:t>
      </w:r>
      <w:r>
        <w:t xml:space="preserve">, cada uno filtrado por su tipo de litigio (</w:t>
      </w:r>
      <w:r>
        <w:rPr>
          <w:rFonts w:ascii="Consolas" w:hAnsi="Consolas" w:cs="Consolas"/>
        </w:rPr>
        <w:t xml:space="preserve">WHERE litigio = 'LABORALES' / 'COMERCIALES' / 'HIPOTECARIOS'</w:t>
      </w:r>
      <w:r>
        <w:t xml:space="preserve">). Calculan, para cada proceso, el efecto contable en tres cuentas (28, 51 y 41), separando cada una en </w:t>
      </w:r>
      <w:r>
        <w:rPr>
          <w:b/>
          <w:bCs/>
        </w:rPr>
        <w:t xml:space="preserve">débito</w:t>
      </w:r>
      <w:r>
        <w:t xml:space="preserve"> y </w:t>
      </w:r>
      <w:r>
        <w:rPr>
          <w:b/>
          <w:bCs/>
        </w:rPr>
        <w:t xml:space="preserve">crédito</w:t>
      </w:r>
      <w:r>
        <w:t xml:space="preserve"> mediante expresiones </w:t>
      </w:r>
      <w:r>
        <w:rPr>
          <w:rFonts w:ascii="Consolas" w:hAnsi="Consolas" w:cs="Consolas"/>
        </w:rPr>
        <w:t xml:space="preserve">CASE</w:t>
      </w:r>
      <w:r>
        <w:t xml:space="preserve">: si el valor calculado es positivo se registra en la columna de débito; si es negativo, se registra en la de crédito, en valor absoluto. Las fórmulas exactas son:</w:t>
      </w:r>
    </w:p>
    <w:tbl>
      <w:tblPr>
        <w:tblStyle w:val="Tablaconcuadrcula"/>
        <w:tblW w:w="9214" w:type="dxa"/>
        <w:tblLayout w:type="fixed"/>
        <w:tblLook w:val="04A0" w:firstRow="1" w:lastRow="0" w:firstColumn="1" w:lastColumn="0" w:noHBand="0" w:noVBand="1"/>
      </w:tblPr>
      <w:tblGrid>
        <w:gridCol w:w="921"/>
        <w:gridCol w:w="2579"/>
        <w:gridCol w:w="2948"/>
        <w:gridCol w:w="2766"/>
      </w:tblGrid>
      <w:tr>
        <w:trPr>
          <w:tblHeader/>
        </w:trPr>
        <w:tc>
          <w:tcPr>
            <w:tcW w:w="921" w:type="dxa"/>
            <w:shd w:val="clear" w:color="auto" w:fill="EDEBE8"/>
            <w:vAlign w:val="center"/>
          </w:tcPr>
          <w:p>
            <w:pPr>
              <w:jc w:val="left"/>
            </w:pPr>
            <w:r>
              <w:rPr>
                <w:b/>
                <w:bCs/>
              </w:rPr>
              <w:t xml:space="preserve">Cuenta</w:t>
            </w:r>
          </w:p>
        </w:tc>
        <w:tc>
          <w:tcPr>
            <w:tcW w:w="2579" w:type="dxa"/>
            <w:shd w:val="clear" w:color="auto" w:fill="EDEBE8"/>
            <w:vAlign w:val="center"/>
          </w:tcPr>
          <w:p>
            <w:pPr>
              <w:jc w:val="left"/>
            </w:pPr>
            <w:r>
              <w:rPr>
                <w:b/>
                <w:bCs/>
              </w:rPr>
              <w:t xml:space="preserve">Concepto</w:t>
            </w:r>
          </w:p>
        </w:tc>
        <w:tc>
          <w:tcPr>
            <w:tcW w:w="2948" w:type="dxa"/>
            <w:shd w:val="clear" w:color="auto" w:fill="EDEBE8"/>
            <w:vAlign w:val="center"/>
          </w:tcPr>
          <w:p>
            <w:pPr>
              <w:jc w:val="left"/>
            </w:pPr>
            <w:r>
              <w:rPr>
                <w:b/>
                <w:bCs/>
              </w:rPr>
              <w:t xml:space="preserve">Fórmula</w:t>
            </w:r>
          </w:p>
        </w:tc>
        <w:tc>
          <w:tcPr>
            <w:tcW w:w="2766" w:type="dxa"/>
            <w:shd w:val="clear" w:color="auto" w:fill="EDEBE8"/>
            <w:vAlign w:val="center"/>
          </w:tcPr>
          <w:p>
            <w:pPr>
              <w:jc w:val="left"/>
            </w:pPr>
            <w:r>
              <w:rPr>
                <w:b/>
                <w:bCs/>
              </w:rPr>
              <w:t xml:space="preserve">Regla débito/crédito</w:t>
            </w:r>
          </w:p>
        </w:tc>
      </w:tr>
      <w:tr>
        <w:tc>
          <w:tcPr>
            <w:tcW w:w="921" w:type="dxa"/>
            <w:vAlign w:val="center"/>
          </w:tcPr>
          <w:p>
            <w:pPr>
              <w:jc w:val="left"/>
            </w:pPr>
            <w:r>
              <w:t xml:space="preserve">28</w:t>
            </w:r>
          </w:p>
        </w:tc>
        <w:tc>
          <w:tcPr>
            <w:tcW w:w="2579" w:type="dxa"/>
            <w:vAlign w:val="center"/>
          </w:tcPr>
          <w:p>
            <w:pPr>
              <w:jc w:val="left"/>
            </w:pPr>
            <w:r>
              <w:t xml:space="preserve">Provisión (gasto financiero + gasto provisión + ingreso provisión)</w:t>
            </w:r>
          </w:p>
        </w:tc>
        <w:tc>
          <w:tcPr>
            <w:tcW w:w="2948" w:type="dxa"/>
            <w:vAlign w:val="center"/>
          </w:tcPr>
          <w:p>
            <w:pPr>
              <w:jc w:val="left"/>
            </w:pPr>
            <w:r>
              <w:rPr>
                <w:rFonts w:ascii="Consolas" w:hAnsi="Consolas" w:cs="Consolas"/>
              </w:rPr>
              <w:t xml:space="preserve">ajuste_gasto_financiero + ajuste_provision_niif</w:t>
            </w:r>
          </w:p>
        </w:tc>
        <w:tc>
          <w:tcPr>
            <w:tcW w:w="2766" w:type="dxa"/>
            <w:vAlign w:val="center"/>
          </w:tcPr>
          <w:p>
            <w:pPr>
              <w:jc w:val="left"/>
            </w:pPr>
            <w:r>
              <w:t xml:space="preserve">positivo → débito (</w:t>
            </w:r>
            <w:r>
              <w:rPr>
                <w:rFonts w:ascii="Consolas" w:hAnsi="Consolas" w:cs="Consolas"/>
              </w:rPr>
              <w:t xml:space="preserve">28_d</w:t>
            </w:r>
            <w:r>
              <w:t xml:space="preserve">), negativo → crédito (</w:t>
            </w:r>
            <w:r>
              <w:rPr>
                <w:rFonts w:ascii="Consolas" w:hAnsi="Consolas" w:cs="Consolas"/>
              </w:rPr>
              <w:t xml:space="preserve">28_c</w:t>
            </w:r>
            <w:r>
              <w:t xml:space="preserve">)</w:t>
            </w:r>
          </w:p>
        </w:tc>
      </w:tr>
      <w:tr>
        <w:tc>
          <w:tcPr>
            <w:tcW w:w="921" w:type="dxa"/>
            <w:vAlign w:val="center"/>
          </w:tcPr>
          <w:p>
            <w:pPr>
              <w:jc w:val="left"/>
            </w:pPr>
            <w:r>
              <w:t xml:space="preserve">51</w:t>
            </w:r>
          </w:p>
        </w:tc>
        <w:tc>
          <w:tcPr>
            <w:tcW w:w="2579" w:type="dxa"/>
            <w:vAlign w:val="center"/>
          </w:tcPr>
          <w:p>
            <w:pPr>
              <w:jc w:val="left"/>
            </w:pPr>
            <w:r>
              <w:t xml:space="preserve">Gasto financiero</w:t>
            </w:r>
          </w:p>
        </w:tc>
        <w:tc>
          <w:tcPr>
            <w:tcW w:w="2948" w:type="dxa"/>
            <w:vAlign w:val="center"/>
          </w:tcPr>
          <w:p>
            <w:pPr>
              <w:jc w:val="left"/>
            </w:pPr>
            <w:r>
              <w:rPr>
                <w:rFonts w:ascii="Consolas" w:hAnsi="Consolas" w:cs="Consolas"/>
              </w:rPr>
              <w:t xml:space="preserve">ajuste_gasto_financiero * -1</w:t>
            </w:r>
          </w:p>
        </w:tc>
        <w:tc>
          <w:tcPr>
            <w:tcW w:w="2766" w:type="dxa"/>
            <w:vAlign w:val="center"/>
          </w:tcPr>
          <w:p>
            <w:pPr>
              <w:jc w:val="left"/>
            </w:pPr>
            <w:r>
              <w:t xml:space="preserve">positivo → débito, negativo → crédito</w:t>
            </w:r>
          </w:p>
        </w:tc>
      </w:tr>
      <w:tr>
        <w:tc>
          <w:tcPr>
            <w:tcW w:w="921" w:type="dxa"/>
            <w:vAlign w:val="center"/>
          </w:tcPr>
          <w:p>
            <w:pPr>
              <w:jc w:val="left"/>
            </w:pPr>
            <w:r>
              <w:t xml:space="preserve">51</w:t>
            </w:r>
          </w:p>
        </w:tc>
        <w:tc>
          <w:tcPr>
            <w:tcW w:w="2579" w:type="dxa"/>
            <w:vAlign w:val="center"/>
          </w:tcPr>
          <w:p>
            <w:pPr>
              <w:jc w:val="left"/>
            </w:pPr>
            <w:r>
              <w:t xml:space="preserve">Gasto provisión</w:t>
            </w:r>
          </w:p>
        </w:tc>
        <w:tc>
          <w:tcPr>
            <w:tcW w:w="2948" w:type="dxa"/>
            <w:vAlign w:val="center"/>
          </w:tcPr>
          <w:p>
            <w:pPr>
              <w:jc w:val="left"/>
            </w:pPr>
            <w:r>
              <w:rPr>
                <w:rFonts w:ascii="Consolas" w:hAnsi="Consolas" w:cs="Consolas"/>
              </w:rPr>
              <w:t xml:space="preserve">(ajuste_provision_niif - recuperacion) * -1</w:t>
            </w:r>
          </w:p>
        </w:tc>
        <w:tc>
          <w:tcPr>
            <w:tcW w:w="2766" w:type="dxa"/>
            <w:vAlign w:val="center"/>
          </w:tcPr>
          <w:p>
            <w:pPr>
              <w:jc w:val="left"/>
            </w:pPr>
            <w:r>
              <w:t xml:space="preserve">positivo → débito, negativo → crédito</w:t>
            </w:r>
          </w:p>
        </w:tc>
      </w:tr>
      <w:tr>
        <w:tc>
          <w:tcPr>
            <w:tcW w:w="921" w:type="dxa"/>
            <w:vAlign w:val="center"/>
          </w:tcPr>
          <w:p>
            <w:pPr>
              <w:jc w:val="left"/>
            </w:pPr>
            <w:r>
              <w:t xml:space="preserve">41</w:t>
            </w:r>
          </w:p>
        </w:tc>
        <w:tc>
          <w:tcPr>
            <w:tcW w:w="2579" w:type="dxa"/>
            <w:vAlign w:val="center"/>
          </w:tcPr>
          <w:p>
            <w:pPr>
              <w:jc w:val="left"/>
            </w:pPr>
            <w:r>
              <w:t xml:space="preserve">Ingreso provisión</w:t>
            </w:r>
          </w:p>
        </w:tc>
        <w:tc>
          <w:tcPr>
            <w:tcW w:w="2948" w:type="dxa"/>
            <w:vAlign w:val="center"/>
          </w:tcPr>
          <w:p>
            <w:pPr>
              <w:jc w:val="left"/>
            </w:pPr>
            <w:r>
              <w:rPr>
                <w:rFonts w:ascii="Consolas" w:hAnsi="Consolas" w:cs="Consolas"/>
              </w:rPr>
              <w:t xml:space="preserve">recuperacion * -1</w:t>
            </w:r>
          </w:p>
        </w:tc>
        <w:tc>
          <w:tcPr>
            <w:tcW w:w="2766" w:type="dxa"/>
            <w:vAlign w:val="center"/>
          </w:tcPr>
          <w:p>
            <w:pPr>
              <w:jc w:val="left"/>
            </w:pPr>
            <w:r>
              <w:t xml:space="preserve">positivo → débito, negativo → crédito</w:t>
            </w:r>
          </w:p>
        </w:tc>
      </w:tr>
    </w:tbl>
    <w:p/>
    <w:p>
      <w:r>
        <w:t xml:space="preserve">Solo se incluyen los litigios que tuvieron </w:t>
      </w:r>
      <w:r>
        <w:rPr>
          <w:b/>
          <w:bCs/>
        </w:rPr>
        <w:t xml:space="preserve">algún movimiento</w:t>
      </w:r>
      <w:r>
        <w:t xml:space="preserve"> en el mes (se excluyen aquellos en los que las cuatro fórmulas anteriores dan cero). Cada script trae, además, una nota documentada en el propio SQL: el cálculo de la cuenta 28 </w:t>
      </w:r>
      <w:r>
        <w:rPr>
          <w:b/>
          <w:bCs/>
        </w:rPr>
        <w:t xml:space="preserve">asume que las provisiones de gasto financiero, gasto provisión e ingreso provisión afectan la misma cuenta</w:t>
      </w:r>
      <w:r>
        <w:t xml:space="preserve">; si el plan de cuentas cambiara, la fórmula debe ajustarse.</w:t>
      </w:r>
    </w:p>
    <w:p>
      <w:pPr>
        <w:pStyle w:val="Subttulo"/>
        <w:jc w:val="left"/>
      </w:pPr>
      <w:r>
        <w:rPr>
          <w:rFonts w:ascii="Consolas" w:hAnsi="Consolas" w:cs="Consolas"/>
        </w:rPr>
        <w:t xml:space="preserve">04_crear_tablas_hist.sql</w:t>
      </w:r>
    </w:p>
    <w:p>
      <w:r>
        <w:t xml:space="preserve">Crea (si no existen) las cuatro tablas históricas de reportes: </w:t>
      </w:r>
      <w:r>
        <w:rPr>
          <w:rFonts w:ascii="Consolas" w:hAnsi="Consolas" w:cs="Consolas"/>
        </w:rPr>
        <w:t xml:space="preserve">litig_p1pyacpl_hist</w:t>
      </w:r>
      <w:r>
        <w:t xml:space="preserve">, </w:t>
      </w:r>
      <w:r>
        <w:rPr>
          <w:rFonts w:ascii="Consolas" w:hAnsi="Consolas" w:cs="Consolas"/>
        </w:rPr>
        <w:t xml:space="preserve">litig_pyg_laborales_hist</w:t>
      </w:r>
      <w:r>
        <w:t xml:space="preserve">, </w:t>
      </w:r>
      <w:r>
        <w:rPr>
          <w:rFonts w:ascii="Consolas" w:hAnsi="Consolas" w:cs="Consolas"/>
        </w:rPr>
        <w:t xml:space="preserve">litig_pyg_comerciales_hist</w:t>
      </w:r>
      <w:r>
        <w:t xml:space="preserve"> y </w:t>
      </w:r>
      <w:r>
        <w:rPr>
          <w:rFonts w:ascii="Consolas" w:hAnsi="Consolas" w:cs="Consolas"/>
        </w:rPr>
        <w:t xml:space="preserve">litig_pyg_hipotecarios_hist</w:t>
      </w:r>
      <w:r>
        <w:t xml:space="preserve">, todas particionadas por fecha de ingestión.</w:t>
      </w:r>
    </w:p>
    <w:p>
      <w:pPr>
        <w:pStyle w:val="Subttulo"/>
        <w:jc w:val="left"/>
      </w:pPr>
      <w:r>
        <w:rPr>
          <w:rFonts w:ascii="Consolas" w:hAnsi="Consolas" w:cs="Consolas"/>
        </w:rPr>
        <w:t xml:space="preserve">05_insertar_tablas_hist.sql</w:t>
      </w:r>
    </w:p>
    <w:p>
      <w:r>
        <w:t xml:space="preserve">Inserta el resultado de cada uno de los cuatro reportes del mes en su respectiva tabla histórica, con conversión explícita de tipos (</w:t>
      </w:r>
      <w:r>
        <w:rPr>
          <w:rFonts w:ascii="Consolas" w:hAnsi="Consolas" w:cs="Consolas"/>
        </w:rPr>
        <w:t xml:space="preserve">CAST</w:t>
      </w:r>
      <w:r>
        <w:t xml:space="preserve">), filtro por </w:t>
      </w:r>
      <w:r>
        <w:rPr>
          <w:rFonts w:ascii="Consolas" w:hAnsi="Consolas" w:cs="Consolas"/>
        </w:rPr>
        <w:t xml:space="preserve">fecha_corte</w:t>
      </w:r>
      <w:r>
        <w:t xml:space="preserve"> y marcas de ingestión. Ejecuta </w:t>
      </w:r>
      <w:r>
        <w:rPr>
          <w:rFonts w:ascii="Consolas" w:hAnsi="Consolas" w:cs="Consolas"/>
        </w:rPr>
        <w:t xml:space="preserve">COMPUTE STATS</w:t>
      </w:r>
      <w:r>
        <w:t xml:space="preserve"> al final de cada inserción.</w:t>
      </w:r>
    </w:p>
    <w:p>
      <w:pPr>
        <w:pStyle w:val="Subttulo"/>
        <w:jc w:val="left"/>
      </w:pPr>
      <w:r>
        <w:t xml:space="preserve">El reporte acumulado P1PL — </w:t>
      </w:r>
      <w:r>
        <w:rPr>
          <w:rFonts w:ascii="Consolas" w:hAnsi="Consolas" w:cs="Consolas"/>
        </w:rPr>
        <w:t xml:space="preserve">06_p1pl_ini.sql</w:t>
      </w:r>
      <w:r>
        <w:t xml:space="preserve"> / </w:t>
      </w:r>
      <w:r>
        <w:rPr>
          <w:rFonts w:ascii="Consolas" w:hAnsi="Consolas" w:cs="Consolas"/>
        </w:rPr>
        <w:t xml:space="preserve">07_p1pl.sql</w:t>
      </w:r>
    </w:p>
    <w:p>
      <w:r>
        <w:t xml:space="preserve">Es el reporte más elaborado porque es </w:t>
      </w:r>
      <w:r>
        <w:rPr>
          <w:b/>
          <w:bCs/>
        </w:rPr>
        <w:t xml:space="preserve">acumulativo</w:t>
      </w:r>
      <w:r>
        <w:t xml:space="preserve">: cada mes parte del resultado del mes anterior y le aplica los movimientos del mes actual. Solo uno de los dos archivos siguientes se ejecuta cada mes (</w:t>
      </w:r>
      <w:r>
        <w:rPr>
          <w:rFonts w:ascii="Consolas" w:hAnsi="Consolas" w:cs="Consolas"/>
        </w:rPr>
        <w:t xml:space="preserve">etl.py</w:t>
      </w:r>
      <w:r>
        <w:t xml:space="preserve"> decide cuál, según si el mes en curso es enero):</w:t>
      </w:r>
    </w:p>
    <w:p>
      <w:r>
        <w:rPr>
          <w:rFonts w:ascii="Consolas" w:hAnsi="Consolas" w:cs="Consolas"/>
          <w:b/>
          <w:bCs/>
        </w:rPr>
        <w:t xml:space="preserve">06_p1pl_ini.sql</w:t>
      </w:r>
      <w:r>
        <w:t xml:space="preserve"> </w:t>
      </w:r>
      <w:r>
        <w:rPr>
          <w:i/>
          <w:iCs/>
        </w:rPr>
        <w:t xml:space="preserve">(solo en enero, inicializa el reporte del año)</w:t>
      </w:r>
    </w:p>
    <w:p>
      <w:pPr>
        <w:pStyle w:val="Prrafodelista"/>
        <w:numPr>
          <w:ilvl w:val="0"/>
          <w:numId w:val="106"/>
        </w:numPr>
        <w:jc w:val="left"/>
      </w:pPr>
      <w:r>
        <w:t xml:space="preserve">El CTE </w:t>
      </w:r>
      <w:r>
        <w:rPr>
          <w:rFonts w:ascii="Consolas" w:hAnsi="Consolas" w:cs="Consolas"/>
        </w:rPr>
        <w:t xml:space="preserve">ultima_ingestion_prov_dic</w:t>
      </w:r>
      <w:r>
        <w:t xml:space="preserve"> identifica la última carga de </w:t>
      </w:r>
      <w:r>
        <w:rPr>
          <w:rFonts w:ascii="Consolas" w:hAnsi="Consolas" w:cs="Consolas"/>
        </w:rPr>
        <w:t xml:space="preserve">litig_provision_hist</w:t>
      </w:r>
      <w:r>
        <w:t xml:space="preserve"> correspondiente al cierre de </w:t>
      </w:r>
      <w:r>
        <w:rPr>
          <w:b/>
          <w:bCs/>
        </w:rPr>
        <w:t xml:space="preserve">diciembre</w:t>
      </w:r>
      <w:r>
        <w:t xml:space="preserve"> del año anterior (</w:t>
      </w:r>
      <w:r>
        <w:rPr>
          <w:rFonts w:ascii="Consolas" w:hAnsi="Consolas" w:cs="Consolas"/>
        </w:rPr>
        <w:t xml:space="preserve">fc_mes_ant</w:t>
      </w:r>
      <w:r>
        <w:t xml:space="preserve">).</w:t>
      </w:r>
    </w:p>
    <w:p>
      <w:pPr>
        <w:pStyle w:val="Prrafodelista"/>
        <w:numPr>
          <w:ilvl w:val="0"/>
          <w:numId w:val="106"/>
        </w:numPr>
        <w:jc w:val="left"/>
      </w:pPr>
      <w:r>
        <w:rPr>
          <w:rFonts w:ascii="Consolas" w:hAnsi="Consolas" w:cs="Consolas"/>
        </w:rPr>
        <w:t xml:space="preserve">prov_dic_filtrada</w:t>
      </w:r>
      <w:r>
        <w:t xml:space="preserve"> toma de esa carga únicamente los litigios con calificación </w:t>
      </w:r>
      <w:r>
        <w:rPr>
          <w:rFonts w:ascii="Consolas" w:hAnsi="Consolas" w:cs="Consolas"/>
        </w:rPr>
        <w:t xml:space="preserve">PROBABLE</w:t>
      </w:r>
      <w:r>
        <w:t xml:space="preserve"> y estado </w:t>
      </w:r>
      <w:r>
        <w:rPr>
          <w:rFonts w:ascii="Consolas" w:hAnsi="Consolas" w:cs="Consolas"/>
        </w:rPr>
        <w:t xml:space="preserve">VIGENTE</w:t>
      </w:r>
      <w:r>
        <w:t xml:space="preserve">, es decir, los que sí deben arrastrarse al nuevo año.</w:t>
      </w:r>
    </w:p>
    <w:p>
      <w:pPr>
        <w:pStyle w:val="Prrafodelista"/>
        <w:numPr>
          <w:ilvl w:val="0"/>
          <w:numId w:val="106"/>
        </w:numPr>
        <w:jc w:val="left"/>
      </w:pPr>
      <w:r>
        <w:rPr>
          <w:rFonts w:ascii="Consolas" w:hAnsi="Consolas" w:cs="Consolas"/>
        </w:rPr>
        <w:t xml:space="preserve">p1pl_antiguos</w:t>
      </w:r>
      <w:r>
        <w:t xml:space="preserve"> cruza (</w:t>
      </w:r>
      <w:r>
        <w:rPr>
          <w:rFonts w:ascii="Consolas" w:hAnsi="Consolas" w:cs="Consolas"/>
        </w:rPr>
        <w:t xml:space="preserve">LEFT JOIN</w:t>
      </w:r>
      <w:r>
        <w:t xml:space="preserve">) esos litigios contra </w:t>
      </w:r>
      <w:r>
        <w:rPr>
          <w:rFonts w:ascii="Consolas" w:hAnsi="Consolas" w:cs="Consolas"/>
        </w:rPr>
        <w:t xml:space="preserve">litig_last_provision</w:t>
      </w:r>
      <w:r>
        <w:t xml:space="preserve"> (los datos de enero) por la llave del litigio, y calcula: </w:t>
      </w:r>
      <w:r>
        <w:rPr>
          <w:rFonts w:ascii="Consolas" w:hAnsi="Consolas" w:cs="Consolas"/>
        </w:rPr>
        <w:t xml:space="preserve">saldo_inicial</w:t>
      </w:r>
      <w:r>
        <w:t xml:space="preserve"> = saldo final de diciembre; </w:t>
      </w:r>
      <w:r>
        <w:rPr>
          <w:rFonts w:ascii="Consolas" w:hAnsi="Consolas" w:cs="Consolas"/>
        </w:rPr>
        <w:t xml:space="preserve">aumento_provision</w:t>
      </w:r>
      <w:r>
        <w:t xml:space="preserve"> / </w:t>
      </w:r>
      <w:r>
        <w:rPr>
          <w:rFonts w:ascii="Consolas" w:hAnsi="Consolas" w:cs="Consolas"/>
        </w:rPr>
        <w:t xml:space="preserve">disminucion_provision</w:t>
      </w:r>
      <w:r>
        <w:t xml:space="preserve"> = la parte negativa o positiva de </w:t>
      </w:r>
      <w:r>
        <w:rPr>
          <w:rFonts w:ascii="Consolas" w:hAnsi="Consolas" w:cs="Consolas"/>
        </w:rPr>
        <w:t xml:space="preserve">ajuste_provision_niif</w:t>
      </w:r>
      <w:r>
        <w:t xml:space="preserve"> de enero; </w:t>
      </w:r>
      <w:r>
        <w:rPr>
          <w:rFonts w:ascii="Consolas" w:hAnsi="Consolas" w:cs="Consolas"/>
        </w:rPr>
        <w:t xml:space="preserve">gasto_financiero</w:t>
      </w:r>
      <w:r>
        <w:t xml:space="preserve"> y </w:t>
      </w:r>
      <w:r>
        <w:rPr>
          <w:rFonts w:ascii="Consolas" w:hAnsi="Consolas" w:cs="Consolas"/>
        </w:rPr>
        <w:t xml:space="preserve">pagos_parciales</w:t>
      </w:r>
      <w:r>
        <w:t xml:space="preserve"> = los valores de enero; </w:t>
      </w:r>
      <w:r>
        <w:rPr>
          <w:rFonts w:ascii="Consolas" w:hAnsi="Consolas" w:cs="Consolas"/>
        </w:rPr>
        <w:t xml:space="preserve">saldo_final_euc</w:t>
      </w:r>
      <w:r>
        <w:t xml:space="preserve"> = el saldo final que trae la EUC en enero (o el de diciembre si el litigio ya no aparece); y la bandera </w:t>
      </w:r>
      <w:r>
        <w:rPr>
          <w:rFonts w:ascii="Consolas" w:hAnsi="Consolas" w:cs="Consolas"/>
        </w:rPr>
        <w:t xml:space="preserve">lit_faltante = True</w:t>
      </w:r>
      <w:r>
        <w:t xml:space="preserve"> si el litigio seguía vigente en diciembre pero ya no aparece en el insumo de enero.</w:t>
      </w:r>
    </w:p>
    <w:p>
      <w:pPr>
        <w:pStyle w:val="Prrafodelista"/>
        <w:numPr>
          <w:ilvl w:val="0"/>
          <w:numId w:val="106"/>
        </w:numPr>
        <w:jc w:val="left"/>
      </w:pPr>
      <w:r>
        <w:rPr>
          <w:rFonts w:ascii="Consolas" w:hAnsi="Consolas" w:cs="Consolas"/>
        </w:rPr>
        <w:t xml:space="preserve">p1pl_nuevos</w:t>
      </w:r>
      <w:r>
        <w:t xml:space="preserve"> toma de </w:t>
      </w:r>
      <w:r>
        <w:rPr>
          <w:rFonts w:ascii="Consolas" w:hAnsi="Consolas" w:cs="Consolas"/>
        </w:rPr>
        <w:t xml:space="preserve">litig_last_provision</w:t>
      </w:r>
      <w:r>
        <w:t xml:space="preserve"> los litigios que son </w:t>
      </w:r>
      <w:r>
        <w:rPr>
          <w:rFonts w:ascii="Consolas" w:hAnsi="Consolas" w:cs="Consolas"/>
        </w:rPr>
        <w:t xml:space="preserve">PROBABLE</w:t>
      </w:r>
      <w:r>
        <w:t xml:space="preserve"> en enero pero que </w:t>
      </w:r>
      <w:r>
        <w:rPr>
          <w:b/>
          <w:bCs/>
        </w:rPr>
        <w:t xml:space="preserve">no</w:t>
      </w:r>
      <w:r>
        <w:t xml:space="preserve"> lo eran el mes anterior (litigios nuevos o que cambiaron de calificación), y arma su fila inicial con </w:t>
      </w:r>
      <w:r>
        <w:rPr>
          <w:rFonts w:ascii="Consolas" w:hAnsi="Consolas" w:cs="Consolas"/>
        </w:rPr>
        <w:t xml:space="preserve">saldo_inicial = 0</w:t>
      </w:r>
      <w:r>
        <w:t xml:space="preserve"> y </w:t>
      </w:r>
      <w:r>
        <w:rPr>
          <w:rFonts w:ascii="Consolas" w:hAnsi="Consolas" w:cs="Consolas"/>
        </w:rPr>
        <w:t xml:space="preserve">nuevas_provisiones = -PROVISION_MES_ACTUAL</w:t>
      </w:r>
      <w:r>
        <w:t xml:space="preserve">.</w:t>
      </w:r>
    </w:p>
    <w:p>
      <w:pPr>
        <w:pStyle w:val="Prrafodelista"/>
        <w:numPr>
          <w:ilvl w:val="0"/>
          <w:numId w:val="106"/>
        </w:numPr>
        <w:jc w:val="left"/>
      </w:pPr>
      <w:r>
        <w:t xml:space="preserve">La consulta final une (</w:t>
      </w:r>
      <w:r>
        <w:rPr>
          <w:rFonts w:ascii="Consolas" w:hAnsi="Consolas" w:cs="Consolas"/>
        </w:rPr>
        <w:t xml:space="preserve">UNION ALL</w:t>
      </w:r>
      <w:r>
        <w:t xml:space="preserve">) ambos conjuntos y calcula, para cada litigio: </w:t>
      </w:r>
      <w:r>
        <w:rPr>
          <w:rFonts w:ascii="Consolas" w:hAnsi="Consolas" w:cs="Consolas"/>
        </w:rPr>
        <w:t xml:space="preserve">saldo_final = saldo_inicial + nuevas_provisiones + aumento_provision + disminucion_provision + gasto_financiero + pagos_parciales</w:t>
      </w:r>
      <w:r>
        <w:t xml:space="preserve">, y </w:t>
      </w:r>
      <w:r>
        <w:rPr>
          <w:rFonts w:ascii="Consolas" w:hAnsi="Consolas" w:cs="Consolas"/>
        </w:rPr>
        <w:t xml:space="preserve">diferencia = saldo_final (calculado) - saldo_final_euc</w:t>
      </w:r>
      <w:r>
        <w:t xml:space="preserve"> (debe ser cero).</w:t>
      </w:r>
    </w:p>
    <w:p>
      <w:r>
        <w:rPr>
          <w:rFonts w:ascii="Consolas" w:hAnsi="Consolas" w:cs="Consolas"/>
          <w:b/>
          <w:bCs/>
        </w:rPr>
        <w:t xml:space="preserve">07_p1pl.sql</w:t>
      </w:r>
      <w:r>
        <w:t xml:space="preserve"> </w:t>
      </w:r>
      <w:r>
        <w:rPr>
          <w:i/>
          <w:iCs/>
        </w:rPr>
        <w:t xml:space="preserve">(todos los meses excepto enero, actualiza el acumulado)</w:t>
      </w:r>
    </w:p>
    <w:p>
      <w:r>
        <w:t xml:space="preserve">Sigue la misma estructura que </w:t>
      </w:r>
      <w:r>
        <w:rPr>
          <w:rFonts w:ascii="Consolas" w:hAnsi="Consolas" w:cs="Consolas"/>
        </w:rPr>
        <w:t xml:space="preserve">06_p1pl_ini.sql</w:t>
      </w:r>
      <w:r>
        <w:t xml:space="preserve">, con una diferencia: en lugar de partir del cierre de diciembre, el CTE </w:t>
      </w:r>
      <w:r>
        <w:rPr>
          <w:rFonts w:ascii="Consolas" w:hAnsi="Consolas" w:cs="Consolas"/>
        </w:rPr>
        <w:t xml:space="preserve">p1pl_filtrada</w:t>
      </w:r>
      <w:r>
        <w:t xml:space="preserve"> toma la última ingestión del </w:t>
      </w:r>
      <w:r>
        <w:rPr>
          <w:b/>
          <w:bCs/>
        </w:rPr>
        <w:t xml:space="preserve">reporte P1PL del mes anterior</w:t>
      </w:r>
      <w:r>
        <w:t xml:space="preserve"> (</w:t>
      </w:r>
      <w:r>
        <w:rPr>
          <w:rFonts w:ascii="Consolas" w:hAnsi="Consolas" w:cs="Consolas"/>
        </w:rPr>
        <w:t xml:space="preserve">litig_p1pl_hist</w:t>
      </w:r>
      <w:r>
        <w:t xml:space="preserve">), y sobre esos valores acumulados (</w:t>
      </w:r>
      <w:r>
        <w:rPr>
          <w:rFonts w:ascii="Consolas" w:hAnsi="Consolas" w:cs="Consolas"/>
        </w:rPr>
        <w:t xml:space="preserve">saldo_inicial</w:t>
      </w:r>
      <w:r>
        <w:t xml:space="preserve">, </w:t>
      </w:r>
      <w:r>
        <w:rPr>
          <w:rFonts w:ascii="Consolas" w:hAnsi="Consolas" w:cs="Consolas"/>
        </w:rPr>
        <w:t xml:space="preserve">aumento_provision</w:t>
      </w:r>
      <w:r>
        <w:t xml:space="preserve">, </w:t>
      </w:r>
      <w:r>
        <w:rPr>
          <w:rFonts w:ascii="Consolas" w:hAnsi="Consolas" w:cs="Consolas"/>
        </w:rPr>
        <w:t xml:space="preserve">disminucion_provision</w:t>
      </w:r>
      <w:r>
        <w:t xml:space="preserve">, </w:t>
      </w:r>
      <w:r>
        <w:rPr>
          <w:rFonts w:ascii="Consolas" w:hAnsi="Consolas" w:cs="Consolas"/>
        </w:rPr>
        <w:t xml:space="preserve">gasto_financiero</w:t>
      </w:r>
      <w:r>
        <w:t xml:space="preserve">, </w:t>
      </w:r>
      <w:r>
        <w:rPr>
          <w:rFonts w:ascii="Consolas" w:hAnsi="Consolas" w:cs="Consolas"/>
        </w:rPr>
        <w:t xml:space="preserve">pagos_parciales</w:t>
      </w:r>
      <w:r>
        <w:t xml:space="preserve"> ya arrastrados) les </w:t>
      </w:r>
      <w:r>
        <w:rPr>
          <w:b/>
          <w:bCs/>
        </w:rPr>
        <w:t xml:space="preserve">suma</w:t>
      </w:r>
      <w:r>
        <w:t xml:space="preserve"> los nuevos ajustes del mes en curso. Igual que en enero, identifica los litigios nuevos/recién probables (</w:t>
      </w:r>
      <w:r>
        <w:rPr>
          <w:rFonts w:ascii="Consolas" w:hAnsi="Consolas" w:cs="Consolas"/>
        </w:rPr>
        <w:t xml:space="preserve">p1pl_nuevos</w:t>
      </w:r>
      <w:r>
        <w:t xml:space="preserve">) y calcula </w:t>
      </w:r>
      <w:r>
        <w:rPr>
          <w:rFonts w:ascii="Consolas" w:hAnsi="Consolas" w:cs="Consolas"/>
        </w:rPr>
        <w:t xml:space="preserve">saldo_final</w:t>
      </w:r>
      <w:r>
        <w:t xml:space="preserve">, </w:t>
      </w:r>
      <w:r>
        <w:rPr>
          <w:rFonts w:ascii="Consolas" w:hAnsi="Consolas" w:cs="Consolas"/>
        </w:rPr>
        <w:t xml:space="preserve">diferencia</w:t>
      </w:r>
      <w:r>
        <w:t xml:space="preserve"> y </w:t>
      </w:r>
      <w:r>
        <w:rPr>
          <w:rFonts w:ascii="Consolas" w:hAnsi="Consolas" w:cs="Consolas"/>
        </w:rPr>
        <w:t xml:space="preserve">lit_faltante</w:t>
      </w:r>
      <w:r>
        <w:t xml:space="preserve"> de la misma manera.</w:t>
      </w:r>
    </w:p>
    <w:p>
      <w:r>
        <w:rPr>
          <w:rFonts w:ascii="Consolas" w:hAnsi="Consolas" w:cs="Consolas"/>
          <w:b/>
          <w:bCs/>
        </w:rPr>
        <w:t xml:space="preserve">08_crear_p1pl_hist.sql</w:t>
      </w:r>
      <w:r>
        <w:t xml:space="preserve"> crea (si no existe) la tabla histórica </w:t>
      </w:r>
      <w:r>
        <w:rPr>
          <w:rFonts w:ascii="Consolas" w:hAnsi="Consolas" w:cs="Consolas"/>
        </w:rPr>
        <w:t xml:space="preserve">litig_p1pl_hist</w:t>
      </w:r>
      <w:r>
        <w:t xml:space="preserve">. </w:t>
      </w:r>
      <w:r>
        <w:rPr>
          <w:rFonts w:ascii="Consolas" w:hAnsi="Consolas" w:cs="Consolas"/>
          <w:b/>
          <w:bCs/>
        </w:rPr>
        <w:t xml:space="preserve">09_insertar_p1pl_hist.sql</w:t>
      </w:r>
      <w:r>
        <w:t xml:space="preserve"> inserta en ella el resultado del mes, con </w:t>
      </w:r>
      <w:r>
        <w:rPr>
          <w:rFonts w:ascii="Consolas" w:hAnsi="Consolas" w:cs="Consolas"/>
        </w:rPr>
        <w:t xml:space="preserve">CAST</w:t>
      </w:r>
      <w:r>
        <w:t xml:space="preserve"> en cada columna y marcas de ingestión, finalizando con </w:t>
      </w:r>
      <w:r>
        <w:rPr>
          <w:rFonts w:ascii="Consolas" w:hAnsi="Consolas" w:cs="Consolas"/>
        </w:rPr>
        <w:t xml:space="preserve">COMPUTE STATS</w:t>
      </w:r>
      <w:r>
        <w:t xml:space="preserve">.</w:t>
      </w:r>
    </w:p>
    <w:p>
      <w:pPr>
        <w:rPr>
          <w:i/>
          <w:iCs/>
        </w:rPr>
      </w:pPr>
      <w:r>
        <w:rPr>
          <w:i/>
          <w:iCs/>
        </w:rPr>
        <w:t xml:space="preserve">Nota: los campos </w:t>
      </w:r>
      <w:r>
        <w:rPr>
          <w:rFonts w:ascii="Consolas" w:hAnsi="Consolas" w:cs="Consolas"/>
          <w:i/>
          <w:iCs/>
        </w:rPr>
        <w:t xml:space="preserve">diferencia</w:t>
      </w:r>
      <w:r>
        <w:rPr>
          <w:i/>
          <w:iCs/>
        </w:rPr>
        <w:t xml:space="preserve"> (saldo calculado vs. saldo de la EUC) y </w:t>
      </w:r>
      <w:r>
        <w:rPr>
          <w:rFonts w:ascii="Consolas" w:hAnsi="Consolas" w:cs="Consolas"/>
          <w:i/>
          <w:iCs/>
        </w:rPr>
        <w:t xml:space="preserve">lit_faltante</w:t>
      </w:r>
      <w:r>
        <w:rPr>
          <w:i/>
          <w:iCs/>
        </w:rPr>
        <w:t xml:space="preserve"> (litigio vigente que desapareció del insumo) son el resultado de control más importante del reporte P1PL: permiten detectar de forma automática cualquier descuadre entre lo acumulado por el proceso y lo que trae la EUC en el mes.</w:t>
      </w:r>
    </w:p>
    <w:p>
      <w:pPr>
        <w:pStyle w:val="Ttulo1"/>
      </w:pPr>
      <w:bookmarkStart w:id="90000035" w:name="_Toc90000036"/>
      <w:r>
        <w:t xml:space="preserve">9. Manejo de logs y errores</w:t>
      </w:r>
      <w:bookmarkEnd w:id="90000035"/>
    </w:p>
    <w:p/>
    <w:p>
      <w:r>
        <w:t xml:space="preserve">El proceso cuenta con un mecanismo genérico de trazabilidad y control de errores, aplicado en cada ejecución mensual:</w:t>
      </w:r>
    </w:p>
    <w:p>
      <w:pPr>
        <w:pStyle w:val="Prrafodelista"/>
        <w:numPr>
          <w:ilvl w:val="0"/>
          <w:numId w:val="1"/>
        </w:numPr>
        <w:jc w:val="left"/>
      </w:pPr>
      <w:r>
        <w:rPr>
          <w:b/>
          <w:bCs/>
        </w:rPr>
        <w:t xml:space="preserve">Registro de inicio:</w:t>
      </w:r>
      <w:r>
        <w:t xml:space="preserve"> al arrancar, el proceso guarda la fecha y hora de inicio de la ejecución.</w:t>
      </w:r>
    </w:p>
    <w:p>
      <w:pPr>
        <w:pStyle w:val="Prrafodelista"/>
        <w:numPr>
          <w:ilvl w:val="0"/>
          <w:numId w:val="1"/>
        </w:numPr>
        <w:jc w:val="left"/>
      </w:pPr>
      <w:r>
        <w:rPr>
          <w:b/>
          <w:bCs/>
        </w:rPr>
        <w:t xml:space="preserve">Ejecución controlada:</w:t>
      </w:r>
      <w:r>
        <w:t xml:space="preserve"> toda la lógica del proceso corre dentro de un bloque protegido que captura cualquier error que ocurra durante la ejecución (por ejemplo, fallas de conexión, errores en un script SQL, datos inconsistentes, etc.).</w:t>
      </w:r>
    </w:p>
    <w:p>
      <w:pPr>
        <w:pStyle w:val="Prrafodelista"/>
        <w:numPr>
          <w:ilvl w:val="0"/>
          <w:numId w:val="1"/>
        </w:numPr>
        <w:jc w:val="left"/>
      </w:pPr>
      <w:r>
        <w:rPr>
          <w:b/>
          <w:bCs/>
        </w:rPr>
        <w:t xml:space="preserve">Registro del error:</w:t>
      </w:r>
      <w:r>
        <w:t xml:space="preserve"> si ocurre un error, éste se registra en el log del proceso con el detalle de la excepción, para facilitar su diagnóstico.</w:t>
      </w:r>
    </w:p>
    <w:p>
      <w:pPr>
        <w:pStyle w:val="Prrafodelista"/>
        <w:numPr>
          <w:ilvl w:val="0"/>
          <w:numId w:val="1"/>
        </w:numPr>
        <w:jc w:val="left"/>
      </w:pPr>
      <w:r>
        <w:rPr>
          <w:b/>
          <w:bCs/>
        </w:rPr>
        <w:t xml:space="preserve">Respaldo de logs garantizado:</w:t>
      </w:r>
      <w:r>
        <w:t xml:space="preserve"> independientemente de si el proceso terminó correctamente o con error, al final </w:t>
      </w:r>
      <w:r>
        <w:rPr>
          <w:b/>
          <w:bCs/>
        </w:rPr>
        <w:t xml:space="preserve">siempre</w:t>
      </w:r>
      <w:r>
        <w:t xml:space="preserve"> se ejecuta una rutina de respaldo de logs, que guarda evidencia de la ejecución (soporte, configuración utilizada, hora de inicio y el error si lo hubo) y la sube a la plataforma de datos para su consulta posterior.</w:t>
      </w:r>
    </w:p>
    <w:p>
      <w:pPr>
        <w:pStyle w:val="Prrafodelista"/>
        <w:numPr>
          <w:ilvl w:val="0"/>
          <w:numId w:val="1"/>
        </w:numPr>
        <w:jc w:val="left"/>
      </w:pPr>
      <w:r>
        <w:rPr>
          <w:b/>
          <w:bCs/>
        </w:rPr>
        <w:t xml:space="preserve">Carpetas de logs:</w:t>
      </w:r>
      <w:r>
        <w:t xml:space="preserve"> el proceso crea automáticamente las carpetas necesarias (</w:t>
      </w:r>
      <w:r>
        <w:rPr>
          <w:rFonts w:ascii="Consolas" w:hAnsi="Consolas" w:cs="Consolas"/>
        </w:rPr>
        <w:t xml:space="preserve">logs/</w:t>
      </w:r>
      <w:r>
        <w:t xml:space="preserve"> y </w:t>
      </w:r>
      <w:r>
        <w:rPr>
          <w:rFonts w:ascii="Consolas" w:hAnsi="Consolas" w:cs="Consolas"/>
        </w:rPr>
        <w:t xml:space="preserve">logs_calendarizacion/</w:t>
      </w:r>
      <w:r>
        <w:t xml:space="preserve">) si no existen, para almacenar la evidencia local de cada ejecución.</w:t>
      </w:r>
    </w:p>
    <w:p>
      <w:pPr>
        <w:pStyle w:val="Prrafodelista"/>
        <w:numPr>
          <w:ilvl w:val="0"/>
          <w:numId w:val="1"/>
        </w:numPr>
        <w:jc w:val="left"/>
      </w:pPr>
      <w:r>
        <w:rPr>
          <w:b/>
          <w:bCs/>
        </w:rPr>
        <w:t xml:space="preserve">Tipos de log adicionales:</w:t>
      </w:r>
      <w:r>
        <w:t xml:space="preserve"> el proceso admite banderas opcionales de ejecución para logs de compilación y de estabilidad, útiles en fases de prueba o monitoreo del rendimiento del proceso.</w:t>
      </w:r>
    </w:p>
    <w:p>
      <w:r>
        <w:t xml:space="preserve">En resumen: </w:t>
      </w:r>
      <w:r>
        <w:rPr>
          <w:b/>
          <w:bCs/>
        </w:rPr>
        <w:t xml:space="preserve">cada corrida del proceso, sea exitosa o fallida, deja siempre una huella verificable</w:t>
      </w:r>
      <w:r>
        <w:t xml:space="preserve"> de lo que ocurrió.</w:t>
      </w:r>
    </w:p>
    <w:p>
      <w:pPr>
        <w:pStyle w:val="Ttulo1"/>
      </w:pPr>
      <w:bookmarkStart w:id="90000037" w:name="_Toc90000038"/>
      <w:r>
        <w:t xml:space="preserve">10. Proceso de ejecución (etapas del flujo)</w:t>
      </w:r>
      <w:bookmarkEnd w:id="90000037"/>
    </w:p>
    <w:p/>
    <w:p>
      <w:r>
        <w:t xml:space="preserve">El proceso se dispara mensualmente y ejecuta, en estricto orden, las siguientes cuatro tareas:</w:t>
      </w:r>
    </w:p>
    <w:p>
      <w:pPr>
        <w:jc w:val="center"/>
      </w:pPr>
      <w:r>
        <w:rPr>
          <w:noProof/>
        </w:rPr>
        <w:drawing>
          <wp:inline distT="0" distB="0" distL="0" distR="0">
            <wp:extent cx="5852160" cy="4041648"/>
            <wp:effectExtent l="0" t="0" r="0" b="0"/>
            <wp:docPr id="1003" name="Imagen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3"/>
                    <pic:cNvPicPr>
                      <a:picLocks noChangeAspect="1"/>
                    </pic:cNvPicPr>
                  </pic:nvPicPr>
                  <pic:blipFill>
                    <a:blip r:embed="rIdImg103"/>
                    <a:stretch>
                      <a:fillRect/>
                    </a:stretch>
                  </pic:blipFill>
                  <pic:spPr>
                    <a:xfrm>
                      <a:off x="0" y="0"/>
                      <a:ext cx="5852160" cy="4041648"/>
                    </a:xfrm>
                    <a:prstGeom prst="rect">
                      <a:avLst/>
                    </a:prstGeom>
                  </pic:spPr>
                </pic:pic>
              </a:graphicData>
            </a:graphic>
          </wp:inline>
        </w:drawing>
      </w:r>
    </w:p>
    <w:p>
      <w:pPr>
        <w:pStyle w:val="Prrafodelista"/>
        <w:numPr>
          <w:ilvl w:val="0"/>
          <w:numId w:val="107"/>
        </w:numPr>
        <w:jc w:val="left"/>
      </w:pPr>
      <w:r>
        <w:rPr>
          <w:b/>
          <w:bCs/>
        </w:rPr>
        <w:t xml:space="preserve">Fecha de corte:</w:t>
      </w:r>
      <w:r>
        <w:t xml:space="preserve"> el proceso calcula automáticamente el período contable a procesar, que corresponde siempre al </w:t>
      </w:r>
      <w:r>
        <w:rPr>
          <w:b/>
          <w:bCs/>
        </w:rPr>
        <w:t xml:space="preserve">último día del mes anterior</w:t>
      </w:r>
      <w:r>
        <w:t xml:space="preserve">. También calcula la fecha de corte del mes previo a ese, necesaria para las comparaciones de la etapa de conciliación y reportes.</w:t>
      </w:r>
    </w:p>
    <w:p>
      <w:pPr>
        <w:pStyle w:val="Prrafodelista"/>
        <w:numPr>
          <w:ilvl w:val="0"/>
          <w:numId w:val="107"/>
        </w:numPr>
        <w:jc w:val="left"/>
      </w:pPr>
      <w:r>
        <w:rPr>
          <w:b/>
          <w:bCs/>
        </w:rPr>
        <w:t xml:space="preserve">Carga:</w:t>
      </w:r>
      <w:r>
        <w:t xml:space="preserve"> se ejecutan en orden los cuatro scripts de la carpeta </w:t>
      </w:r>
      <w:r>
        <w:rPr>
          <w:rFonts w:ascii="Consolas" w:hAnsi="Consolas" w:cs="Consolas"/>
        </w:rPr>
        <w:t xml:space="preserve">etl/</w:t>
      </w:r>
      <w:r>
        <w:t xml:space="preserve">, dejando la información del mes cargada de forma histórica y depurada.</w:t>
      </w:r>
    </w:p>
    <w:p>
      <w:pPr>
        <w:pStyle w:val="Prrafodelista"/>
        <w:numPr>
          <w:ilvl w:val="0"/>
          <w:numId w:val="107"/>
        </w:numPr>
        <w:jc w:val="left"/>
      </w:pPr>
      <w:r>
        <w:rPr>
          <w:b/>
          <w:bCs/>
        </w:rPr>
        <w:t xml:space="preserve">Conciliación:</w:t>
      </w:r>
      <w:r>
        <w:t xml:space="preserve"> se ejecutan en orden los siete scripts de la carpeta </w:t>
      </w:r>
      <w:r>
        <w:rPr>
          <w:rFonts w:ascii="Consolas" w:hAnsi="Consolas" w:cs="Consolas"/>
        </w:rPr>
        <w:t xml:space="preserve">conciliacion/</w:t>
      </w:r>
      <w:r>
        <w:t xml:space="preserve">, comparando el ajuste calculado contra el movimiento contable real en SAP para las cuatro sociedades.</w:t>
      </w:r>
    </w:p>
    <w:p>
      <w:pPr>
        <w:pStyle w:val="Prrafodelista"/>
        <w:numPr>
          <w:ilvl w:val="0"/>
          <w:numId w:val="107"/>
        </w:numPr>
        <w:jc w:val="left"/>
      </w:pPr>
      <w:r>
        <w:rPr>
          <w:b/>
          <w:bCs/>
        </w:rPr>
        <w:t xml:space="preserve">Reportes:</w:t>
      </w:r>
      <w:r>
        <w:t xml:space="preserve"> se ejecutan en orden los scripts de la carpeta </w:t>
      </w:r>
      <w:r>
        <w:rPr>
          <w:rFonts w:ascii="Consolas" w:hAnsi="Consolas" w:cs="Consolas"/>
        </w:rPr>
        <w:t xml:space="preserve">reportes/</w:t>
      </w:r>
      <w:r>
        <w:t xml:space="preserve">, generando los reportes finales del mes. Dependiendo de si el mes procesado es enero o no, se ejecuta la inicialización anual o la actualización mensual del reporte acumulado </w:t>
      </w:r>
      <w:r>
        <w:rPr>
          <w:rFonts w:ascii="Consolas" w:hAnsi="Consolas" w:cs="Consolas"/>
        </w:rPr>
        <w:t xml:space="preserve">P1PL</w:t>
      </w:r>
      <w:r>
        <w:t xml:space="preserve">.</w:t>
      </w:r>
    </w:p>
    <w:p>
      <w:r>
        <w:t xml:space="preserve">Al finalizar las cuatro tareas, se genera el respaldo de logs de la ejecución, tal como se describe en la sección anterior.</w:t>
      </w:r>
    </w:p>
    <w:p>
      <w:pPr>
        <w:pStyle w:val="Ttulo1"/>
      </w:pPr>
      <w:bookmarkStart w:id="90000039" w:name="_Toc90000040"/>
      <w:r>
        <w:t xml:space="preserve">11. Glosario</w:t>
      </w:r>
      <w:bookmarkEnd w:id="90000039"/>
    </w:p>
    <w:p/>
    <w:tbl>
      <w:tblPr>
        <w:tblStyle w:val="Tablaconcuadrcula"/>
        <w:tblW w:w="9214" w:type="dxa"/>
        <w:tblLayout w:type="fixed"/>
        <w:tblLook w:val="04A0" w:firstRow="1" w:lastRow="0" w:firstColumn="1" w:lastColumn="0" w:noHBand="0" w:noVBand="1"/>
      </w:tblPr>
      <w:tblGrid>
        <w:gridCol w:w="2027"/>
        <w:gridCol w:w="7187"/>
      </w:tblGrid>
      <w:tr>
        <w:trPr>
          <w:tblHeader/>
        </w:trPr>
        <w:tc>
          <w:tcPr>
            <w:tcW w:w="2027" w:type="dxa"/>
            <w:shd w:val="clear" w:color="auto" w:fill="EDEBE8"/>
            <w:vAlign w:val="center"/>
          </w:tcPr>
          <w:p>
            <w:pPr>
              <w:jc w:val="left"/>
            </w:pPr>
            <w:r>
              <w:rPr>
                <w:b/>
                <w:bCs/>
              </w:rPr>
              <w:t xml:space="preserve">Término</w:t>
            </w:r>
          </w:p>
        </w:tc>
        <w:tc>
          <w:tcPr>
            <w:tcW w:w="7187" w:type="dxa"/>
            <w:shd w:val="clear" w:color="auto" w:fill="EDEBE8"/>
            <w:vAlign w:val="center"/>
          </w:tcPr>
          <w:p>
            <w:pPr>
              <w:jc w:val="left"/>
            </w:pPr>
            <w:r>
              <w:rPr>
                <w:b/>
                <w:bCs/>
              </w:rPr>
              <w:t xml:space="preserve">Significado</w:t>
            </w:r>
          </w:p>
        </w:tc>
      </w:tr>
      <w:tr>
        <w:tc>
          <w:tcPr>
            <w:tcW w:w="2027" w:type="dxa"/>
            <w:vAlign w:val="center"/>
          </w:tcPr>
          <w:p>
            <w:pPr>
              <w:jc w:val="left"/>
            </w:pPr>
            <w:r>
              <w:rPr>
                <w:b/>
                <w:bCs/>
              </w:rPr>
              <w:t xml:space="preserve">ETL</w:t>
            </w:r>
          </w:p>
        </w:tc>
        <w:tc>
          <w:tcPr>
            <w:tcW w:w="7187" w:type="dxa"/>
            <w:vAlign w:val="center"/>
          </w:tcPr>
          <w:p>
            <w:pPr>
              <w:jc w:val="left"/>
            </w:pPr>
            <w:r>
              <w:rPr>
                <w:i/>
                <w:iCs/>
              </w:rPr>
              <w:t xml:space="preserve">Extract, Transform, Load</w:t>
            </w:r>
            <w:r>
              <w:t xml:space="preserve"> (Extraer, Transformar, Cargar): programa que toma datos de un lugar, los procesa y los deja listos en otro lugar.</w:t>
            </w:r>
          </w:p>
        </w:tc>
      </w:tr>
      <w:tr>
        <w:tc>
          <w:tcPr>
            <w:tcW w:w="2027" w:type="dxa"/>
            <w:vAlign w:val="center"/>
          </w:tcPr>
          <w:p>
            <w:pPr>
              <w:jc w:val="left"/>
            </w:pPr>
            <w:r>
              <w:rPr>
                <w:b/>
                <w:bCs/>
              </w:rPr>
              <w:t xml:space="preserve">EUC</w:t>
            </w:r>
          </w:p>
        </w:tc>
        <w:tc>
          <w:tcPr>
            <w:tcW w:w="7187" w:type="dxa"/>
            <w:vAlign w:val="center"/>
          </w:tcPr>
          <w:p>
            <w:pPr>
              <w:jc w:val="left"/>
            </w:pPr>
            <w:r>
              <w:rPr>
                <w:i/>
                <w:iCs/>
              </w:rPr>
              <w:t xml:space="preserve">End User Computing</w:t>
            </w:r>
            <w:r>
              <w:t xml:space="preserve">: herramienta desarrollada por el área usuaria (típicamente en Excel) que realiza el cálculo contable de las provisiones de litigios.</w:t>
            </w:r>
          </w:p>
        </w:tc>
      </w:tr>
      <w:tr>
        <w:tc>
          <w:tcPr>
            <w:tcW w:w="2027" w:type="dxa"/>
            <w:vAlign w:val="center"/>
          </w:tcPr>
          <w:p>
            <w:pPr>
              <w:jc w:val="left"/>
            </w:pPr>
            <w:r>
              <w:rPr>
                <w:b/>
                <w:bCs/>
              </w:rPr>
              <w:t xml:space="preserve">Provisión</w:t>
            </w:r>
          </w:p>
        </w:tc>
        <w:tc>
          <w:tcPr>
            <w:tcW w:w="7187" w:type="dxa"/>
            <w:vAlign w:val="center"/>
          </w:tcPr>
          <w:p>
            <w:pPr>
              <w:jc w:val="left"/>
            </w:pPr>
            <w:r>
              <w:t xml:space="preserve">Dinero que el banco aparta contablemente para cubrir una posible pérdida derivada de una demanda.</w:t>
            </w:r>
          </w:p>
        </w:tc>
      </w:tr>
      <w:tr>
        <w:tc>
          <w:tcPr>
            <w:tcW w:w="2027" w:type="dxa"/>
            <w:vAlign w:val="center"/>
          </w:tcPr>
          <w:p>
            <w:pPr>
              <w:jc w:val="left"/>
            </w:pPr>
            <w:r>
              <w:rPr>
                <w:b/>
                <w:bCs/>
              </w:rPr>
              <w:t xml:space="preserve">Litigio</w:t>
            </w:r>
          </w:p>
        </w:tc>
        <w:tc>
          <w:tcPr>
            <w:tcW w:w="7187" w:type="dxa"/>
            <w:vAlign w:val="center"/>
          </w:tcPr>
          <w:p>
            <w:pPr>
              <w:jc w:val="left"/>
            </w:pPr>
            <w:r>
              <w:t xml:space="preserve">Proceso legal (demanda) contra el banco. Se clasifica en Comerciales, Hipotecarios o Laborales.</w:t>
            </w:r>
          </w:p>
        </w:tc>
      </w:tr>
      <w:tr>
        <w:tc>
          <w:tcPr>
            <w:tcW w:w="2027" w:type="dxa"/>
            <w:vAlign w:val="center"/>
          </w:tcPr>
          <w:p>
            <w:pPr>
              <w:jc w:val="left"/>
            </w:pPr>
            <w:r>
              <w:rPr>
                <w:b/>
                <w:bCs/>
              </w:rPr>
              <w:t xml:space="preserve">Zona de Procesos</w:t>
            </w:r>
          </w:p>
        </w:tc>
        <w:tc>
          <w:tcPr>
            <w:tcW w:w="7187" w:type="dxa"/>
            <w:vAlign w:val="center"/>
          </w:tcPr>
          <w:p>
            <w:pPr>
              <w:jc w:val="left"/>
            </w:pPr>
            <w:r>
              <w:t xml:space="preserve">Área de trabajo intermedia donde se realizan cálculos temporales (</w:t>
            </w:r>
            <w:r>
              <w:rPr>
                <w:rFonts w:ascii="Consolas" w:hAnsi="Consolas" w:cs="Consolas"/>
              </w:rPr>
              <w:t xml:space="preserve">proceso_vspc_serv</w:t>
            </w:r>
            <w:r>
              <w:t xml:space="preserve">).</w:t>
            </w:r>
          </w:p>
        </w:tc>
      </w:tr>
      <w:tr>
        <w:tc>
          <w:tcPr>
            <w:tcW w:w="2027" w:type="dxa"/>
            <w:vAlign w:val="center"/>
          </w:tcPr>
          <w:p>
            <w:pPr>
              <w:jc w:val="left"/>
            </w:pPr>
            <w:r>
              <w:rPr>
                <w:b/>
                <w:bCs/>
              </w:rPr>
              <w:t xml:space="preserve">Zona de Resultados</w:t>
            </w:r>
          </w:p>
        </w:tc>
        <w:tc>
          <w:tcPr>
            <w:tcW w:w="7187" w:type="dxa"/>
            <w:vAlign w:val="center"/>
          </w:tcPr>
          <w:p>
            <w:pPr>
              <w:jc w:val="left"/>
            </w:pPr>
            <w:r>
              <w:t xml:space="preserve">Área final donde quedan los datos oficiales e históricos (</w:t>
            </w:r>
            <w:r>
              <w:rPr>
                <w:rFonts w:ascii="Consolas" w:hAnsi="Consolas" w:cs="Consolas"/>
              </w:rPr>
              <w:t xml:space="preserve">resultados_vspc_serv</w:t>
            </w:r>
            <w:r>
              <w:t xml:space="preserve">).</w:t>
            </w:r>
          </w:p>
        </w:tc>
      </w:tr>
      <w:tr>
        <w:tc>
          <w:tcPr>
            <w:tcW w:w="2027" w:type="dxa"/>
            <w:vAlign w:val="center"/>
          </w:tcPr>
          <w:p>
            <w:pPr>
              <w:jc w:val="left"/>
            </w:pPr>
            <w:r>
              <w:rPr>
                <w:b/>
                <w:bCs/>
              </w:rPr>
              <w:t xml:space="preserve">Tabla histórica (</w:t>
            </w:r>
            <w:r>
              <w:rPr>
                <w:rFonts w:ascii="Consolas" w:hAnsi="Consolas" w:cs="Consolas"/>
                <w:b/>
                <w:bCs/>
              </w:rPr>
              <w:t xml:space="preserve">_hist</w:t>
            </w:r>
            <w:r>
              <w:rPr>
                <w:b/>
                <w:bCs/>
              </w:rPr>
              <w:t xml:space="preserve">)</w:t>
            </w:r>
          </w:p>
        </w:tc>
        <w:tc>
          <w:tcPr>
            <w:tcW w:w="7187" w:type="dxa"/>
            <w:vAlign w:val="center"/>
          </w:tcPr>
          <w:p>
            <w:pPr>
              <w:jc w:val="left"/>
            </w:pPr>
            <w:r>
              <w:t xml:space="preserve">Tabla que acumula los resultados de cada ejecución mensual sin borrar la información de meses anteriores.</w:t>
            </w:r>
          </w:p>
        </w:tc>
      </w:tr>
      <w:tr>
        <w:tc>
          <w:tcPr>
            <w:tcW w:w="2027" w:type="dxa"/>
            <w:vAlign w:val="center"/>
          </w:tcPr>
          <w:p>
            <w:pPr>
              <w:jc w:val="left"/>
            </w:pPr>
            <w:r>
              <w:rPr>
                <w:b/>
                <w:bCs/>
              </w:rPr>
              <w:t xml:space="preserve">Conciliación</w:t>
            </w:r>
          </w:p>
        </w:tc>
        <w:tc>
          <w:tcPr>
            <w:tcW w:w="7187" w:type="dxa"/>
            <w:vAlign w:val="center"/>
          </w:tcPr>
          <w:p>
            <w:pPr>
              <w:jc w:val="left"/>
            </w:pPr>
            <w:r>
              <w:t xml:space="preserve">Comparación entre dos fuentes de información (el cálculo del proceso y la contabilidad de SAP) para verificar que coinciden.</w:t>
            </w:r>
          </w:p>
        </w:tc>
      </w:tr>
      <w:tr>
        <w:tc>
          <w:tcPr>
            <w:tcW w:w="2027" w:type="dxa"/>
            <w:vAlign w:val="center"/>
          </w:tcPr>
          <w:p>
            <w:pPr>
              <w:jc w:val="left"/>
            </w:pPr>
            <w:r>
              <w:rPr>
                <w:b/>
                <w:bCs/>
              </w:rPr>
              <w:t xml:space="preserve">SAP</w:t>
            </w:r>
          </w:p>
        </w:tc>
        <w:tc>
          <w:tcPr>
            <w:tcW w:w="7187" w:type="dxa"/>
            <w:vAlign w:val="center"/>
          </w:tcPr>
          <w:p>
            <w:pPr>
              <w:jc w:val="left"/>
            </w:pPr>
            <w:r>
              <w:t xml:space="preserve">Sistema contable oficial del banco.</w:t>
            </w:r>
          </w:p>
        </w:tc>
      </w:tr>
      <w:tr>
        <w:tc>
          <w:tcPr>
            <w:tcW w:w="2027" w:type="dxa"/>
            <w:vAlign w:val="center"/>
          </w:tcPr>
          <w:p>
            <w:pPr>
              <w:jc w:val="left"/>
            </w:pPr>
            <w:r>
              <w:rPr>
                <w:b/>
                <w:bCs/>
              </w:rPr>
              <w:t xml:space="preserve">FRC / FCR</w:t>
            </w:r>
          </w:p>
        </w:tc>
        <w:tc>
          <w:tcPr>
            <w:tcW w:w="7187" w:type="dxa"/>
            <w:vAlign w:val="center"/>
          </w:tcPr>
          <w:p>
            <w:pPr>
              <w:jc w:val="left"/>
            </w:pPr>
            <w:r>
              <w:t xml:space="preserve">Tablas de saldos diarios que provienen de SAP y son la fuente oficial de contabilidad.</w:t>
            </w:r>
          </w:p>
        </w:tc>
      </w:tr>
      <w:tr>
        <w:tc>
          <w:tcPr>
            <w:tcW w:w="2027" w:type="dxa"/>
            <w:vAlign w:val="center"/>
          </w:tcPr>
          <w:p>
            <w:pPr>
              <w:jc w:val="left"/>
            </w:pPr>
            <w:r>
              <w:rPr>
                <w:b/>
                <w:bCs/>
              </w:rPr>
              <w:t xml:space="preserve">Impala / Parquet</w:t>
            </w:r>
          </w:p>
        </w:tc>
        <w:tc>
          <w:tcPr>
            <w:tcW w:w="7187" w:type="dxa"/>
            <w:vAlign w:val="center"/>
          </w:tcPr>
          <w:p>
            <w:pPr>
              <w:jc w:val="left"/>
            </w:pPr>
            <w:r>
              <w:t xml:space="preserve">Impala es el motor que ejecuta las consultas SQL sobre la plataforma de datos; Parquet es el formato en que se almacenan las tablas.</w:t>
            </w:r>
          </w:p>
        </w:tc>
      </w:tr>
      <w:tr>
        <w:tc>
          <w:tcPr>
            <w:tcW w:w="2027" w:type="dxa"/>
            <w:vAlign w:val="center"/>
          </w:tcPr>
          <w:p>
            <w:pPr>
              <w:jc w:val="left"/>
            </w:pPr>
            <w:r>
              <w:rPr>
                <w:b/>
                <w:bCs/>
              </w:rPr>
              <w:t xml:space="preserve">Orquestador2</w:t>
            </w:r>
          </w:p>
        </w:tc>
        <w:tc>
          <w:tcPr>
            <w:tcW w:w="7187" w:type="dxa"/>
            <w:vAlign w:val="center"/>
          </w:tcPr>
          <w:p>
            <w:pPr>
              <w:jc w:val="left"/>
            </w:pPr>
            <w:r>
              <w:t xml:space="preserve">Librería interna del banco que coordina y ejecuta los pasos de la ETL en orden, y controla logs y errores.</w:t>
            </w:r>
          </w:p>
        </w:tc>
      </w:tr>
      <w:tr>
        <w:tc>
          <w:tcPr>
            <w:tcW w:w="2027" w:type="dxa"/>
            <w:vAlign w:val="center"/>
          </w:tcPr>
          <w:p>
            <w:pPr>
              <w:jc w:val="left"/>
            </w:pPr>
            <w:r>
              <w:rPr>
                <w:b/>
                <w:bCs/>
              </w:rPr>
              <w:t xml:space="preserve">Fecha de corte</w:t>
            </w:r>
          </w:p>
        </w:tc>
        <w:tc>
          <w:tcPr>
            <w:tcW w:w="7187" w:type="dxa"/>
            <w:vAlign w:val="center"/>
          </w:tcPr>
          <w:p>
            <w:pPr>
              <w:jc w:val="left"/>
            </w:pPr>
            <w:r>
              <w:t xml:space="preserve">Último día del mes anterior al momento de ejecución; corresponde al período contable que se está procesando.</w:t>
            </w:r>
          </w:p>
        </w:tc>
      </w:tr>
    </w:tbl>
    <w:p/>
    <w:p>
      <w:pPr>
        <w:rPr>
          <w:i/>
          <w:iCs/>
        </w:rPr>
      </w:pPr>
      <w:r>
        <w:rPr>
          <w:i/>
          <w:iCs/>
        </w:rPr>
        <w:t xml:space="preserve">Documento de referencia técnica y funcional del proceso ETL Litigios, elaborado a partir del código fuente del proyecto </w:t>
      </w:r>
      <w:r>
        <w:rPr>
          <w:rFonts w:ascii="Consolas" w:hAnsi="Consolas" w:cs="Consolas"/>
          <w:i/>
          <w:iCs/>
        </w:rPr>
        <w:t xml:space="preserve">vope-cdeo-reflitig</w:t>
      </w:r>
      <w:r>
        <w:rPr>
          <w:i/>
          <w:iCs/>
        </w:rPr>
        <w:t xml:space="preserve">.</w:t>
      </w:r>
    </w:p>
    <w:sectPr>
      <w:headerReference w:type="default" r:id="rId16"/>
      <w:footerReference w:type="default" r:id="rId17"/>
      <w:pgSz w:w="12240" w:h="15840"/>
      <w:pgMar w:top="2250" w:right="1325" w:bottom="1620" w:left="1701" w:header="930"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50A73" w14:textId="77777777" w:rsidR="00427364" w:rsidRDefault="00427364" w:rsidP="000247B7">
      <w:r>
        <w:separator/>
      </w:r>
    </w:p>
  </w:endnote>
  <w:endnote w:type="continuationSeparator" w:id="0">
    <w:p w14:paraId="625409A5" w14:textId="77777777" w:rsidR="00427364" w:rsidRDefault="00427364" w:rsidP="000247B7">
      <w:r>
        <w:continuationSeparator/>
      </w:r>
    </w:p>
  </w:endnote>
  <w:endnote w:type="continuationNotice" w:id="1">
    <w:p w14:paraId="03400B71" w14:textId="77777777" w:rsidR="00427364" w:rsidRDefault="00427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IBFont Sans">
    <w:panose1 w:val="020B0603020202020104"/>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18FC" w14:textId="71A8BC18" w:rsidR="00404A04" w:rsidRDefault="00EB69F4">
    <w:pPr>
      <w:pStyle w:val="Piedepgina"/>
      <w:rPr>
        <w:rFonts w:ascii="CIBFont Sans" w:hAnsi="CIBFont Sans"/>
        <w:sz w:val="15"/>
        <w:szCs w:val="15"/>
      </w:rPr>
    </w:pPr>
    <w:r w:rsidRPr="00EB69F4">
      <w:rPr>
        <w:rFonts w:ascii="CIBFont Sans" w:hAnsi="CIBFont Sans"/>
        <w:noProof/>
        <w:sz w:val="15"/>
        <w:szCs w:val="15"/>
      </w:rPr>
      <w:drawing>
        <wp:anchor distT="0" distB="0" distL="114300" distR="114300" simplePos="0" relativeHeight="251658243" behindDoc="1" locked="0" layoutInCell="1" allowOverlap="1" wp14:anchorId="28EA5A45" wp14:editId="3EF20116">
          <wp:simplePos x="0" y="0"/>
          <wp:positionH relativeFrom="column">
            <wp:posOffset>-998743</wp:posOffset>
          </wp:positionH>
          <wp:positionV relativeFrom="paragraph">
            <wp:posOffset>78105</wp:posOffset>
          </wp:positionV>
          <wp:extent cx="1707777" cy="418050"/>
          <wp:effectExtent l="0" t="0" r="0" b="1270"/>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707777" cy="418050"/>
                  </a:xfrm>
                  <a:prstGeom prst="rect">
                    <a:avLst/>
                  </a:prstGeom>
                </pic:spPr>
              </pic:pic>
            </a:graphicData>
          </a:graphic>
          <wp14:sizeRelH relativeFrom="page">
            <wp14:pctWidth>0</wp14:pctWidth>
          </wp14:sizeRelH>
          <wp14:sizeRelV relativeFrom="page">
            <wp14:pctHeight>0</wp14:pctHeight>
          </wp14:sizeRelV>
        </wp:anchor>
      </w:drawing>
    </w:r>
  </w:p>
  <w:p w14:paraId="29A931DF" w14:textId="0C6725E8" w:rsidR="00404A04" w:rsidRDefault="00404A04">
    <w:pPr>
      <w:pStyle w:val="Piedepgina"/>
      <w:rPr>
        <w:rFonts w:ascii="CIBFont Sans" w:hAnsi="CIBFont Sans"/>
        <w:sz w:val="15"/>
        <w:szCs w:val="15"/>
      </w:rPr>
    </w:pPr>
  </w:p>
  <w:p w14:paraId="5AEB05F0" w14:textId="48DD86BE" w:rsidR="00404A04" w:rsidRDefault="005D3E94">
    <w:pPr>
      <w:pStyle w:val="Piedepgina"/>
      <w:rPr>
        <w:rFonts w:ascii="CIBFont Sans" w:hAnsi="CIBFont Sans"/>
        <w:sz w:val="15"/>
        <w:szCs w:val="15"/>
      </w:rPr>
    </w:pPr>
    <w:r w:rsidRPr="00EB69F4">
      <w:rPr>
        <w:rFonts w:ascii="CIBFont Sans" w:hAnsi="CIBFont Sans"/>
        <w:noProof/>
        <w:sz w:val="15"/>
        <w:szCs w:val="15"/>
      </w:rPr>
      <w:drawing>
        <wp:anchor distT="0" distB="0" distL="114300" distR="114300" simplePos="0" relativeHeight="251658242" behindDoc="1" locked="0" layoutInCell="1" allowOverlap="1" wp14:anchorId="1CA3BF95" wp14:editId="1F489539">
          <wp:simplePos x="0" y="0"/>
          <wp:positionH relativeFrom="page">
            <wp:posOffset>5996940</wp:posOffset>
          </wp:positionH>
          <wp:positionV relativeFrom="paragraph">
            <wp:posOffset>72390</wp:posOffset>
          </wp:positionV>
          <wp:extent cx="1711960" cy="654050"/>
          <wp:effectExtent l="0" t="0" r="2540" b="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711960" cy="654050"/>
                  </a:xfrm>
                  <a:prstGeom prst="rect">
                    <a:avLst/>
                  </a:prstGeom>
                </pic:spPr>
              </pic:pic>
            </a:graphicData>
          </a:graphic>
          <wp14:sizeRelH relativeFrom="page">
            <wp14:pctWidth>0</wp14:pctWidth>
          </wp14:sizeRelH>
          <wp14:sizeRelV relativeFrom="page">
            <wp14:pctHeight>0</wp14:pctHeight>
          </wp14:sizeRelV>
        </wp:anchor>
      </w:drawing>
    </w:r>
  </w:p>
  <w:p w14:paraId="054F9E6F" w14:textId="2FB011AA" w:rsidR="00404A04" w:rsidRDefault="006757E2" w:rsidP="00341856">
    <w:pPr>
      <w:pStyle w:val="Piedepgina"/>
      <w:jc w:val="right"/>
      <w:rPr>
        <w:rFonts w:ascii="CIBFont Sans" w:hAnsi="CIBFont Sans"/>
        <w:sz w:val="15"/>
        <w:szCs w:val="15"/>
      </w:rPr>
    </w:pPr>
    <w:r w:rsidRPr="006757E2">
      <w:rPr>
        <w:rFonts w:ascii="CIBFont Sans" w:hAnsi="CIBFont Sans"/>
        <w:sz w:val="15"/>
        <w:szCs w:val="15"/>
      </w:rPr>
      <w:fldChar w:fldCharType="begin"/>
    </w:r>
    <w:r w:rsidRPr="006757E2">
      <w:rPr>
        <w:rFonts w:ascii="CIBFont Sans" w:hAnsi="CIBFont Sans"/>
        <w:sz w:val="15"/>
        <w:szCs w:val="15"/>
      </w:rPr>
      <w:instrText>PAGE   \* MERGEFORMAT</w:instrText>
    </w:r>
    <w:r w:rsidRPr="006757E2">
      <w:rPr>
        <w:rFonts w:ascii="CIBFont Sans" w:hAnsi="CIBFont Sans"/>
        <w:sz w:val="15"/>
        <w:szCs w:val="15"/>
      </w:rPr>
      <w:fldChar w:fldCharType="separate"/>
    </w:r>
    <w:r w:rsidRPr="006757E2">
      <w:rPr>
        <w:rFonts w:ascii="CIBFont Sans" w:hAnsi="CIBFont Sans"/>
        <w:sz w:val="15"/>
        <w:szCs w:val="15"/>
        <w:lang w:val="es-ES"/>
      </w:rPr>
      <w:t>1</w:t>
    </w:r>
    <w:r w:rsidRPr="006757E2">
      <w:rPr>
        <w:rFonts w:ascii="CIBFont Sans" w:hAnsi="CIBFont Sans"/>
        <w:sz w:val="15"/>
        <w:szCs w:val="15"/>
      </w:rPr>
      <w:fldChar w:fldCharType="end"/>
    </w:r>
  </w:p>
  <w:p w14:paraId="4CC3D210" w14:textId="31B7C338" w:rsidR="00425E3B" w:rsidRPr="00425E3B" w:rsidRDefault="00425E3B" w:rsidP="00425E3B">
    <w:pPr>
      <w:pStyle w:val="Piedepgina"/>
      <w:rPr>
        <w:rFonts w:ascii="CIBFont Sans" w:hAnsi="CIBFont Sans"/>
        <w:sz w:val="13"/>
        <w:szCs w:val="13"/>
      </w:rPr>
    </w:pPr>
    <w:r w:rsidRPr="00425E3B">
      <w:rPr>
        <w:rFonts w:ascii="CIBFont Sans" w:hAnsi="CIBFont Sans"/>
        <w:sz w:val="13"/>
        <w:szCs w:val="13"/>
      </w:rPr>
      <w:t xml:space="preserve">Versión 1.0, </w:t>
    </w:r>
    <w:r w:rsidR="00C65DA9">
      <w:rPr>
        <w:rFonts w:ascii="CIBFont Sans" w:hAnsi="CIBFont Sans"/>
        <w:sz w:val="13"/>
        <w:szCs w:val="13"/>
      </w:rPr>
      <w:t>septiembre</w:t>
    </w:r>
    <w:r w:rsidRPr="00425E3B">
      <w:rPr>
        <w:rFonts w:ascii="CIBFont Sans" w:hAnsi="CIBFont Sans"/>
        <w:sz w:val="13"/>
        <w:szCs w:val="13"/>
      </w:rPr>
      <w:t xml:space="preserve"> de 20</w:t>
    </w:r>
    <w:r w:rsidR="001D3C6A">
      <w:rPr>
        <w:rFonts w:ascii="CIBFont Sans" w:hAnsi="CIBFont Sans"/>
        <w:sz w:val="13"/>
        <w:szCs w:val="13"/>
      </w:rPr>
      <w:t>26</w:t>
    </w:r>
    <w:r w:rsidRPr="00425E3B">
      <w:rPr>
        <w:rFonts w:ascii="CIBFont Sans" w:hAnsi="CIBFont Sans"/>
        <w:sz w:val="13"/>
        <w:szCs w:val="13"/>
      </w:rPr>
      <w:t xml:space="preserve">                                         </w:t>
    </w:r>
    <w:r w:rsidRPr="00425E3B">
      <w:rPr>
        <w:rFonts w:ascii="CIBFont Sans" w:hAnsi="CIBFont Sans"/>
        <w:sz w:val="13"/>
        <w:szCs w:val="13"/>
      </w:rPr>
      <w:tab/>
      <w:t xml:space="preserve">                  </w:t>
    </w:r>
  </w:p>
  <w:p w14:paraId="24FF149F" w14:textId="3B5BA325" w:rsidR="00C44484" w:rsidRPr="00404A04" w:rsidRDefault="00425E3B" w:rsidP="00425E3B">
    <w:pPr>
      <w:pStyle w:val="Piedepgina"/>
      <w:rPr>
        <w:rFonts w:ascii="CIBFont Sans" w:hAnsi="CIBFont Sans"/>
        <w:sz w:val="15"/>
        <w:szCs w:val="15"/>
      </w:rPr>
    </w:pPr>
    <w:r w:rsidRPr="00425E3B">
      <w:rPr>
        <w:rFonts w:ascii="CIBFont Sans" w:hAnsi="CIBFont Sans"/>
        <w:sz w:val="13"/>
        <w:szCs w:val="13"/>
      </w:rPr>
      <w:t>"Copyright © 20</w:t>
    </w:r>
    <w:r w:rsidR="001D3C6A">
      <w:rPr>
        <w:rFonts w:ascii="CIBFont Sans" w:hAnsi="CIBFont Sans"/>
        <w:sz w:val="13"/>
        <w:szCs w:val="13"/>
      </w:rPr>
      <w:t>26</w:t>
    </w:r>
    <w:r w:rsidRPr="00425E3B">
      <w:rPr>
        <w:rFonts w:ascii="CIBFont Sans" w:hAnsi="CIBFont Sans"/>
        <w:sz w:val="13"/>
        <w:szCs w:val="13"/>
      </w:rPr>
      <w:t xml:space="preserve"> - Bancolombia S.A. Todos los derechos reservados, este documento es de uso exclusivo del Grupo Bancolombia."</w:t>
    </w:r>
    <w:r w:rsidR="00404A04" w:rsidRPr="00404A04">
      <w:rPr>
        <w:noProof/>
      </w:rPr>
      <w:drawing>
        <wp:inline distT="0" distB="0" distL="0" distR="0" wp14:anchorId="0619714A" wp14:editId="5D4F8883">
          <wp:extent cx="1375200" cy="126000"/>
          <wp:effectExtent l="0" t="0" r="0" b="127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stretch>
                    <a:fillRect/>
                  </a:stretch>
                </pic:blipFill>
                <pic:spPr>
                  <a:xfrm>
                    <a:off x="0" y="0"/>
                    <a:ext cx="1375200" cy="1260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8208" w14:textId="77777777" w:rsidR="00427364" w:rsidRDefault="00427364" w:rsidP="000247B7">
      <w:r>
        <w:separator/>
      </w:r>
    </w:p>
  </w:footnote>
  <w:footnote w:type="continuationSeparator" w:id="0">
    <w:p w14:paraId="0F8B9458" w14:textId="77777777" w:rsidR="00427364" w:rsidRDefault="00427364" w:rsidP="000247B7">
      <w:r>
        <w:continuationSeparator/>
      </w:r>
    </w:p>
  </w:footnote>
  <w:footnote w:type="continuationNotice" w:id="1">
    <w:p w14:paraId="797CC1CA" w14:textId="77777777" w:rsidR="00427364" w:rsidRDefault="004273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365F3" w14:textId="77DD8BCE" w:rsidR="00416DFD" w:rsidRPr="00065CD3" w:rsidRDefault="00065CD3" w:rsidP="00B04B29">
    <w:pPr>
      <w:widowControl w:val="0"/>
      <w:tabs>
        <w:tab w:val="center" w:pos="4419"/>
        <w:tab w:val="right" w:pos="8838"/>
      </w:tabs>
      <w:autoSpaceDE w:val="0"/>
      <w:autoSpaceDN w:val="0"/>
      <w:adjustRightInd w:val="0"/>
      <w:ind w:left="5954"/>
      <w:jc w:val="right"/>
      <w:rPr>
        <w:rFonts w:ascii="CIBFont Sans" w:hAnsi="CIBFont Sans" w:cs="Arial"/>
        <w:sz w:val="20"/>
        <w:szCs w:val="20"/>
      </w:rPr>
    </w:pPr>
    <w:r w:rsidRPr="00065CD3">
      <w:rPr>
        <w:sz w:val="20"/>
        <w:szCs w:val="20"/>
      </w:rPr>
      <w:t>ETL Litigios (vope-cdeo-reflitig)</w:t>
    </w:r>
    <w:r w:rsidR="00416DFD" w:rsidRPr="00065CD3">
      <w:rPr>
        <w:noProof/>
        <w:sz w:val="20"/>
        <w:szCs w:val="20"/>
      </w:rPr>
      <w:drawing>
        <wp:anchor distT="0" distB="0" distL="114300" distR="114300" simplePos="0" relativeHeight="251658240" behindDoc="0" locked="0" layoutInCell="1" allowOverlap="1" wp14:anchorId="6E9AAA0E" wp14:editId="416AF2D1">
          <wp:simplePos x="0" y="0"/>
          <wp:positionH relativeFrom="column">
            <wp:posOffset>-902970</wp:posOffset>
          </wp:positionH>
          <wp:positionV relativeFrom="paragraph">
            <wp:posOffset>-582645</wp:posOffset>
          </wp:positionV>
          <wp:extent cx="2134235" cy="838200"/>
          <wp:effectExtent l="0" t="0" r="0" b="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134235" cy="838200"/>
                  </a:xfrm>
                  <a:prstGeom prst="rect">
                    <a:avLst/>
                  </a:prstGeom>
                </pic:spPr>
              </pic:pic>
            </a:graphicData>
          </a:graphic>
          <wp14:sizeRelH relativeFrom="margin">
            <wp14:pctWidth>0</wp14:pctWidth>
          </wp14:sizeRelH>
          <wp14:sizeRelV relativeFrom="margin">
            <wp14:pctHeight>0</wp14:pctHeight>
          </wp14:sizeRelV>
        </wp:anchor>
      </w:drawing>
    </w:r>
    <w:r w:rsidR="00534129" w:rsidRPr="00065CD3">
      <w:rPr>
        <w:sz w:val="20"/>
        <w:szCs w:val="20"/>
      </w:rPr>
      <w:t xml:space="preserve"> </w:t>
    </w:r>
    <w:r w:rsidR="008E2104" w:rsidRPr="00065CD3">
      <w:rPr>
        <w:noProof/>
        <w:sz w:val="20"/>
        <w:szCs w:val="20"/>
      </w:rPr>
      <w:t xml:space="preserve"> </w:t>
    </w:r>
  </w:p>
  <w:p w14:paraId="7717B854" w14:textId="64077708" w:rsidR="008E2104" w:rsidRPr="00956C4E" w:rsidRDefault="00D16C6D" w:rsidP="008E2104">
    <w:pPr>
      <w:pStyle w:val="Encabezado"/>
      <w:ind w:left="5954"/>
      <w:jc w:val="right"/>
      <w:rPr>
        <w:rFonts w:ascii="CIBFont Sans" w:hAnsi="CIBFont Sans"/>
        <w:sz w:val="16"/>
        <w:szCs w:val="16"/>
      </w:rPr>
    </w:pPr>
    <w:r w:rsidRPr="008F72C7">
      <w:rPr>
        <w:rFonts w:ascii="CIBFont Sans" w:hAnsi="CIBFont Sans"/>
        <w:sz w:val="16"/>
        <w:szCs w:val="16"/>
      </w:rPr>
      <w:t>Vicepresidencia</w:t>
    </w:r>
    <w:r w:rsidRPr="00322F57">
      <w:rPr>
        <w:rFonts w:ascii="CIBFont Sans" w:hAnsi="CIBFont Sans"/>
        <w:sz w:val="16"/>
        <w:szCs w:val="16"/>
      </w:rPr>
      <w:t xml:space="preserve"> </w:t>
    </w:r>
    <w:r w:rsidR="00956C4E">
      <w:rPr>
        <w:rFonts w:ascii="CIBFont Sans" w:hAnsi="CIBFont Sans"/>
        <w:sz w:val="16"/>
        <w:szCs w:val="16"/>
      </w:rPr>
      <w:t>corporativa</w:t>
    </w:r>
  </w:p>
  <w:p w14:paraId="0E4171A5" w14:textId="77777777" w:rsidR="000247B7" w:rsidRDefault="00416DFD" w:rsidP="00C44484">
    <w:pPr>
      <w:pStyle w:val="Encabezado"/>
    </w:pPr>
    <w:r>
      <w:rPr>
        <w:noProof/>
      </w:rPr>
      <w:drawing>
        <wp:anchor distT="0" distB="0" distL="114300" distR="114300" simplePos="0" relativeHeight="251658241" behindDoc="1" locked="0" layoutInCell="1" allowOverlap="1" wp14:anchorId="20DB1591" wp14:editId="0FD7312C">
          <wp:simplePos x="0" y="0"/>
          <wp:positionH relativeFrom="column">
            <wp:posOffset>-1593215</wp:posOffset>
          </wp:positionH>
          <wp:positionV relativeFrom="paragraph">
            <wp:posOffset>3584575</wp:posOffset>
          </wp:positionV>
          <wp:extent cx="1514475" cy="176102"/>
          <wp:effectExtent l="0" t="0" r="0" b="0"/>
          <wp:wrapNone/>
          <wp:docPr id="1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
                  <a:srcRect/>
                  <a:stretch>
                    <a:fillRect/>
                  </a:stretch>
                </pic:blipFill>
                <pic:spPr bwMode="auto">
                  <a:xfrm rot="-5400000">
                    <a:off x="0" y="0"/>
                    <a:ext cx="1514475" cy="17610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EE444D5"/>
    <w:multiLevelType w:val="hybridMultilevel"/>
    <w:tmpl w:val="B32E98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D7C3760"/>
    <w:multiLevelType w:val="hybridMultilevel"/>
    <w:tmpl w:val="9F7CCED2"/>
    <w:lvl w:ilvl="0" w:tplc="BC6063D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29379D6"/>
    <w:multiLevelType w:val="hybridMultilevel"/>
    <w:tmpl w:val="3F6A48A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CF53CC9"/>
    <w:multiLevelType w:val="hybridMultilevel"/>
    <w:tmpl w:val="FAB6B3D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8661905"/>
    <w:multiLevelType w:val="hybridMultilevel"/>
    <w:tmpl w:val="FDD0B550"/>
    <w:lvl w:ilvl="0" w:tplc="37CE554C">
      <w:start w:val="2"/>
      <w:numFmt w:val="decimal"/>
      <w:lvlText w:val="%1."/>
      <w:lvlJc w:val="left"/>
      <w:pPr>
        <w:tabs>
          <w:tab w:val="num" w:pos="720"/>
        </w:tabs>
        <w:ind w:left="720" w:hanging="360"/>
      </w:pPr>
    </w:lvl>
    <w:lvl w:ilvl="1" w:tplc="BE9CDBFA" w:tentative="1">
      <w:start w:val="1"/>
      <w:numFmt w:val="decimal"/>
      <w:lvlText w:val="%2."/>
      <w:lvlJc w:val="left"/>
      <w:pPr>
        <w:tabs>
          <w:tab w:val="num" w:pos="1440"/>
        </w:tabs>
        <w:ind w:left="1440" w:hanging="360"/>
      </w:pPr>
    </w:lvl>
    <w:lvl w:ilvl="2" w:tplc="C736E972" w:tentative="1">
      <w:start w:val="1"/>
      <w:numFmt w:val="decimal"/>
      <w:lvlText w:val="%3."/>
      <w:lvlJc w:val="left"/>
      <w:pPr>
        <w:tabs>
          <w:tab w:val="num" w:pos="2160"/>
        </w:tabs>
        <w:ind w:left="2160" w:hanging="360"/>
      </w:pPr>
    </w:lvl>
    <w:lvl w:ilvl="3" w:tplc="3F46C6FA" w:tentative="1">
      <w:start w:val="1"/>
      <w:numFmt w:val="decimal"/>
      <w:lvlText w:val="%4."/>
      <w:lvlJc w:val="left"/>
      <w:pPr>
        <w:tabs>
          <w:tab w:val="num" w:pos="2880"/>
        </w:tabs>
        <w:ind w:left="2880" w:hanging="360"/>
      </w:pPr>
    </w:lvl>
    <w:lvl w:ilvl="4" w:tplc="DF2E785C" w:tentative="1">
      <w:start w:val="1"/>
      <w:numFmt w:val="decimal"/>
      <w:lvlText w:val="%5."/>
      <w:lvlJc w:val="left"/>
      <w:pPr>
        <w:tabs>
          <w:tab w:val="num" w:pos="3600"/>
        </w:tabs>
        <w:ind w:left="3600" w:hanging="360"/>
      </w:pPr>
    </w:lvl>
    <w:lvl w:ilvl="5" w:tplc="F208A2E4" w:tentative="1">
      <w:start w:val="1"/>
      <w:numFmt w:val="decimal"/>
      <w:lvlText w:val="%6."/>
      <w:lvlJc w:val="left"/>
      <w:pPr>
        <w:tabs>
          <w:tab w:val="num" w:pos="4320"/>
        </w:tabs>
        <w:ind w:left="4320" w:hanging="360"/>
      </w:pPr>
    </w:lvl>
    <w:lvl w:ilvl="6" w:tplc="A71A0044" w:tentative="1">
      <w:start w:val="1"/>
      <w:numFmt w:val="decimal"/>
      <w:lvlText w:val="%7."/>
      <w:lvlJc w:val="left"/>
      <w:pPr>
        <w:tabs>
          <w:tab w:val="num" w:pos="5040"/>
        </w:tabs>
        <w:ind w:left="5040" w:hanging="360"/>
      </w:pPr>
    </w:lvl>
    <w:lvl w:ilvl="7" w:tplc="74DCB350" w:tentative="1">
      <w:start w:val="1"/>
      <w:numFmt w:val="decimal"/>
      <w:lvlText w:val="%8."/>
      <w:lvlJc w:val="left"/>
      <w:pPr>
        <w:tabs>
          <w:tab w:val="num" w:pos="5760"/>
        </w:tabs>
        <w:ind w:left="5760" w:hanging="360"/>
      </w:pPr>
    </w:lvl>
    <w:lvl w:ilvl="8" w:tplc="8F36A54E" w:tentative="1">
      <w:start w:val="1"/>
      <w:numFmt w:val="decimal"/>
      <w:lvlText w:val="%9."/>
      <w:lvlJc w:val="left"/>
      <w:pPr>
        <w:tabs>
          <w:tab w:val="num" w:pos="6480"/>
        </w:tabs>
        <w:ind w:left="6480" w:hanging="360"/>
      </w:pPr>
    </w:lvl>
  </w:abstractNum>
  <w:abstractNum w:abstractNumId="6" w15:restartNumberingAfterBreak="0">
    <w:nsid w:val="5981702E"/>
    <w:multiLevelType w:val="hybridMultilevel"/>
    <w:tmpl w:val="BA223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CB353DA"/>
    <w:multiLevelType w:val="hybridMultilevel"/>
    <w:tmpl w:val="25CC72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011124A"/>
    <w:multiLevelType w:val="hybridMultilevel"/>
    <w:tmpl w:val="8586DF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71953A91"/>
    <w:multiLevelType w:val="hybridMultilevel"/>
    <w:tmpl w:val="CB8E8FEC"/>
    <w:lvl w:ilvl="0" w:tplc="BF62C26A">
      <w:start w:val="1"/>
      <w:numFmt w:val="decimal"/>
      <w:lvlText w:val="%1."/>
      <w:lvlJc w:val="left"/>
      <w:pPr>
        <w:ind w:left="720" w:hanging="360"/>
      </w:pPr>
      <w:rPr>
        <w:rFonts w:asciiTheme="minorHAnsi" w:eastAsiaTheme="minorHAnsi" w:hAnsiTheme="minorHAnsi" w:cstheme="minorBidi"/>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0"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1"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2"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3"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4"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5"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6" w15:restartNumberingAfterBreak="0">
    <w:nsid w:val="0D483C31"/>
    <w:multiLevelType w:val="hybridMultilevel"/>
    <w:tmpl w:val="FF8EB8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963196357">
    <w:abstractNumId w:val="1"/>
  </w:num>
  <w:num w:numId="2" w16cid:durableId="187765039">
    <w:abstractNumId w:val="2"/>
  </w:num>
  <w:num w:numId="3" w16cid:durableId="420298960">
    <w:abstractNumId w:val="0"/>
  </w:num>
  <w:num w:numId="4" w16cid:durableId="1447041665">
    <w:abstractNumId w:val="4"/>
  </w:num>
  <w:num w:numId="5" w16cid:durableId="1916360436">
    <w:abstractNumId w:val="3"/>
  </w:num>
  <w:num w:numId="6" w16cid:durableId="1233347437">
    <w:abstractNumId w:val="5"/>
  </w:num>
  <w:num w:numId="7" w16cid:durableId="1899243009">
    <w:abstractNumId w:val="9"/>
  </w:num>
  <w:num w:numId="8" w16cid:durableId="59447398">
    <w:abstractNumId w:val="7"/>
  </w:num>
  <w:num w:numId="9" w16cid:durableId="2124153462">
    <w:abstractNumId w:val="8"/>
  </w:num>
  <w:num w:numId="10" w16cid:durableId="938374730">
    <w:abstractNumId w:val="6"/>
  </w:num>
  <w:num w:numId="101" w16cid:durableId="600000101">
    <w:abstractNumId w:val="200"/>
  </w:num>
  <w:num w:numId="102" w16cid:durableId="600000102">
    <w:abstractNumId w:val="201"/>
  </w:num>
  <w:num w:numId="103" w16cid:durableId="600000103">
    <w:abstractNumId w:val="202"/>
  </w:num>
  <w:num w:numId="104" w16cid:durableId="600000104">
    <w:abstractNumId w:val="203"/>
  </w:num>
  <w:num w:numId="105" w16cid:durableId="600000105">
    <w:abstractNumId w:val="204"/>
  </w:num>
  <w:num w:numId="106" w16cid:durableId="600000106">
    <w:abstractNumId w:val="205"/>
  </w:num>
  <w:num w:numId="107" w16cid:durableId="600000107">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B7"/>
    <w:rsid w:val="00000F64"/>
    <w:rsid w:val="000040F2"/>
    <w:rsid w:val="000120EF"/>
    <w:rsid w:val="00013A08"/>
    <w:rsid w:val="00013E2E"/>
    <w:rsid w:val="00016FCB"/>
    <w:rsid w:val="00021969"/>
    <w:rsid w:val="00022CC7"/>
    <w:rsid w:val="00023291"/>
    <w:rsid w:val="000247B7"/>
    <w:rsid w:val="000260A0"/>
    <w:rsid w:val="00031869"/>
    <w:rsid w:val="000318E7"/>
    <w:rsid w:val="0003209F"/>
    <w:rsid w:val="000371F0"/>
    <w:rsid w:val="0004332B"/>
    <w:rsid w:val="000450FA"/>
    <w:rsid w:val="00052E16"/>
    <w:rsid w:val="0005470D"/>
    <w:rsid w:val="000550EA"/>
    <w:rsid w:val="00060A28"/>
    <w:rsid w:val="000623A1"/>
    <w:rsid w:val="00062EDD"/>
    <w:rsid w:val="00065CD3"/>
    <w:rsid w:val="000707E9"/>
    <w:rsid w:val="000717FF"/>
    <w:rsid w:val="0007345F"/>
    <w:rsid w:val="000763F5"/>
    <w:rsid w:val="00084686"/>
    <w:rsid w:val="00084FEA"/>
    <w:rsid w:val="0009194F"/>
    <w:rsid w:val="00092FE9"/>
    <w:rsid w:val="00092FEC"/>
    <w:rsid w:val="00094009"/>
    <w:rsid w:val="00096939"/>
    <w:rsid w:val="00096C10"/>
    <w:rsid w:val="00097F72"/>
    <w:rsid w:val="000A09D4"/>
    <w:rsid w:val="000A68DC"/>
    <w:rsid w:val="000B2450"/>
    <w:rsid w:val="000B3A10"/>
    <w:rsid w:val="000B5A03"/>
    <w:rsid w:val="000C3656"/>
    <w:rsid w:val="000C37AB"/>
    <w:rsid w:val="000C595F"/>
    <w:rsid w:val="000C60D6"/>
    <w:rsid w:val="000C6C8E"/>
    <w:rsid w:val="000C6FC6"/>
    <w:rsid w:val="000D1EEC"/>
    <w:rsid w:val="000D7972"/>
    <w:rsid w:val="000E05F5"/>
    <w:rsid w:val="000F547F"/>
    <w:rsid w:val="000F69DB"/>
    <w:rsid w:val="000F7A30"/>
    <w:rsid w:val="00100FC4"/>
    <w:rsid w:val="00102786"/>
    <w:rsid w:val="001038F9"/>
    <w:rsid w:val="00106927"/>
    <w:rsid w:val="0011134D"/>
    <w:rsid w:val="001119C2"/>
    <w:rsid w:val="00113C2E"/>
    <w:rsid w:val="0011559D"/>
    <w:rsid w:val="00123A9B"/>
    <w:rsid w:val="00123C6E"/>
    <w:rsid w:val="001248AA"/>
    <w:rsid w:val="0013026B"/>
    <w:rsid w:val="00131283"/>
    <w:rsid w:val="001328E6"/>
    <w:rsid w:val="0013322A"/>
    <w:rsid w:val="001402BF"/>
    <w:rsid w:val="00141550"/>
    <w:rsid w:val="00141BFA"/>
    <w:rsid w:val="00146AB7"/>
    <w:rsid w:val="001565E7"/>
    <w:rsid w:val="0016156D"/>
    <w:rsid w:val="00165D29"/>
    <w:rsid w:val="001674D0"/>
    <w:rsid w:val="00170706"/>
    <w:rsid w:val="0017211F"/>
    <w:rsid w:val="001752C8"/>
    <w:rsid w:val="00183146"/>
    <w:rsid w:val="001915E1"/>
    <w:rsid w:val="00196125"/>
    <w:rsid w:val="00196F07"/>
    <w:rsid w:val="001A013B"/>
    <w:rsid w:val="001A0BD1"/>
    <w:rsid w:val="001A13DD"/>
    <w:rsid w:val="001A3A7F"/>
    <w:rsid w:val="001B264B"/>
    <w:rsid w:val="001B3800"/>
    <w:rsid w:val="001B4195"/>
    <w:rsid w:val="001B478B"/>
    <w:rsid w:val="001B69AE"/>
    <w:rsid w:val="001C0161"/>
    <w:rsid w:val="001C2734"/>
    <w:rsid w:val="001C3FC6"/>
    <w:rsid w:val="001C4AFA"/>
    <w:rsid w:val="001D1B9B"/>
    <w:rsid w:val="001D3C6A"/>
    <w:rsid w:val="001D5842"/>
    <w:rsid w:val="001D681D"/>
    <w:rsid w:val="001E0A71"/>
    <w:rsid w:val="001E1525"/>
    <w:rsid w:val="001F7F65"/>
    <w:rsid w:val="00203F89"/>
    <w:rsid w:val="00204EC5"/>
    <w:rsid w:val="002055B6"/>
    <w:rsid w:val="00212149"/>
    <w:rsid w:val="00222797"/>
    <w:rsid w:val="002361E8"/>
    <w:rsid w:val="00244319"/>
    <w:rsid w:val="00244B52"/>
    <w:rsid w:val="0024628A"/>
    <w:rsid w:val="00262B40"/>
    <w:rsid w:val="00265C20"/>
    <w:rsid w:val="00265D61"/>
    <w:rsid w:val="0026659B"/>
    <w:rsid w:val="00272838"/>
    <w:rsid w:val="00280611"/>
    <w:rsid w:val="00282853"/>
    <w:rsid w:val="002828DC"/>
    <w:rsid w:val="00284533"/>
    <w:rsid w:val="00285C5E"/>
    <w:rsid w:val="00287ECC"/>
    <w:rsid w:val="00293ABA"/>
    <w:rsid w:val="002944BC"/>
    <w:rsid w:val="002A0430"/>
    <w:rsid w:val="002A143F"/>
    <w:rsid w:val="002A1A59"/>
    <w:rsid w:val="002A1ABF"/>
    <w:rsid w:val="002A2298"/>
    <w:rsid w:val="002A312D"/>
    <w:rsid w:val="002A635A"/>
    <w:rsid w:val="002A7D75"/>
    <w:rsid w:val="002B330A"/>
    <w:rsid w:val="002B3EF7"/>
    <w:rsid w:val="002C7C58"/>
    <w:rsid w:val="002D069B"/>
    <w:rsid w:val="002D62A6"/>
    <w:rsid w:val="002D647E"/>
    <w:rsid w:val="002D6B26"/>
    <w:rsid w:val="002E00CA"/>
    <w:rsid w:val="002E1180"/>
    <w:rsid w:val="002F608E"/>
    <w:rsid w:val="002F634D"/>
    <w:rsid w:val="00304DFA"/>
    <w:rsid w:val="003058C6"/>
    <w:rsid w:val="00313DA1"/>
    <w:rsid w:val="00314AFE"/>
    <w:rsid w:val="00315E58"/>
    <w:rsid w:val="0031719C"/>
    <w:rsid w:val="00317FEE"/>
    <w:rsid w:val="003204FE"/>
    <w:rsid w:val="00322F57"/>
    <w:rsid w:val="00326BBA"/>
    <w:rsid w:val="003305D6"/>
    <w:rsid w:val="0033501C"/>
    <w:rsid w:val="0033522A"/>
    <w:rsid w:val="00340DA9"/>
    <w:rsid w:val="00341856"/>
    <w:rsid w:val="00342372"/>
    <w:rsid w:val="0035106B"/>
    <w:rsid w:val="00364D5F"/>
    <w:rsid w:val="00365788"/>
    <w:rsid w:val="00366A3D"/>
    <w:rsid w:val="003673EF"/>
    <w:rsid w:val="00374209"/>
    <w:rsid w:val="0038535D"/>
    <w:rsid w:val="00385833"/>
    <w:rsid w:val="00391301"/>
    <w:rsid w:val="00391CAC"/>
    <w:rsid w:val="00393226"/>
    <w:rsid w:val="00393DB3"/>
    <w:rsid w:val="003969F6"/>
    <w:rsid w:val="003A45EB"/>
    <w:rsid w:val="003B3822"/>
    <w:rsid w:val="003B6924"/>
    <w:rsid w:val="003B71C1"/>
    <w:rsid w:val="003C34E5"/>
    <w:rsid w:val="003D16A3"/>
    <w:rsid w:val="003E69CA"/>
    <w:rsid w:val="003F09AE"/>
    <w:rsid w:val="00404A04"/>
    <w:rsid w:val="0040575B"/>
    <w:rsid w:val="004115F7"/>
    <w:rsid w:val="004125DD"/>
    <w:rsid w:val="00416DFD"/>
    <w:rsid w:val="00425E3B"/>
    <w:rsid w:val="0042644F"/>
    <w:rsid w:val="00427364"/>
    <w:rsid w:val="00427BC3"/>
    <w:rsid w:val="00431892"/>
    <w:rsid w:val="00432BDB"/>
    <w:rsid w:val="0043381A"/>
    <w:rsid w:val="00440332"/>
    <w:rsid w:val="00440555"/>
    <w:rsid w:val="004412B4"/>
    <w:rsid w:val="00442C6A"/>
    <w:rsid w:val="00444870"/>
    <w:rsid w:val="0044505B"/>
    <w:rsid w:val="00446403"/>
    <w:rsid w:val="00451AC1"/>
    <w:rsid w:val="00452A12"/>
    <w:rsid w:val="00455C8E"/>
    <w:rsid w:val="00456095"/>
    <w:rsid w:val="00460A0D"/>
    <w:rsid w:val="00461146"/>
    <w:rsid w:val="00463A88"/>
    <w:rsid w:val="00471436"/>
    <w:rsid w:val="00490573"/>
    <w:rsid w:val="0049122C"/>
    <w:rsid w:val="004921FC"/>
    <w:rsid w:val="004A4344"/>
    <w:rsid w:val="004A434C"/>
    <w:rsid w:val="004A5179"/>
    <w:rsid w:val="004B03F4"/>
    <w:rsid w:val="004D5F08"/>
    <w:rsid w:val="004E0159"/>
    <w:rsid w:val="004E46CD"/>
    <w:rsid w:val="004F1CD9"/>
    <w:rsid w:val="004F2B16"/>
    <w:rsid w:val="004F395D"/>
    <w:rsid w:val="00501583"/>
    <w:rsid w:val="00504BC9"/>
    <w:rsid w:val="00505830"/>
    <w:rsid w:val="00506380"/>
    <w:rsid w:val="00510949"/>
    <w:rsid w:val="00512D04"/>
    <w:rsid w:val="005160B7"/>
    <w:rsid w:val="00516BF6"/>
    <w:rsid w:val="00521070"/>
    <w:rsid w:val="0052244E"/>
    <w:rsid w:val="00524781"/>
    <w:rsid w:val="00525FFC"/>
    <w:rsid w:val="00530D6B"/>
    <w:rsid w:val="005335EF"/>
    <w:rsid w:val="00534009"/>
    <w:rsid w:val="00534129"/>
    <w:rsid w:val="00540DFA"/>
    <w:rsid w:val="00547A8B"/>
    <w:rsid w:val="00547B1C"/>
    <w:rsid w:val="00550667"/>
    <w:rsid w:val="0055094B"/>
    <w:rsid w:val="0055325E"/>
    <w:rsid w:val="00554FE4"/>
    <w:rsid w:val="00557DC5"/>
    <w:rsid w:val="00570F15"/>
    <w:rsid w:val="0057569B"/>
    <w:rsid w:val="00575BC5"/>
    <w:rsid w:val="005770C4"/>
    <w:rsid w:val="00582417"/>
    <w:rsid w:val="00590045"/>
    <w:rsid w:val="00590E81"/>
    <w:rsid w:val="005926F1"/>
    <w:rsid w:val="0059486D"/>
    <w:rsid w:val="00596189"/>
    <w:rsid w:val="005B1656"/>
    <w:rsid w:val="005B1C45"/>
    <w:rsid w:val="005B3599"/>
    <w:rsid w:val="005B6ACF"/>
    <w:rsid w:val="005B7F18"/>
    <w:rsid w:val="005C3F47"/>
    <w:rsid w:val="005C40CA"/>
    <w:rsid w:val="005D2614"/>
    <w:rsid w:val="005D3E94"/>
    <w:rsid w:val="005D5C43"/>
    <w:rsid w:val="005D74A4"/>
    <w:rsid w:val="005E4096"/>
    <w:rsid w:val="005F02AD"/>
    <w:rsid w:val="005F5A29"/>
    <w:rsid w:val="005F5E9F"/>
    <w:rsid w:val="00601BF6"/>
    <w:rsid w:val="00604FF0"/>
    <w:rsid w:val="00616D87"/>
    <w:rsid w:val="00617DAF"/>
    <w:rsid w:val="00620FF6"/>
    <w:rsid w:val="00621803"/>
    <w:rsid w:val="006224DC"/>
    <w:rsid w:val="00623726"/>
    <w:rsid w:val="00625F42"/>
    <w:rsid w:val="0063249C"/>
    <w:rsid w:val="006333CD"/>
    <w:rsid w:val="00643514"/>
    <w:rsid w:val="006440CB"/>
    <w:rsid w:val="00644804"/>
    <w:rsid w:val="00645F9B"/>
    <w:rsid w:val="006501BA"/>
    <w:rsid w:val="00650365"/>
    <w:rsid w:val="0065138C"/>
    <w:rsid w:val="006568B9"/>
    <w:rsid w:val="006631BA"/>
    <w:rsid w:val="00667CC0"/>
    <w:rsid w:val="00671BED"/>
    <w:rsid w:val="00672461"/>
    <w:rsid w:val="00675559"/>
    <w:rsid w:val="006757E2"/>
    <w:rsid w:val="0069581B"/>
    <w:rsid w:val="00697A44"/>
    <w:rsid w:val="006A01D5"/>
    <w:rsid w:val="006A1127"/>
    <w:rsid w:val="006A19A3"/>
    <w:rsid w:val="006A398C"/>
    <w:rsid w:val="006B3C49"/>
    <w:rsid w:val="006B46B1"/>
    <w:rsid w:val="006B4DB5"/>
    <w:rsid w:val="006B7E40"/>
    <w:rsid w:val="006C3DA5"/>
    <w:rsid w:val="006C45D1"/>
    <w:rsid w:val="006D014C"/>
    <w:rsid w:val="006D257C"/>
    <w:rsid w:val="006D6E69"/>
    <w:rsid w:val="006E26B1"/>
    <w:rsid w:val="006E3B54"/>
    <w:rsid w:val="006E5181"/>
    <w:rsid w:val="007015E1"/>
    <w:rsid w:val="00703A55"/>
    <w:rsid w:val="007044D8"/>
    <w:rsid w:val="00704637"/>
    <w:rsid w:val="007071DC"/>
    <w:rsid w:val="00707915"/>
    <w:rsid w:val="007119FD"/>
    <w:rsid w:val="00717FE1"/>
    <w:rsid w:val="007209E7"/>
    <w:rsid w:val="007222C3"/>
    <w:rsid w:val="0072403D"/>
    <w:rsid w:val="007272F4"/>
    <w:rsid w:val="007351AB"/>
    <w:rsid w:val="00736DE6"/>
    <w:rsid w:val="007426DF"/>
    <w:rsid w:val="00742EEC"/>
    <w:rsid w:val="00750C39"/>
    <w:rsid w:val="007562C6"/>
    <w:rsid w:val="0076130E"/>
    <w:rsid w:val="00762679"/>
    <w:rsid w:val="00762C37"/>
    <w:rsid w:val="00763152"/>
    <w:rsid w:val="007654F6"/>
    <w:rsid w:val="00766250"/>
    <w:rsid w:val="00770FA7"/>
    <w:rsid w:val="0077291A"/>
    <w:rsid w:val="00773A64"/>
    <w:rsid w:val="00774FDB"/>
    <w:rsid w:val="00775FCB"/>
    <w:rsid w:val="00780591"/>
    <w:rsid w:val="00784BF8"/>
    <w:rsid w:val="0078634D"/>
    <w:rsid w:val="00793A76"/>
    <w:rsid w:val="0079644C"/>
    <w:rsid w:val="007A064C"/>
    <w:rsid w:val="007B263E"/>
    <w:rsid w:val="007B76CB"/>
    <w:rsid w:val="007C04FB"/>
    <w:rsid w:val="007D31AC"/>
    <w:rsid w:val="007D526A"/>
    <w:rsid w:val="007D6B01"/>
    <w:rsid w:val="007D6E66"/>
    <w:rsid w:val="007E2495"/>
    <w:rsid w:val="007E6771"/>
    <w:rsid w:val="007F081D"/>
    <w:rsid w:val="007F2D61"/>
    <w:rsid w:val="007F51F8"/>
    <w:rsid w:val="007F6F0C"/>
    <w:rsid w:val="007F71F6"/>
    <w:rsid w:val="00802374"/>
    <w:rsid w:val="008026F0"/>
    <w:rsid w:val="00807DCD"/>
    <w:rsid w:val="0081059B"/>
    <w:rsid w:val="00812870"/>
    <w:rsid w:val="008131A8"/>
    <w:rsid w:val="00813FE1"/>
    <w:rsid w:val="008143F8"/>
    <w:rsid w:val="008230FE"/>
    <w:rsid w:val="008304A5"/>
    <w:rsid w:val="00831990"/>
    <w:rsid w:val="00834A2F"/>
    <w:rsid w:val="008414FC"/>
    <w:rsid w:val="008477A8"/>
    <w:rsid w:val="00847B90"/>
    <w:rsid w:val="00851992"/>
    <w:rsid w:val="00861016"/>
    <w:rsid w:val="008654B7"/>
    <w:rsid w:val="00865D7C"/>
    <w:rsid w:val="008714C0"/>
    <w:rsid w:val="0087187F"/>
    <w:rsid w:val="00871C19"/>
    <w:rsid w:val="00874FE1"/>
    <w:rsid w:val="00880427"/>
    <w:rsid w:val="008832D1"/>
    <w:rsid w:val="0088788E"/>
    <w:rsid w:val="00890ACA"/>
    <w:rsid w:val="00892669"/>
    <w:rsid w:val="008A35E0"/>
    <w:rsid w:val="008B166F"/>
    <w:rsid w:val="008C24D3"/>
    <w:rsid w:val="008C77DB"/>
    <w:rsid w:val="008C7952"/>
    <w:rsid w:val="008C7A01"/>
    <w:rsid w:val="008D0C2B"/>
    <w:rsid w:val="008D4944"/>
    <w:rsid w:val="008D4A80"/>
    <w:rsid w:val="008D4D98"/>
    <w:rsid w:val="008E2104"/>
    <w:rsid w:val="008E3D8B"/>
    <w:rsid w:val="008E5A30"/>
    <w:rsid w:val="008F72C7"/>
    <w:rsid w:val="00901F26"/>
    <w:rsid w:val="00904A46"/>
    <w:rsid w:val="00907AFE"/>
    <w:rsid w:val="009103D1"/>
    <w:rsid w:val="009176DE"/>
    <w:rsid w:val="00921E8C"/>
    <w:rsid w:val="009238BD"/>
    <w:rsid w:val="00930FAF"/>
    <w:rsid w:val="009369B8"/>
    <w:rsid w:val="00941454"/>
    <w:rsid w:val="00942400"/>
    <w:rsid w:val="00943596"/>
    <w:rsid w:val="0094379B"/>
    <w:rsid w:val="0095391B"/>
    <w:rsid w:val="00956C4E"/>
    <w:rsid w:val="009646B4"/>
    <w:rsid w:val="009767DF"/>
    <w:rsid w:val="00980EAE"/>
    <w:rsid w:val="009929BF"/>
    <w:rsid w:val="00995A23"/>
    <w:rsid w:val="009A3336"/>
    <w:rsid w:val="009A5474"/>
    <w:rsid w:val="009A6125"/>
    <w:rsid w:val="009B273F"/>
    <w:rsid w:val="009B2AC8"/>
    <w:rsid w:val="009C3D99"/>
    <w:rsid w:val="009C4E5F"/>
    <w:rsid w:val="009D5B98"/>
    <w:rsid w:val="009D66C7"/>
    <w:rsid w:val="009E08C6"/>
    <w:rsid w:val="009E325D"/>
    <w:rsid w:val="009E5668"/>
    <w:rsid w:val="009E7FD8"/>
    <w:rsid w:val="009F7D12"/>
    <w:rsid w:val="00A00BBA"/>
    <w:rsid w:val="00A11C0F"/>
    <w:rsid w:val="00A11F2C"/>
    <w:rsid w:val="00A24F99"/>
    <w:rsid w:val="00A41CAD"/>
    <w:rsid w:val="00A41F08"/>
    <w:rsid w:val="00A53358"/>
    <w:rsid w:val="00A70DA0"/>
    <w:rsid w:val="00A756D0"/>
    <w:rsid w:val="00A767FE"/>
    <w:rsid w:val="00A8362A"/>
    <w:rsid w:val="00AA07BB"/>
    <w:rsid w:val="00AA1FBD"/>
    <w:rsid w:val="00AA266E"/>
    <w:rsid w:val="00AA3303"/>
    <w:rsid w:val="00AA4836"/>
    <w:rsid w:val="00AA6049"/>
    <w:rsid w:val="00AA7154"/>
    <w:rsid w:val="00AA7D60"/>
    <w:rsid w:val="00AB50BA"/>
    <w:rsid w:val="00AC11B7"/>
    <w:rsid w:val="00AC5FB0"/>
    <w:rsid w:val="00AC7154"/>
    <w:rsid w:val="00AD4C04"/>
    <w:rsid w:val="00AF0A42"/>
    <w:rsid w:val="00AF5BAF"/>
    <w:rsid w:val="00B04A91"/>
    <w:rsid w:val="00B04B29"/>
    <w:rsid w:val="00B13517"/>
    <w:rsid w:val="00B146CA"/>
    <w:rsid w:val="00B15A44"/>
    <w:rsid w:val="00B20676"/>
    <w:rsid w:val="00B22272"/>
    <w:rsid w:val="00B23256"/>
    <w:rsid w:val="00B23AD4"/>
    <w:rsid w:val="00B23E85"/>
    <w:rsid w:val="00B30172"/>
    <w:rsid w:val="00B31DC1"/>
    <w:rsid w:val="00B3624B"/>
    <w:rsid w:val="00B37396"/>
    <w:rsid w:val="00B42105"/>
    <w:rsid w:val="00B4312A"/>
    <w:rsid w:val="00B449AC"/>
    <w:rsid w:val="00B5240B"/>
    <w:rsid w:val="00B6511B"/>
    <w:rsid w:val="00B71015"/>
    <w:rsid w:val="00B7306B"/>
    <w:rsid w:val="00B7355D"/>
    <w:rsid w:val="00B75258"/>
    <w:rsid w:val="00B81ABD"/>
    <w:rsid w:val="00B83A83"/>
    <w:rsid w:val="00B87446"/>
    <w:rsid w:val="00B87DE7"/>
    <w:rsid w:val="00B90D19"/>
    <w:rsid w:val="00B91319"/>
    <w:rsid w:val="00B93B0B"/>
    <w:rsid w:val="00B97CBC"/>
    <w:rsid w:val="00BA0259"/>
    <w:rsid w:val="00BA5E2F"/>
    <w:rsid w:val="00BA6201"/>
    <w:rsid w:val="00BA6872"/>
    <w:rsid w:val="00BB32CB"/>
    <w:rsid w:val="00BB42D6"/>
    <w:rsid w:val="00BB5ABC"/>
    <w:rsid w:val="00BC31A7"/>
    <w:rsid w:val="00BE33E7"/>
    <w:rsid w:val="00BE477F"/>
    <w:rsid w:val="00BE65D7"/>
    <w:rsid w:val="00BF354A"/>
    <w:rsid w:val="00C02D15"/>
    <w:rsid w:val="00C038B1"/>
    <w:rsid w:val="00C055E6"/>
    <w:rsid w:val="00C05671"/>
    <w:rsid w:val="00C05931"/>
    <w:rsid w:val="00C12097"/>
    <w:rsid w:val="00C13C1F"/>
    <w:rsid w:val="00C20048"/>
    <w:rsid w:val="00C228FF"/>
    <w:rsid w:val="00C272B5"/>
    <w:rsid w:val="00C30E87"/>
    <w:rsid w:val="00C36815"/>
    <w:rsid w:val="00C36E4F"/>
    <w:rsid w:val="00C43B87"/>
    <w:rsid w:val="00C44484"/>
    <w:rsid w:val="00C60A50"/>
    <w:rsid w:val="00C65452"/>
    <w:rsid w:val="00C65DA9"/>
    <w:rsid w:val="00C672B9"/>
    <w:rsid w:val="00C70EEE"/>
    <w:rsid w:val="00C81AFB"/>
    <w:rsid w:val="00C83933"/>
    <w:rsid w:val="00C84659"/>
    <w:rsid w:val="00C86E7F"/>
    <w:rsid w:val="00C86FC7"/>
    <w:rsid w:val="00C8707E"/>
    <w:rsid w:val="00C90865"/>
    <w:rsid w:val="00C922D2"/>
    <w:rsid w:val="00CA56D6"/>
    <w:rsid w:val="00CB426D"/>
    <w:rsid w:val="00CB4D7E"/>
    <w:rsid w:val="00CB5A8D"/>
    <w:rsid w:val="00CC21DA"/>
    <w:rsid w:val="00CC4BE6"/>
    <w:rsid w:val="00CD71DF"/>
    <w:rsid w:val="00CE200C"/>
    <w:rsid w:val="00CE3D77"/>
    <w:rsid w:val="00CE6133"/>
    <w:rsid w:val="00CF4694"/>
    <w:rsid w:val="00D05990"/>
    <w:rsid w:val="00D065CB"/>
    <w:rsid w:val="00D12076"/>
    <w:rsid w:val="00D16C6D"/>
    <w:rsid w:val="00D213C6"/>
    <w:rsid w:val="00D26431"/>
    <w:rsid w:val="00D37546"/>
    <w:rsid w:val="00D408FE"/>
    <w:rsid w:val="00D47E46"/>
    <w:rsid w:val="00D5112A"/>
    <w:rsid w:val="00D6104A"/>
    <w:rsid w:val="00D64078"/>
    <w:rsid w:val="00D70581"/>
    <w:rsid w:val="00D721A3"/>
    <w:rsid w:val="00D7497F"/>
    <w:rsid w:val="00D76798"/>
    <w:rsid w:val="00D8586A"/>
    <w:rsid w:val="00D86F6E"/>
    <w:rsid w:val="00D93B6D"/>
    <w:rsid w:val="00D93C48"/>
    <w:rsid w:val="00D95779"/>
    <w:rsid w:val="00DA0120"/>
    <w:rsid w:val="00DA102C"/>
    <w:rsid w:val="00DB3B4A"/>
    <w:rsid w:val="00DB4427"/>
    <w:rsid w:val="00DC02F0"/>
    <w:rsid w:val="00DC1D01"/>
    <w:rsid w:val="00DC27A8"/>
    <w:rsid w:val="00DD13ED"/>
    <w:rsid w:val="00DD3BD7"/>
    <w:rsid w:val="00DD7CF4"/>
    <w:rsid w:val="00DE4392"/>
    <w:rsid w:val="00DF0159"/>
    <w:rsid w:val="00DF2179"/>
    <w:rsid w:val="00DF3E2C"/>
    <w:rsid w:val="00DF47D2"/>
    <w:rsid w:val="00DF678E"/>
    <w:rsid w:val="00DF7B47"/>
    <w:rsid w:val="00DF7CD2"/>
    <w:rsid w:val="00E0047A"/>
    <w:rsid w:val="00E01FE7"/>
    <w:rsid w:val="00E023F3"/>
    <w:rsid w:val="00E0562E"/>
    <w:rsid w:val="00E07964"/>
    <w:rsid w:val="00E1021F"/>
    <w:rsid w:val="00E1209A"/>
    <w:rsid w:val="00E127B5"/>
    <w:rsid w:val="00E13125"/>
    <w:rsid w:val="00E14A4B"/>
    <w:rsid w:val="00E204AC"/>
    <w:rsid w:val="00E263D5"/>
    <w:rsid w:val="00E33077"/>
    <w:rsid w:val="00E353B3"/>
    <w:rsid w:val="00E37C0A"/>
    <w:rsid w:val="00E45B93"/>
    <w:rsid w:val="00E45FCD"/>
    <w:rsid w:val="00E546D6"/>
    <w:rsid w:val="00E655E2"/>
    <w:rsid w:val="00E65D5B"/>
    <w:rsid w:val="00E673A0"/>
    <w:rsid w:val="00E6774B"/>
    <w:rsid w:val="00E743D6"/>
    <w:rsid w:val="00E75AC6"/>
    <w:rsid w:val="00E94A86"/>
    <w:rsid w:val="00E94BFE"/>
    <w:rsid w:val="00E962E7"/>
    <w:rsid w:val="00EA2ACB"/>
    <w:rsid w:val="00EA6CA8"/>
    <w:rsid w:val="00EB095C"/>
    <w:rsid w:val="00EB0EE6"/>
    <w:rsid w:val="00EB4637"/>
    <w:rsid w:val="00EB69F4"/>
    <w:rsid w:val="00EC52F6"/>
    <w:rsid w:val="00EC734A"/>
    <w:rsid w:val="00EE1143"/>
    <w:rsid w:val="00EE2BB0"/>
    <w:rsid w:val="00EF297E"/>
    <w:rsid w:val="00F008F6"/>
    <w:rsid w:val="00F05119"/>
    <w:rsid w:val="00F106A2"/>
    <w:rsid w:val="00F11C81"/>
    <w:rsid w:val="00F121B7"/>
    <w:rsid w:val="00F177CB"/>
    <w:rsid w:val="00F20B11"/>
    <w:rsid w:val="00F23A2F"/>
    <w:rsid w:val="00F25525"/>
    <w:rsid w:val="00F47E6A"/>
    <w:rsid w:val="00F558E9"/>
    <w:rsid w:val="00F569C9"/>
    <w:rsid w:val="00F67714"/>
    <w:rsid w:val="00F80E53"/>
    <w:rsid w:val="00F82AA6"/>
    <w:rsid w:val="00F82F77"/>
    <w:rsid w:val="00F85D31"/>
    <w:rsid w:val="00F86B1A"/>
    <w:rsid w:val="00F878C3"/>
    <w:rsid w:val="00F90FFC"/>
    <w:rsid w:val="00F92FF0"/>
    <w:rsid w:val="00F94E40"/>
    <w:rsid w:val="00F9503A"/>
    <w:rsid w:val="00FA07A7"/>
    <w:rsid w:val="00FA16E6"/>
    <w:rsid w:val="00FA3EC2"/>
    <w:rsid w:val="00FA720C"/>
    <w:rsid w:val="00FB2BF7"/>
    <w:rsid w:val="00FC4293"/>
    <w:rsid w:val="00FC5097"/>
    <w:rsid w:val="00FC746D"/>
    <w:rsid w:val="00FC74B3"/>
    <w:rsid w:val="00FC7ED2"/>
    <w:rsid w:val="00FD23A9"/>
    <w:rsid w:val="00FD4BD1"/>
    <w:rsid w:val="00FD4C45"/>
    <w:rsid w:val="00FD5BE1"/>
    <w:rsid w:val="00FD76DE"/>
    <w:rsid w:val="00FE3651"/>
    <w:rsid w:val="00FE54DB"/>
    <w:rsid w:val="00FE7EB8"/>
    <w:rsid w:val="00FF10A9"/>
    <w:rsid w:val="00FF1DDA"/>
    <w:rsid w:val="00FF1E3B"/>
    <w:rsid w:val="00FF2AF4"/>
    <w:rsid w:val="00FF3B5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02B96"/>
  <w15:chartTrackingRefBased/>
  <w15:docId w15:val="{9A860C54-34ED-4867-B40F-2DA359485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B1C"/>
    <w:pPr>
      <w:jc w:val="both"/>
    </w:pPr>
    <w:rPr>
      <w:sz w:val="22"/>
    </w:rPr>
  </w:style>
  <w:style w:type="paragraph" w:styleId="Ttulo1">
    <w:name w:val="heading 1"/>
    <w:basedOn w:val="Normal"/>
    <w:next w:val="Normal"/>
    <w:link w:val="Ttulo1Car"/>
    <w:uiPriority w:val="9"/>
    <w:qFormat/>
    <w:rsid w:val="00196125"/>
    <w:pPr>
      <w:keepNext/>
      <w:keepLines/>
      <w:spacing w:before="240"/>
      <w:outlineLvl w:val="0"/>
    </w:pPr>
    <w:rPr>
      <w:rFonts w:asciiTheme="majorHAnsi" w:eastAsiaTheme="majorEastAsia" w:hAnsiTheme="majorHAnsi" w:cstheme="majorBidi"/>
      <w:color w:val="2C2A28" w:themeColor="text1"/>
      <w:sz w:val="32"/>
      <w:szCs w:val="32"/>
    </w:rPr>
  </w:style>
  <w:style w:type="paragraph" w:styleId="Ttulo2">
    <w:name w:val="heading 2"/>
    <w:basedOn w:val="Normal"/>
    <w:next w:val="Normal"/>
    <w:link w:val="Ttulo2Car"/>
    <w:uiPriority w:val="9"/>
    <w:unhideWhenUsed/>
    <w:qFormat/>
    <w:rsid w:val="00196125"/>
    <w:pPr>
      <w:keepNext/>
      <w:keepLines/>
      <w:spacing w:before="40"/>
      <w:outlineLvl w:val="1"/>
    </w:pPr>
    <w:rPr>
      <w:rFonts w:asciiTheme="majorHAnsi" w:eastAsiaTheme="majorEastAsia" w:hAnsiTheme="majorHAnsi" w:cstheme="majorBidi"/>
      <w:color w:val="2C2A28" w:themeColor="text1"/>
      <w:sz w:val="26"/>
      <w:szCs w:val="26"/>
    </w:rPr>
  </w:style>
  <w:style w:type="paragraph" w:styleId="Ttulo3">
    <w:name w:val="heading 3"/>
    <w:basedOn w:val="Normal"/>
    <w:next w:val="Normal"/>
    <w:link w:val="Ttulo3Car"/>
    <w:uiPriority w:val="9"/>
    <w:unhideWhenUsed/>
    <w:qFormat/>
    <w:rsid w:val="004D5F08"/>
    <w:pPr>
      <w:keepNext/>
      <w:keepLines/>
      <w:spacing w:before="40"/>
      <w:outlineLvl w:val="2"/>
    </w:pPr>
    <w:rPr>
      <w:rFonts w:eastAsiaTheme="majorEastAsia" w:cstheme="majorBidi"/>
      <w:color w:val="2C2A28"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247B7"/>
    <w:pPr>
      <w:tabs>
        <w:tab w:val="center" w:pos="4419"/>
        <w:tab w:val="right" w:pos="8838"/>
      </w:tabs>
    </w:pPr>
  </w:style>
  <w:style w:type="character" w:customStyle="1" w:styleId="EncabezadoCar">
    <w:name w:val="Encabezado Car"/>
    <w:basedOn w:val="Fuentedeprrafopredeter"/>
    <w:link w:val="Encabezado"/>
    <w:uiPriority w:val="99"/>
    <w:rsid w:val="000247B7"/>
  </w:style>
  <w:style w:type="paragraph" w:styleId="Piedepgina">
    <w:name w:val="footer"/>
    <w:basedOn w:val="Normal"/>
    <w:link w:val="PiedepginaCar"/>
    <w:uiPriority w:val="99"/>
    <w:unhideWhenUsed/>
    <w:rsid w:val="000247B7"/>
    <w:pPr>
      <w:tabs>
        <w:tab w:val="center" w:pos="4419"/>
        <w:tab w:val="right" w:pos="8838"/>
      </w:tabs>
    </w:pPr>
  </w:style>
  <w:style w:type="character" w:customStyle="1" w:styleId="PiedepginaCar">
    <w:name w:val="Pie de página Car"/>
    <w:basedOn w:val="Fuentedeprrafopredeter"/>
    <w:link w:val="Piedepgina"/>
    <w:uiPriority w:val="99"/>
    <w:rsid w:val="000247B7"/>
  </w:style>
  <w:style w:type="paragraph" w:styleId="Textodeglobo">
    <w:name w:val="Balloon Text"/>
    <w:basedOn w:val="Normal"/>
    <w:link w:val="TextodegloboCar"/>
    <w:uiPriority w:val="99"/>
    <w:semiHidden/>
    <w:unhideWhenUsed/>
    <w:rsid w:val="000247B7"/>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0247B7"/>
    <w:rPr>
      <w:rFonts w:ascii="Times New Roman" w:hAnsi="Times New Roman" w:cs="Times New Roman"/>
      <w:sz w:val="18"/>
      <w:szCs w:val="18"/>
    </w:rPr>
  </w:style>
  <w:style w:type="table" w:styleId="Tablaconcuadrcula">
    <w:name w:val="Table Grid"/>
    <w:basedOn w:val="Tablanormal"/>
    <w:uiPriority w:val="39"/>
    <w:rsid w:val="00320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basedOn w:val="Normal"/>
    <w:link w:val="SinespaciadoCar"/>
    <w:uiPriority w:val="1"/>
    <w:qFormat/>
    <w:rsid w:val="00980EAE"/>
    <w:rPr>
      <w:rFonts w:ascii="Calibri" w:hAnsi="Calibri" w:cs="Calibri"/>
      <w:szCs w:val="22"/>
    </w:rPr>
  </w:style>
  <w:style w:type="character" w:customStyle="1" w:styleId="SinespaciadoCar">
    <w:name w:val="Sin espaciado Car"/>
    <w:link w:val="Sinespaciado"/>
    <w:uiPriority w:val="1"/>
    <w:locked/>
    <w:rsid w:val="00980EAE"/>
    <w:rPr>
      <w:rFonts w:ascii="Calibri" w:hAnsi="Calibri" w:cs="Calibri"/>
      <w:sz w:val="22"/>
      <w:szCs w:val="22"/>
    </w:rPr>
  </w:style>
  <w:style w:type="character" w:styleId="Hipervnculo">
    <w:name w:val="Hyperlink"/>
    <w:basedOn w:val="Fuentedeprrafopredeter"/>
    <w:uiPriority w:val="99"/>
    <w:unhideWhenUsed/>
    <w:rsid w:val="00B90D19"/>
    <w:rPr>
      <w:color w:val="0563C1" w:themeColor="hyperlink"/>
      <w:u w:val="single"/>
    </w:rPr>
  </w:style>
  <w:style w:type="character" w:styleId="Mencinsinresolver">
    <w:name w:val="Unresolved Mention"/>
    <w:basedOn w:val="Fuentedeprrafopredeter"/>
    <w:uiPriority w:val="99"/>
    <w:semiHidden/>
    <w:unhideWhenUsed/>
    <w:rsid w:val="00B90D19"/>
    <w:rPr>
      <w:color w:val="605E5C"/>
      <w:shd w:val="clear" w:color="auto" w:fill="E1DFDD"/>
    </w:rPr>
  </w:style>
  <w:style w:type="paragraph" w:styleId="Ttulo">
    <w:name w:val="Title"/>
    <w:basedOn w:val="Normal"/>
    <w:next w:val="Normal"/>
    <w:link w:val="TtuloCar"/>
    <w:uiPriority w:val="10"/>
    <w:qFormat/>
    <w:rsid w:val="006757E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7E2"/>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196125"/>
    <w:rPr>
      <w:rFonts w:asciiTheme="majorHAnsi" w:eastAsiaTheme="majorEastAsia" w:hAnsiTheme="majorHAnsi" w:cstheme="majorBidi"/>
      <w:color w:val="2C2A28" w:themeColor="text1"/>
      <w:sz w:val="26"/>
      <w:szCs w:val="26"/>
    </w:rPr>
  </w:style>
  <w:style w:type="character" w:customStyle="1" w:styleId="Ttulo1Car">
    <w:name w:val="Título 1 Car"/>
    <w:basedOn w:val="Fuentedeprrafopredeter"/>
    <w:link w:val="Ttulo1"/>
    <w:uiPriority w:val="9"/>
    <w:rsid w:val="00196125"/>
    <w:rPr>
      <w:rFonts w:asciiTheme="majorHAnsi" w:eastAsiaTheme="majorEastAsia" w:hAnsiTheme="majorHAnsi" w:cstheme="majorBidi"/>
      <w:color w:val="2C2A28" w:themeColor="text1"/>
      <w:sz w:val="32"/>
      <w:szCs w:val="32"/>
    </w:rPr>
  </w:style>
  <w:style w:type="paragraph" w:styleId="Subttulo">
    <w:name w:val="Subtitle"/>
    <w:basedOn w:val="Normal"/>
    <w:next w:val="Normal"/>
    <w:link w:val="SubttuloCar"/>
    <w:uiPriority w:val="11"/>
    <w:qFormat/>
    <w:rsid w:val="0016156D"/>
    <w:pPr>
      <w:numPr>
        <w:ilvl w:val="1"/>
      </w:numPr>
      <w:spacing w:before="160" w:after="160"/>
    </w:pPr>
    <w:rPr>
      <w:rFonts w:eastAsiaTheme="minorEastAsia"/>
      <w:color w:val="7A756F" w:themeColor="text1" w:themeTint="A5"/>
      <w:spacing w:val="15"/>
      <w:szCs w:val="22"/>
    </w:rPr>
  </w:style>
  <w:style w:type="character" w:customStyle="1" w:styleId="SubttuloCar">
    <w:name w:val="Subtítulo Car"/>
    <w:basedOn w:val="Fuentedeprrafopredeter"/>
    <w:link w:val="Subttulo"/>
    <w:uiPriority w:val="11"/>
    <w:rsid w:val="0016156D"/>
    <w:rPr>
      <w:rFonts w:eastAsiaTheme="minorEastAsia"/>
      <w:color w:val="7A756F" w:themeColor="text1" w:themeTint="A5"/>
      <w:spacing w:val="15"/>
      <w:sz w:val="22"/>
      <w:szCs w:val="22"/>
    </w:rPr>
  </w:style>
  <w:style w:type="paragraph" w:styleId="Prrafodelista">
    <w:name w:val="List Paragraph"/>
    <w:basedOn w:val="Normal"/>
    <w:uiPriority w:val="34"/>
    <w:qFormat/>
    <w:rsid w:val="00E65D5B"/>
    <w:pPr>
      <w:ind w:left="720"/>
      <w:contextualSpacing/>
    </w:pPr>
  </w:style>
  <w:style w:type="character" w:customStyle="1" w:styleId="Ttulo3Car">
    <w:name w:val="Título 3 Car"/>
    <w:basedOn w:val="Fuentedeprrafopredeter"/>
    <w:link w:val="Ttulo3"/>
    <w:uiPriority w:val="9"/>
    <w:rsid w:val="004D5F08"/>
    <w:rPr>
      <w:rFonts w:eastAsiaTheme="majorEastAsia" w:cstheme="majorBidi"/>
      <w:color w:val="2C2A28" w:themeColor="text1"/>
    </w:rPr>
  </w:style>
  <w:style w:type="character" w:styleId="nfasissutil">
    <w:name w:val="Subtle Emphasis"/>
    <w:basedOn w:val="Fuentedeprrafopredeter"/>
    <w:uiPriority w:val="19"/>
    <w:qFormat/>
    <w:rsid w:val="00750C39"/>
    <w:rPr>
      <w:i/>
      <w:iCs/>
      <w:color w:val="635F5B" w:themeColor="text1" w:themeTint="BF"/>
    </w:rPr>
  </w:style>
  <w:style w:type="character" w:styleId="Hipervnculovisitado">
    <w:name w:val="FollowedHyperlink"/>
    <w:basedOn w:val="Fuentedeprrafopredeter"/>
    <w:uiPriority w:val="99"/>
    <w:semiHidden/>
    <w:unhideWhenUsed/>
    <w:rsid w:val="00EF297E"/>
    <w:rPr>
      <w:color w:val="954F72" w:themeColor="followedHyperlink"/>
      <w:u w:val="single"/>
    </w:rPr>
  </w:style>
  <w:style w:type="paragraph" w:styleId="TtuloTDC">
    <w:name w:val="TOC Heading"/>
    <w:basedOn w:val="Ttulo1"/>
    <w:next w:val="Normal"/>
    <w:uiPriority w:val="39"/>
    <w:unhideWhenUsed/>
    <w:qFormat/>
    <w:rsid w:val="00E353B3"/>
    <w:pPr>
      <w:spacing w:line="259" w:lineRule="auto"/>
      <w:jc w:val="left"/>
      <w:outlineLvl w:val="9"/>
    </w:pPr>
    <w:rPr>
      <w:color w:val="EF4C00" w:themeColor="accent1" w:themeShade="BF"/>
      <w:lang w:eastAsia="es-CO"/>
    </w:rPr>
  </w:style>
  <w:style w:type="paragraph" w:styleId="TDC1">
    <w:name w:val="toc 1"/>
    <w:basedOn w:val="Normal"/>
    <w:next w:val="Normal"/>
    <w:autoRedefine/>
    <w:uiPriority w:val="39"/>
    <w:unhideWhenUsed/>
    <w:rsid w:val="00E353B3"/>
    <w:pPr>
      <w:spacing w:after="100"/>
    </w:pPr>
  </w:style>
  <w:style w:type="paragraph" w:styleId="TDC2">
    <w:name w:val="toc 2"/>
    <w:basedOn w:val="Normal"/>
    <w:next w:val="Normal"/>
    <w:autoRedefine/>
    <w:uiPriority w:val="39"/>
    <w:unhideWhenUsed/>
    <w:rsid w:val="00E353B3"/>
    <w:pPr>
      <w:spacing w:after="100"/>
      <w:ind w:left="220"/>
    </w:pPr>
  </w:style>
  <w:style w:type="paragraph" w:styleId="TDC3">
    <w:name w:val="toc 3"/>
    <w:basedOn w:val="Normal"/>
    <w:next w:val="Normal"/>
    <w:autoRedefine/>
    <w:uiPriority w:val="39"/>
    <w:unhideWhenUsed/>
    <w:rsid w:val="00E353B3"/>
    <w:pPr>
      <w:spacing w:after="100"/>
      <w:ind w:left="440"/>
    </w:pPr>
  </w:style>
  <w:style w:type="character" w:styleId="Textodelmarcadordeposicin">
    <w:name w:val="Placeholder Text"/>
    <w:basedOn w:val="Fuentedeprrafopredeter"/>
    <w:uiPriority w:val="99"/>
    <w:semiHidden/>
    <w:rsid w:val="00A70DA0"/>
    <w:rPr>
      <w:color w:val="808080"/>
    </w:rPr>
  </w:style>
  <w:style w:type="character" w:styleId="Refdecomentario">
    <w:name w:val="annotation reference"/>
    <w:basedOn w:val="Fuentedeprrafopredeter"/>
    <w:uiPriority w:val="99"/>
    <w:semiHidden/>
    <w:unhideWhenUsed/>
    <w:rsid w:val="000B2450"/>
    <w:rPr>
      <w:sz w:val="16"/>
      <w:szCs w:val="16"/>
    </w:rPr>
  </w:style>
  <w:style w:type="paragraph" w:styleId="Textocomentario">
    <w:name w:val="annotation text"/>
    <w:basedOn w:val="Normal"/>
    <w:link w:val="TextocomentarioCar"/>
    <w:uiPriority w:val="99"/>
    <w:semiHidden/>
    <w:unhideWhenUsed/>
    <w:rsid w:val="000B2450"/>
    <w:rPr>
      <w:sz w:val="20"/>
      <w:szCs w:val="20"/>
    </w:rPr>
  </w:style>
  <w:style w:type="character" w:customStyle="1" w:styleId="TextocomentarioCar">
    <w:name w:val="Texto comentario Car"/>
    <w:basedOn w:val="Fuentedeprrafopredeter"/>
    <w:link w:val="Textocomentario"/>
    <w:uiPriority w:val="99"/>
    <w:semiHidden/>
    <w:rsid w:val="000B2450"/>
    <w:rPr>
      <w:sz w:val="20"/>
      <w:szCs w:val="20"/>
    </w:rPr>
  </w:style>
  <w:style w:type="paragraph" w:styleId="Asuntodelcomentario">
    <w:name w:val="annotation subject"/>
    <w:basedOn w:val="Textocomentario"/>
    <w:next w:val="Textocomentario"/>
    <w:link w:val="AsuntodelcomentarioCar"/>
    <w:uiPriority w:val="99"/>
    <w:semiHidden/>
    <w:unhideWhenUsed/>
    <w:rsid w:val="000B2450"/>
    <w:rPr>
      <w:b/>
      <w:bCs/>
    </w:rPr>
  </w:style>
  <w:style w:type="character" w:customStyle="1" w:styleId="AsuntodelcomentarioCar">
    <w:name w:val="Asunto del comentario Car"/>
    <w:basedOn w:val="TextocomentarioCar"/>
    <w:link w:val="Asuntodelcomentario"/>
    <w:uiPriority w:val="99"/>
    <w:semiHidden/>
    <w:rsid w:val="000B2450"/>
    <w:rPr>
      <w:b/>
      <w:bCs/>
      <w:sz w:val="20"/>
      <w:szCs w:val="20"/>
    </w:rPr>
  </w:style>
  <w:style w:type="character" w:customStyle="1" w:styleId="ui-provider">
    <w:name w:val="ui-provider"/>
    <w:basedOn w:val="Fuentedeprrafopredeter"/>
    <w:rsid w:val="006D01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49369">
      <w:bodyDiv w:val="1"/>
      <w:marLeft w:val="0"/>
      <w:marRight w:val="0"/>
      <w:marTop w:val="0"/>
      <w:marBottom w:val="0"/>
      <w:divBdr>
        <w:top w:val="none" w:sz="0" w:space="0" w:color="auto"/>
        <w:left w:val="none" w:sz="0" w:space="0" w:color="auto"/>
        <w:bottom w:val="none" w:sz="0" w:space="0" w:color="auto"/>
        <w:right w:val="none" w:sz="0" w:space="0" w:color="auto"/>
      </w:divBdr>
      <w:divsChild>
        <w:div w:id="847870825">
          <w:marLeft w:val="0"/>
          <w:marRight w:val="0"/>
          <w:marTop w:val="0"/>
          <w:marBottom w:val="0"/>
          <w:divBdr>
            <w:top w:val="none" w:sz="0" w:space="0" w:color="auto"/>
            <w:left w:val="none" w:sz="0" w:space="0" w:color="auto"/>
            <w:bottom w:val="none" w:sz="0" w:space="0" w:color="auto"/>
            <w:right w:val="none" w:sz="0" w:space="0" w:color="auto"/>
          </w:divBdr>
          <w:divsChild>
            <w:div w:id="1694576867">
              <w:marLeft w:val="0"/>
              <w:marRight w:val="0"/>
              <w:marTop w:val="0"/>
              <w:marBottom w:val="0"/>
              <w:divBdr>
                <w:top w:val="none" w:sz="0" w:space="0" w:color="auto"/>
                <w:left w:val="none" w:sz="0" w:space="0" w:color="auto"/>
                <w:bottom w:val="none" w:sz="0" w:space="0" w:color="auto"/>
                <w:right w:val="none" w:sz="0" w:space="0" w:color="auto"/>
              </w:divBdr>
            </w:div>
            <w:div w:id="20204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8197">
      <w:bodyDiv w:val="1"/>
      <w:marLeft w:val="0"/>
      <w:marRight w:val="0"/>
      <w:marTop w:val="0"/>
      <w:marBottom w:val="0"/>
      <w:divBdr>
        <w:top w:val="none" w:sz="0" w:space="0" w:color="auto"/>
        <w:left w:val="none" w:sz="0" w:space="0" w:color="auto"/>
        <w:bottom w:val="none" w:sz="0" w:space="0" w:color="auto"/>
        <w:right w:val="none" w:sz="0" w:space="0" w:color="auto"/>
      </w:divBdr>
    </w:div>
    <w:div w:id="265698113">
      <w:bodyDiv w:val="1"/>
      <w:marLeft w:val="0"/>
      <w:marRight w:val="0"/>
      <w:marTop w:val="0"/>
      <w:marBottom w:val="0"/>
      <w:divBdr>
        <w:top w:val="none" w:sz="0" w:space="0" w:color="auto"/>
        <w:left w:val="none" w:sz="0" w:space="0" w:color="auto"/>
        <w:bottom w:val="none" w:sz="0" w:space="0" w:color="auto"/>
        <w:right w:val="none" w:sz="0" w:space="0" w:color="auto"/>
      </w:divBdr>
      <w:divsChild>
        <w:div w:id="2102795840">
          <w:marLeft w:val="0"/>
          <w:marRight w:val="0"/>
          <w:marTop w:val="0"/>
          <w:marBottom w:val="0"/>
          <w:divBdr>
            <w:top w:val="none" w:sz="0" w:space="0" w:color="auto"/>
            <w:left w:val="none" w:sz="0" w:space="0" w:color="auto"/>
            <w:bottom w:val="none" w:sz="0" w:space="0" w:color="auto"/>
            <w:right w:val="none" w:sz="0" w:space="0" w:color="auto"/>
          </w:divBdr>
          <w:divsChild>
            <w:div w:id="7499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46962">
      <w:bodyDiv w:val="1"/>
      <w:marLeft w:val="0"/>
      <w:marRight w:val="0"/>
      <w:marTop w:val="0"/>
      <w:marBottom w:val="0"/>
      <w:divBdr>
        <w:top w:val="none" w:sz="0" w:space="0" w:color="auto"/>
        <w:left w:val="none" w:sz="0" w:space="0" w:color="auto"/>
        <w:bottom w:val="none" w:sz="0" w:space="0" w:color="auto"/>
        <w:right w:val="none" w:sz="0" w:space="0" w:color="auto"/>
      </w:divBdr>
      <w:divsChild>
        <w:div w:id="1933127040">
          <w:marLeft w:val="0"/>
          <w:marRight w:val="0"/>
          <w:marTop w:val="0"/>
          <w:marBottom w:val="0"/>
          <w:divBdr>
            <w:top w:val="none" w:sz="0" w:space="0" w:color="auto"/>
            <w:left w:val="none" w:sz="0" w:space="0" w:color="auto"/>
            <w:bottom w:val="none" w:sz="0" w:space="0" w:color="auto"/>
            <w:right w:val="none" w:sz="0" w:space="0" w:color="auto"/>
          </w:divBdr>
          <w:divsChild>
            <w:div w:id="8040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1561">
      <w:bodyDiv w:val="1"/>
      <w:marLeft w:val="0"/>
      <w:marRight w:val="0"/>
      <w:marTop w:val="0"/>
      <w:marBottom w:val="0"/>
      <w:divBdr>
        <w:top w:val="none" w:sz="0" w:space="0" w:color="auto"/>
        <w:left w:val="none" w:sz="0" w:space="0" w:color="auto"/>
        <w:bottom w:val="none" w:sz="0" w:space="0" w:color="auto"/>
        <w:right w:val="none" w:sz="0" w:space="0" w:color="auto"/>
      </w:divBdr>
    </w:div>
    <w:div w:id="646781536">
      <w:bodyDiv w:val="1"/>
      <w:marLeft w:val="0"/>
      <w:marRight w:val="0"/>
      <w:marTop w:val="0"/>
      <w:marBottom w:val="0"/>
      <w:divBdr>
        <w:top w:val="none" w:sz="0" w:space="0" w:color="auto"/>
        <w:left w:val="none" w:sz="0" w:space="0" w:color="auto"/>
        <w:bottom w:val="none" w:sz="0" w:space="0" w:color="auto"/>
        <w:right w:val="none" w:sz="0" w:space="0" w:color="auto"/>
      </w:divBdr>
      <w:divsChild>
        <w:div w:id="825704593">
          <w:marLeft w:val="0"/>
          <w:marRight w:val="0"/>
          <w:marTop w:val="0"/>
          <w:marBottom w:val="0"/>
          <w:divBdr>
            <w:top w:val="none" w:sz="0" w:space="0" w:color="auto"/>
            <w:left w:val="none" w:sz="0" w:space="0" w:color="auto"/>
            <w:bottom w:val="none" w:sz="0" w:space="0" w:color="auto"/>
            <w:right w:val="none" w:sz="0" w:space="0" w:color="auto"/>
          </w:divBdr>
          <w:divsChild>
            <w:div w:id="314143300">
              <w:marLeft w:val="0"/>
              <w:marRight w:val="0"/>
              <w:marTop w:val="0"/>
              <w:marBottom w:val="0"/>
              <w:divBdr>
                <w:top w:val="none" w:sz="0" w:space="0" w:color="auto"/>
                <w:left w:val="none" w:sz="0" w:space="0" w:color="auto"/>
                <w:bottom w:val="none" w:sz="0" w:space="0" w:color="auto"/>
                <w:right w:val="none" w:sz="0" w:space="0" w:color="auto"/>
              </w:divBdr>
            </w:div>
            <w:div w:id="1416395709">
              <w:marLeft w:val="0"/>
              <w:marRight w:val="0"/>
              <w:marTop w:val="0"/>
              <w:marBottom w:val="0"/>
              <w:divBdr>
                <w:top w:val="none" w:sz="0" w:space="0" w:color="auto"/>
                <w:left w:val="none" w:sz="0" w:space="0" w:color="auto"/>
                <w:bottom w:val="none" w:sz="0" w:space="0" w:color="auto"/>
                <w:right w:val="none" w:sz="0" w:space="0" w:color="auto"/>
              </w:divBdr>
            </w:div>
            <w:div w:id="1063530233">
              <w:marLeft w:val="0"/>
              <w:marRight w:val="0"/>
              <w:marTop w:val="0"/>
              <w:marBottom w:val="0"/>
              <w:divBdr>
                <w:top w:val="none" w:sz="0" w:space="0" w:color="auto"/>
                <w:left w:val="none" w:sz="0" w:space="0" w:color="auto"/>
                <w:bottom w:val="none" w:sz="0" w:space="0" w:color="auto"/>
                <w:right w:val="none" w:sz="0" w:space="0" w:color="auto"/>
              </w:divBdr>
            </w:div>
            <w:div w:id="231307958">
              <w:marLeft w:val="0"/>
              <w:marRight w:val="0"/>
              <w:marTop w:val="0"/>
              <w:marBottom w:val="0"/>
              <w:divBdr>
                <w:top w:val="none" w:sz="0" w:space="0" w:color="auto"/>
                <w:left w:val="none" w:sz="0" w:space="0" w:color="auto"/>
                <w:bottom w:val="none" w:sz="0" w:space="0" w:color="auto"/>
                <w:right w:val="none" w:sz="0" w:space="0" w:color="auto"/>
              </w:divBdr>
            </w:div>
            <w:div w:id="1466195938">
              <w:marLeft w:val="0"/>
              <w:marRight w:val="0"/>
              <w:marTop w:val="0"/>
              <w:marBottom w:val="0"/>
              <w:divBdr>
                <w:top w:val="none" w:sz="0" w:space="0" w:color="auto"/>
                <w:left w:val="none" w:sz="0" w:space="0" w:color="auto"/>
                <w:bottom w:val="none" w:sz="0" w:space="0" w:color="auto"/>
                <w:right w:val="none" w:sz="0" w:space="0" w:color="auto"/>
              </w:divBdr>
            </w:div>
            <w:div w:id="119501227">
              <w:marLeft w:val="0"/>
              <w:marRight w:val="0"/>
              <w:marTop w:val="0"/>
              <w:marBottom w:val="0"/>
              <w:divBdr>
                <w:top w:val="none" w:sz="0" w:space="0" w:color="auto"/>
                <w:left w:val="none" w:sz="0" w:space="0" w:color="auto"/>
                <w:bottom w:val="none" w:sz="0" w:space="0" w:color="auto"/>
                <w:right w:val="none" w:sz="0" w:space="0" w:color="auto"/>
              </w:divBdr>
            </w:div>
            <w:div w:id="1157648584">
              <w:marLeft w:val="0"/>
              <w:marRight w:val="0"/>
              <w:marTop w:val="0"/>
              <w:marBottom w:val="0"/>
              <w:divBdr>
                <w:top w:val="none" w:sz="0" w:space="0" w:color="auto"/>
                <w:left w:val="none" w:sz="0" w:space="0" w:color="auto"/>
                <w:bottom w:val="none" w:sz="0" w:space="0" w:color="auto"/>
                <w:right w:val="none" w:sz="0" w:space="0" w:color="auto"/>
              </w:divBdr>
            </w:div>
            <w:div w:id="498351618">
              <w:marLeft w:val="0"/>
              <w:marRight w:val="0"/>
              <w:marTop w:val="0"/>
              <w:marBottom w:val="0"/>
              <w:divBdr>
                <w:top w:val="none" w:sz="0" w:space="0" w:color="auto"/>
                <w:left w:val="none" w:sz="0" w:space="0" w:color="auto"/>
                <w:bottom w:val="none" w:sz="0" w:space="0" w:color="auto"/>
                <w:right w:val="none" w:sz="0" w:space="0" w:color="auto"/>
              </w:divBdr>
            </w:div>
            <w:div w:id="1923753456">
              <w:marLeft w:val="0"/>
              <w:marRight w:val="0"/>
              <w:marTop w:val="0"/>
              <w:marBottom w:val="0"/>
              <w:divBdr>
                <w:top w:val="none" w:sz="0" w:space="0" w:color="auto"/>
                <w:left w:val="none" w:sz="0" w:space="0" w:color="auto"/>
                <w:bottom w:val="none" w:sz="0" w:space="0" w:color="auto"/>
                <w:right w:val="none" w:sz="0" w:space="0" w:color="auto"/>
              </w:divBdr>
            </w:div>
            <w:div w:id="1884707613">
              <w:marLeft w:val="0"/>
              <w:marRight w:val="0"/>
              <w:marTop w:val="0"/>
              <w:marBottom w:val="0"/>
              <w:divBdr>
                <w:top w:val="none" w:sz="0" w:space="0" w:color="auto"/>
                <w:left w:val="none" w:sz="0" w:space="0" w:color="auto"/>
                <w:bottom w:val="none" w:sz="0" w:space="0" w:color="auto"/>
                <w:right w:val="none" w:sz="0" w:space="0" w:color="auto"/>
              </w:divBdr>
            </w:div>
            <w:div w:id="164170823">
              <w:marLeft w:val="0"/>
              <w:marRight w:val="0"/>
              <w:marTop w:val="0"/>
              <w:marBottom w:val="0"/>
              <w:divBdr>
                <w:top w:val="none" w:sz="0" w:space="0" w:color="auto"/>
                <w:left w:val="none" w:sz="0" w:space="0" w:color="auto"/>
                <w:bottom w:val="none" w:sz="0" w:space="0" w:color="auto"/>
                <w:right w:val="none" w:sz="0" w:space="0" w:color="auto"/>
              </w:divBdr>
            </w:div>
            <w:div w:id="456337103">
              <w:marLeft w:val="0"/>
              <w:marRight w:val="0"/>
              <w:marTop w:val="0"/>
              <w:marBottom w:val="0"/>
              <w:divBdr>
                <w:top w:val="none" w:sz="0" w:space="0" w:color="auto"/>
                <w:left w:val="none" w:sz="0" w:space="0" w:color="auto"/>
                <w:bottom w:val="none" w:sz="0" w:space="0" w:color="auto"/>
                <w:right w:val="none" w:sz="0" w:space="0" w:color="auto"/>
              </w:divBdr>
            </w:div>
            <w:div w:id="1982923267">
              <w:marLeft w:val="0"/>
              <w:marRight w:val="0"/>
              <w:marTop w:val="0"/>
              <w:marBottom w:val="0"/>
              <w:divBdr>
                <w:top w:val="none" w:sz="0" w:space="0" w:color="auto"/>
                <w:left w:val="none" w:sz="0" w:space="0" w:color="auto"/>
                <w:bottom w:val="none" w:sz="0" w:space="0" w:color="auto"/>
                <w:right w:val="none" w:sz="0" w:space="0" w:color="auto"/>
              </w:divBdr>
            </w:div>
            <w:div w:id="1179811760">
              <w:marLeft w:val="0"/>
              <w:marRight w:val="0"/>
              <w:marTop w:val="0"/>
              <w:marBottom w:val="0"/>
              <w:divBdr>
                <w:top w:val="none" w:sz="0" w:space="0" w:color="auto"/>
                <w:left w:val="none" w:sz="0" w:space="0" w:color="auto"/>
                <w:bottom w:val="none" w:sz="0" w:space="0" w:color="auto"/>
                <w:right w:val="none" w:sz="0" w:space="0" w:color="auto"/>
              </w:divBdr>
            </w:div>
            <w:div w:id="1088036232">
              <w:marLeft w:val="0"/>
              <w:marRight w:val="0"/>
              <w:marTop w:val="0"/>
              <w:marBottom w:val="0"/>
              <w:divBdr>
                <w:top w:val="none" w:sz="0" w:space="0" w:color="auto"/>
                <w:left w:val="none" w:sz="0" w:space="0" w:color="auto"/>
                <w:bottom w:val="none" w:sz="0" w:space="0" w:color="auto"/>
                <w:right w:val="none" w:sz="0" w:space="0" w:color="auto"/>
              </w:divBdr>
            </w:div>
            <w:div w:id="1873495352">
              <w:marLeft w:val="0"/>
              <w:marRight w:val="0"/>
              <w:marTop w:val="0"/>
              <w:marBottom w:val="0"/>
              <w:divBdr>
                <w:top w:val="none" w:sz="0" w:space="0" w:color="auto"/>
                <w:left w:val="none" w:sz="0" w:space="0" w:color="auto"/>
                <w:bottom w:val="none" w:sz="0" w:space="0" w:color="auto"/>
                <w:right w:val="none" w:sz="0" w:space="0" w:color="auto"/>
              </w:divBdr>
            </w:div>
            <w:div w:id="186987473">
              <w:marLeft w:val="0"/>
              <w:marRight w:val="0"/>
              <w:marTop w:val="0"/>
              <w:marBottom w:val="0"/>
              <w:divBdr>
                <w:top w:val="none" w:sz="0" w:space="0" w:color="auto"/>
                <w:left w:val="none" w:sz="0" w:space="0" w:color="auto"/>
                <w:bottom w:val="none" w:sz="0" w:space="0" w:color="auto"/>
                <w:right w:val="none" w:sz="0" w:space="0" w:color="auto"/>
              </w:divBdr>
            </w:div>
            <w:div w:id="1595675009">
              <w:marLeft w:val="0"/>
              <w:marRight w:val="0"/>
              <w:marTop w:val="0"/>
              <w:marBottom w:val="0"/>
              <w:divBdr>
                <w:top w:val="none" w:sz="0" w:space="0" w:color="auto"/>
                <w:left w:val="none" w:sz="0" w:space="0" w:color="auto"/>
                <w:bottom w:val="none" w:sz="0" w:space="0" w:color="auto"/>
                <w:right w:val="none" w:sz="0" w:space="0" w:color="auto"/>
              </w:divBdr>
            </w:div>
            <w:div w:id="126514533">
              <w:marLeft w:val="0"/>
              <w:marRight w:val="0"/>
              <w:marTop w:val="0"/>
              <w:marBottom w:val="0"/>
              <w:divBdr>
                <w:top w:val="none" w:sz="0" w:space="0" w:color="auto"/>
                <w:left w:val="none" w:sz="0" w:space="0" w:color="auto"/>
                <w:bottom w:val="none" w:sz="0" w:space="0" w:color="auto"/>
                <w:right w:val="none" w:sz="0" w:space="0" w:color="auto"/>
              </w:divBdr>
            </w:div>
            <w:div w:id="1062291903">
              <w:marLeft w:val="0"/>
              <w:marRight w:val="0"/>
              <w:marTop w:val="0"/>
              <w:marBottom w:val="0"/>
              <w:divBdr>
                <w:top w:val="none" w:sz="0" w:space="0" w:color="auto"/>
                <w:left w:val="none" w:sz="0" w:space="0" w:color="auto"/>
                <w:bottom w:val="none" w:sz="0" w:space="0" w:color="auto"/>
                <w:right w:val="none" w:sz="0" w:space="0" w:color="auto"/>
              </w:divBdr>
            </w:div>
            <w:div w:id="1115826869">
              <w:marLeft w:val="0"/>
              <w:marRight w:val="0"/>
              <w:marTop w:val="0"/>
              <w:marBottom w:val="0"/>
              <w:divBdr>
                <w:top w:val="none" w:sz="0" w:space="0" w:color="auto"/>
                <w:left w:val="none" w:sz="0" w:space="0" w:color="auto"/>
                <w:bottom w:val="none" w:sz="0" w:space="0" w:color="auto"/>
                <w:right w:val="none" w:sz="0" w:space="0" w:color="auto"/>
              </w:divBdr>
            </w:div>
            <w:div w:id="2040013064">
              <w:marLeft w:val="0"/>
              <w:marRight w:val="0"/>
              <w:marTop w:val="0"/>
              <w:marBottom w:val="0"/>
              <w:divBdr>
                <w:top w:val="none" w:sz="0" w:space="0" w:color="auto"/>
                <w:left w:val="none" w:sz="0" w:space="0" w:color="auto"/>
                <w:bottom w:val="none" w:sz="0" w:space="0" w:color="auto"/>
                <w:right w:val="none" w:sz="0" w:space="0" w:color="auto"/>
              </w:divBdr>
            </w:div>
            <w:div w:id="1217275768">
              <w:marLeft w:val="0"/>
              <w:marRight w:val="0"/>
              <w:marTop w:val="0"/>
              <w:marBottom w:val="0"/>
              <w:divBdr>
                <w:top w:val="none" w:sz="0" w:space="0" w:color="auto"/>
                <w:left w:val="none" w:sz="0" w:space="0" w:color="auto"/>
                <w:bottom w:val="none" w:sz="0" w:space="0" w:color="auto"/>
                <w:right w:val="none" w:sz="0" w:space="0" w:color="auto"/>
              </w:divBdr>
            </w:div>
            <w:div w:id="1296175291">
              <w:marLeft w:val="0"/>
              <w:marRight w:val="0"/>
              <w:marTop w:val="0"/>
              <w:marBottom w:val="0"/>
              <w:divBdr>
                <w:top w:val="none" w:sz="0" w:space="0" w:color="auto"/>
                <w:left w:val="none" w:sz="0" w:space="0" w:color="auto"/>
                <w:bottom w:val="none" w:sz="0" w:space="0" w:color="auto"/>
                <w:right w:val="none" w:sz="0" w:space="0" w:color="auto"/>
              </w:divBdr>
            </w:div>
            <w:div w:id="1488401580">
              <w:marLeft w:val="0"/>
              <w:marRight w:val="0"/>
              <w:marTop w:val="0"/>
              <w:marBottom w:val="0"/>
              <w:divBdr>
                <w:top w:val="none" w:sz="0" w:space="0" w:color="auto"/>
                <w:left w:val="none" w:sz="0" w:space="0" w:color="auto"/>
                <w:bottom w:val="none" w:sz="0" w:space="0" w:color="auto"/>
                <w:right w:val="none" w:sz="0" w:space="0" w:color="auto"/>
              </w:divBdr>
            </w:div>
            <w:div w:id="1057780787">
              <w:marLeft w:val="0"/>
              <w:marRight w:val="0"/>
              <w:marTop w:val="0"/>
              <w:marBottom w:val="0"/>
              <w:divBdr>
                <w:top w:val="none" w:sz="0" w:space="0" w:color="auto"/>
                <w:left w:val="none" w:sz="0" w:space="0" w:color="auto"/>
                <w:bottom w:val="none" w:sz="0" w:space="0" w:color="auto"/>
                <w:right w:val="none" w:sz="0" w:space="0" w:color="auto"/>
              </w:divBdr>
            </w:div>
            <w:div w:id="1902866656">
              <w:marLeft w:val="0"/>
              <w:marRight w:val="0"/>
              <w:marTop w:val="0"/>
              <w:marBottom w:val="0"/>
              <w:divBdr>
                <w:top w:val="none" w:sz="0" w:space="0" w:color="auto"/>
                <w:left w:val="none" w:sz="0" w:space="0" w:color="auto"/>
                <w:bottom w:val="none" w:sz="0" w:space="0" w:color="auto"/>
                <w:right w:val="none" w:sz="0" w:space="0" w:color="auto"/>
              </w:divBdr>
            </w:div>
            <w:div w:id="1572739292">
              <w:marLeft w:val="0"/>
              <w:marRight w:val="0"/>
              <w:marTop w:val="0"/>
              <w:marBottom w:val="0"/>
              <w:divBdr>
                <w:top w:val="none" w:sz="0" w:space="0" w:color="auto"/>
                <w:left w:val="none" w:sz="0" w:space="0" w:color="auto"/>
                <w:bottom w:val="none" w:sz="0" w:space="0" w:color="auto"/>
                <w:right w:val="none" w:sz="0" w:space="0" w:color="auto"/>
              </w:divBdr>
            </w:div>
            <w:div w:id="1105267008">
              <w:marLeft w:val="0"/>
              <w:marRight w:val="0"/>
              <w:marTop w:val="0"/>
              <w:marBottom w:val="0"/>
              <w:divBdr>
                <w:top w:val="none" w:sz="0" w:space="0" w:color="auto"/>
                <w:left w:val="none" w:sz="0" w:space="0" w:color="auto"/>
                <w:bottom w:val="none" w:sz="0" w:space="0" w:color="auto"/>
                <w:right w:val="none" w:sz="0" w:space="0" w:color="auto"/>
              </w:divBdr>
            </w:div>
            <w:div w:id="1492722772">
              <w:marLeft w:val="0"/>
              <w:marRight w:val="0"/>
              <w:marTop w:val="0"/>
              <w:marBottom w:val="0"/>
              <w:divBdr>
                <w:top w:val="none" w:sz="0" w:space="0" w:color="auto"/>
                <w:left w:val="none" w:sz="0" w:space="0" w:color="auto"/>
                <w:bottom w:val="none" w:sz="0" w:space="0" w:color="auto"/>
                <w:right w:val="none" w:sz="0" w:space="0" w:color="auto"/>
              </w:divBdr>
            </w:div>
            <w:div w:id="973556597">
              <w:marLeft w:val="0"/>
              <w:marRight w:val="0"/>
              <w:marTop w:val="0"/>
              <w:marBottom w:val="0"/>
              <w:divBdr>
                <w:top w:val="none" w:sz="0" w:space="0" w:color="auto"/>
                <w:left w:val="none" w:sz="0" w:space="0" w:color="auto"/>
                <w:bottom w:val="none" w:sz="0" w:space="0" w:color="auto"/>
                <w:right w:val="none" w:sz="0" w:space="0" w:color="auto"/>
              </w:divBdr>
            </w:div>
            <w:div w:id="1990858870">
              <w:marLeft w:val="0"/>
              <w:marRight w:val="0"/>
              <w:marTop w:val="0"/>
              <w:marBottom w:val="0"/>
              <w:divBdr>
                <w:top w:val="none" w:sz="0" w:space="0" w:color="auto"/>
                <w:left w:val="none" w:sz="0" w:space="0" w:color="auto"/>
                <w:bottom w:val="none" w:sz="0" w:space="0" w:color="auto"/>
                <w:right w:val="none" w:sz="0" w:space="0" w:color="auto"/>
              </w:divBdr>
            </w:div>
            <w:div w:id="1774200244">
              <w:marLeft w:val="0"/>
              <w:marRight w:val="0"/>
              <w:marTop w:val="0"/>
              <w:marBottom w:val="0"/>
              <w:divBdr>
                <w:top w:val="none" w:sz="0" w:space="0" w:color="auto"/>
                <w:left w:val="none" w:sz="0" w:space="0" w:color="auto"/>
                <w:bottom w:val="none" w:sz="0" w:space="0" w:color="auto"/>
                <w:right w:val="none" w:sz="0" w:space="0" w:color="auto"/>
              </w:divBdr>
            </w:div>
            <w:div w:id="1859391892">
              <w:marLeft w:val="0"/>
              <w:marRight w:val="0"/>
              <w:marTop w:val="0"/>
              <w:marBottom w:val="0"/>
              <w:divBdr>
                <w:top w:val="none" w:sz="0" w:space="0" w:color="auto"/>
                <w:left w:val="none" w:sz="0" w:space="0" w:color="auto"/>
                <w:bottom w:val="none" w:sz="0" w:space="0" w:color="auto"/>
                <w:right w:val="none" w:sz="0" w:space="0" w:color="auto"/>
              </w:divBdr>
            </w:div>
            <w:div w:id="1958750989">
              <w:marLeft w:val="0"/>
              <w:marRight w:val="0"/>
              <w:marTop w:val="0"/>
              <w:marBottom w:val="0"/>
              <w:divBdr>
                <w:top w:val="none" w:sz="0" w:space="0" w:color="auto"/>
                <w:left w:val="none" w:sz="0" w:space="0" w:color="auto"/>
                <w:bottom w:val="none" w:sz="0" w:space="0" w:color="auto"/>
                <w:right w:val="none" w:sz="0" w:space="0" w:color="auto"/>
              </w:divBdr>
            </w:div>
            <w:div w:id="808210109">
              <w:marLeft w:val="0"/>
              <w:marRight w:val="0"/>
              <w:marTop w:val="0"/>
              <w:marBottom w:val="0"/>
              <w:divBdr>
                <w:top w:val="none" w:sz="0" w:space="0" w:color="auto"/>
                <w:left w:val="none" w:sz="0" w:space="0" w:color="auto"/>
                <w:bottom w:val="none" w:sz="0" w:space="0" w:color="auto"/>
                <w:right w:val="none" w:sz="0" w:space="0" w:color="auto"/>
              </w:divBdr>
            </w:div>
            <w:div w:id="1477455373">
              <w:marLeft w:val="0"/>
              <w:marRight w:val="0"/>
              <w:marTop w:val="0"/>
              <w:marBottom w:val="0"/>
              <w:divBdr>
                <w:top w:val="none" w:sz="0" w:space="0" w:color="auto"/>
                <w:left w:val="none" w:sz="0" w:space="0" w:color="auto"/>
                <w:bottom w:val="none" w:sz="0" w:space="0" w:color="auto"/>
                <w:right w:val="none" w:sz="0" w:space="0" w:color="auto"/>
              </w:divBdr>
            </w:div>
            <w:div w:id="1159080195">
              <w:marLeft w:val="0"/>
              <w:marRight w:val="0"/>
              <w:marTop w:val="0"/>
              <w:marBottom w:val="0"/>
              <w:divBdr>
                <w:top w:val="none" w:sz="0" w:space="0" w:color="auto"/>
                <w:left w:val="none" w:sz="0" w:space="0" w:color="auto"/>
                <w:bottom w:val="none" w:sz="0" w:space="0" w:color="auto"/>
                <w:right w:val="none" w:sz="0" w:space="0" w:color="auto"/>
              </w:divBdr>
            </w:div>
            <w:div w:id="1594046986">
              <w:marLeft w:val="0"/>
              <w:marRight w:val="0"/>
              <w:marTop w:val="0"/>
              <w:marBottom w:val="0"/>
              <w:divBdr>
                <w:top w:val="none" w:sz="0" w:space="0" w:color="auto"/>
                <w:left w:val="none" w:sz="0" w:space="0" w:color="auto"/>
                <w:bottom w:val="none" w:sz="0" w:space="0" w:color="auto"/>
                <w:right w:val="none" w:sz="0" w:space="0" w:color="auto"/>
              </w:divBdr>
            </w:div>
            <w:div w:id="477262199">
              <w:marLeft w:val="0"/>
              <w:marRight w:val="0"/>
              <w:marTop w:val="0"/>
              <w:marBottom w:val="0"/>
              <w:divBdr>
                <w:top w:val="none" w:sz="0" w:space="0" w:color="auto"/>
                <w:left w:val="none" w:sz="0" w:space="0" w:color="auto"/>
                <w:bottom w:val="none" w:sz="0" w:space="0" w:color="auto"/>
                <w:right w:val="none" w:sz="0" w:space="0" w:color="auto"/>
              </w:divBdr>
            </w:div>
            <w:div w:id="38404476">
              <w:marLeft w:val="0"/>
              <w:marRight w:val="0"/>
              <w:marTop w:val="0"/>
              <w:marBottom w:val="0"/>
              <w:divBdr>
                <w:top w:val="none" w:sz="0" w:space="0" w:color="auto"/>
                <w:left w:val="none" w:sz="0" w:space="0" w:color="auto"/>
                <w:bottom w:val="none" w:sz="0" w:space="0" w:color="auto"/>
                <w:right w:val="none" w:sz="0" w:space="0" w:color="auto"/>
              </w:divBdr>
            </w:div>
            <w:div w:id="1831483446">
              <w:marLeft w:val="0"/>
              <w:marRight w:val="0"/>
              <w:marTop w:val="0"/>
              <w:marBottom w:val="0"/>
              <w:divBdr>
                <w:top w:val="none" w:sz="0" w:space="0" w:color="auto"/>
                <w:left w:val="none" w:sz="0" w:space="0" w:color="auto"/>
                <w:bottom w:val="none" w:sz="0" w:space="0" w:color="auto"/>
                <w:right w:val="none" w:sz="0" w:space="0" w:color="auto"/>
              </w:divBdr>
            </w:div>
            <w:div w:id="2023511792">
              <w:marLeft w:val="0"/>
              <w:marRight w:val="0"/>
              <w:marTop w:val="0"/>
              <w:marBottom w:val="0"/>
              <w:divBdr>
                <w:top w:val="none" w:sz="0" w:space="0" w:color="auto"/>
                <w:left w:val="none" w:sz="0" w:space="0" w:color="auto"/>
                <w:bottom w:val="none" w:sz="0" w:space="0" w:color="auto"/>
                <w:right w:val="none" w:sz="0" w:space="0" w:color="auto"/>
              </w:divBdr>
            </w:div>
            <w:div w:id="1259368594">
              <w:marLeft w:val="0"/>
              <w:marRight w:val="0"/>
              <w:marTop w:val="0"/>
              <w:marBottom w:val="0"/>
              <w:divBdr>
                <w:top w:val="none" w:sz="0" w:space="0" w:color="auto"/>
                <w:left w:val="none" w:sz="0" w:space="0" w:color="auto"/>
                <w:bottom w:val="none" w:sz="0" w:space="0" w:color="auto"/>
                <w:right w:val="none" w:sz="0" w:space="0" w:color="auto"/>
              </w:divBdr>
            </w:div>
            <w:div w:id="1296520929">
              <w:marLeft w:val="0"/>
              <w:marRight w:val="0"/>
              <w:marTop w:val="0"/>
              <w:marBottom w:val="0"/>
              <w:divBdr>
                <w:top w:val="none" w:sz="0" w:space="0" w:color="auto"/>
                <w:left w:val="none" w:sz="0" w:space="0" w:color="auto"/>
                <w:bottom w:val="none" w:sz="0" w:space="0" w:color="auto"/>
                <w:right w:val="none" w:sz="0" w:space="0" w:color="auto"/>
              </w:divBdr>
            </w:div>
            <w:div w:id="545915142">
              <w:marLeft w:val="0"/>
              <w:marRight w:val="0"/>
              <w:marTop w:val="0"/>
              <w:marBottom w:val="0"/>
              <w:divBdr>
                <w:top w:val="none" w:sz="0" w:space="0" w:color="auto"/>
                <w:left w:val="none" w:sz="0" w:space="0" w:color="auto"/>
                <w:bottom w:val="none" w:sz="0" w:space="0" w:color="auto"/>
                <w:right w:val="none" w:sz="0" w:space="0" w:color="auto"/>
              </w:divBdr>
            </w:div>
            <w:div w:id="1389258123">
              <w:marLeft w:val="0"/>
              <w:marRight w:val="0"/>
              <w:marTop w:val="0"/>
              <w:marBottom w:val="0"/>
              <w:divBdr>
                <w:top w:val="none" w:sz="0" w:space="0" w:color="auto"/>
                <w:left w:val="none" w:sz="0" w:space="0" w:color="auto"/>
                <w:bottom w:val="none" w:sz="0" w:space="0" w:color="auto"/>
                <w:right w:val="none" w:sz="0" w:space="0" w:color="auto"/>
              </w:divBdr>
            </w:div>
            <w:div w:id="1035010266">
              <w:marLeft w:val="0"/>
              <w:marRight w:val="0"/>
              <w:marTop w:val="0"/>
              <w:marBottom w:val="0"/>
              <w:divBdr>
                <w:top w:val="none" w:sz="0" w:space="0" w:color="auto"/>
                <w:left w:val="none" w:sz="0" w:space="0" w:color="auto"/>
                <w:bottom w:val="none" w:sz="0" w:space="0" w:color="auto"/>
                <w:right w:val="none" w:sz="0" w:space="0" w:color="auto"/>
              </w:divBdr>
            </w:div>
            <w:div w:id="702175349">
              <w:marLeft w:val="0"/>
              <w:marRight w:val="0"/>
              <w:marTop w:val="0"/>
              <w:marBottom w:val="0"/>
              <w:divBdr>
                <w:top w:val="none" w:sz="0" w:space="0" w:color="auto"/>
                <w:left w:val="none" w:sz="0" w:space="0" w:color="auto"/>
                <w:bottom w:val="none" w:sz="0" w:space="0" w:color="auto"/>
                <w:right w:val="none" w:sz="0" w:space="0" w:color="auto"/>
              </w:divBdr>
            </w:div>
            <w:div w:id="680276527">
              <w:marLeft w:val="0"/>
              <w:marRight w:val="0"/>
              <w:marTop w:val="0"/>
              <w:marBottom w:val="0"/>
              <w:divBdr>
                <w:top w:val="none" w:sz="0" w:space="0" w:color="auto"/>
                <w:left w:val="none" w:sz="0" w:space="0" w:color="auto"/>
                <w:bottom w:val="none" w:sz="0" w:space="0" w:color="auto"/>
                <w:right w:val="none" w:sz="0" w:space="0" w:color="auto"/>
              </w:divBdr>
            </w:div>
            <w:div w:id="1088768331">
              <w:marLeft w:val="0"/>
              <w:marRight w:val="0"/>
              <w:marTop w:val="0"/>
              <w:marBottom w:val="0"/>
              <w:divBdr>
                <w:top w:val="none" w:sz="0" w:space="0" w:color="auto"/>
                <w:left w:val="none" w:sz="0" w:space="0" w:color="auto"/>
                <w:bottom w:val="none" w:sz="0" w:space="0" w:color="auto"/>
                <w:right w:val="none" w:sz="0" w:space="0" w:color="auto"/>
              </w:divBdr>
            </w:div>
            <w:div w:id="1862207859">
              <w:marLeft w:val="0"/>
              <w:marRight w:val="0"/>
              <w:marTop w:val="0"/>
              <w:marBottom w:val="0"/>
              <w:divBdr>
                <w:top w:val="none" w:sz="0" w:space="0" w:color="auto"/>
                <w:left w:val="none" w:sz="0" w:space="0" w:color="auto"/>
                <w:bottom w:val="none" w:sz="0" w:space="0" w:color="auto"/>
                <w:right w:val="none" w:sz="0" w:space="0" w:color="auto"/>
              </w:divBdr>
            </w:div>
            <w:div w:id="93284290">
              <w:marLeft w:val="0"/>
              <w:marRight w:val="0"/>
              <w:marTop w:val="0"/>
              <w:marBottom w:val="0"/>
              <w:divBdr>
                <w:top w:val="none" w:sz="0" w:space="0" w:color="auto"/>
                <w:left w:val="none" w:sz="0" w:space="0" w:color="auto"/>
                <w:bottom w:val="none" w:sz="0" w:space="0" w:color="auto"/>
                <w:right w:val="none" w:sz="0" w:space="0" w:color="auto"/>
              </w:divBdr>
            </w:div>
            <w:div w:id="342781162">
              <w:marLeft w:val="0"/>
              <w:marRight w:val="0"/>
              <w:marTop w:val="0"/>
              <w:marBottom w:val="0"/>
              <w:divBdr>
                <w:top w:val="none" w:sz="0" w:space="0" w:color="auto"/>
                <w:left w:val="none" w:sz="0" w:space="0" w:color="auto"/>
                <w:bottom w:val="none" w:sz="0" w:space="0" w:color="auto"/>
                <w:right w:val="none" w:sz="0" w:space="0" w:color="auto"/>
              </w:divBdr>
            </w:div>
            <w:div w:id="1827165732">
              <w:marLeft w:val="0"/>
              <w:marRight w:val="0"/>
              <w:marTop w:val="0"/>
              <w:marBottom w:val="0"/>
              <w:divBdr>
                <w:top w:val="none" w:sz="0" w:space="0" w:color="auto"/>
                <w:left w:val="none" w:sz="0" w:space="0" w:color="auto"/>
                <w:bottom w:val="none" w:sz="0" w:space="0" w:color="auto"/>
                <w:right w:val="none" w:sz="0" w:space="0" w:color="auto"/>
              </w:divBdr>
            </w:div>
            <w:div w:id="1368676229">
              <w:marLeft w:val="0"/>
              <w:marRight w:val="0"/>
              <w:marTop w:val="0"/>
              <w:marBottom w:val="0"/>
              <w:divBdr>
                <w:top w:val="none" w:sz="0" w:space="0" w:color="auto"/>
                <w:left w:val="none" w:sz="0" w:space="0" w:color="auto"/>
                <w:bottom w:val="none" w:sz="0" w:space="0" w:color="auto"/>
                <w:right w:val="none" w:sz="0" w:space="0" w:color="auto"/>
              </w:divBdr>
            </w:div>
            <w:div w:id="523791333">
              <w:marLeft w:val="0"/>
              <w:marRight w:val="0"/>
              <w:marTop w:val="0"/>
              <w:marBottom w:val="0"/>
              <w:divBdr>
                <w:top w:val="none" w:sz="0" w:space="0" w:color="auto"/>
                <w:left w:val="none" w:sz="0" w:space="0" w:color="auto"/>
                <w:bottom w:val="none" w:sz="0" w:space="0" w:color="auto"/>
                <w:right w:val="none" w:sz="0" w:space="0" w:color="auto"/>
              </w:divBdr>
            </w:div>
            <w:div w:id="11706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574">
      <w:bodyDiv w:val="1"/>
      <w:marLeft w:val="0"/>
      <w:marRight w:val="0"/>
      <w:marTop w:val="0"/>
      <w:marBottom w:val="0"/>
      <w:divBdr>
        <w:top w:val="none" w:sz="0" w:space="0" w:color="auto"/>
        <w:left w:val="none" w:sz="0" w:space="0" w:color="auto"/>
        <w:bottom w:val="none" w:sz="0" w:space="0" w:color="auto"/>
        <w:right w:val="none" w:sz="0" w:space="0" w:color="auto"/>
      </w:divBdr>
    </w:div>
    <w:div w:id="999699818">
      <w:bodyDiv w:val="1"/>
      <w:marLeft w:val="0"/>
      <w:marRight w:val="0"/>
      <w:marTop w:val="0"/>
      <w:marBottom w:val="0"/>
      <w:divBdr>
        <w:top w:val="none" w:sz="0" w:space="0" w:color="auto"/>
        <w:left w:val="none" w:sz="0" w:space="0" w:color="auto"/>
        <w:bottom w:val="none" w:sz="0" w:space="0" w:color="auto"/>
        <w:right w:val="none" w:sz="0" w:space="0" w:color="auto"/>
      </w:divBdr>
      <w:divsChild>
        <w:div w:id="640770323">
          <w:marLeft w:val="0"/>
          <w:marRight w:val="0"/>
          <w:marTop w:val="0"/>
          <w:marBottom w:val="0"/>
          <w:divBdr>
            <w:top w:val="none" w:sz="0" w:space="0" w:color="auto"/>
            <w:left w:val="none" w:sz="0" w:space="0" w:color="auto"/>
            <w:bottom w:val="none" w:sz="0" w:space="0" w:color="auto"/>
            <w:right w:val="none" w:sz="0" w:space="0" w:color="auto"/>
          </w:divBdr>
          <w:divsChild>
            <w:div w:id="200974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438045">
      <w:bodyDiv w:val="1"/>
      <w:marLeft w:val="0"/>
      <w:marRight w:val="0"/>
      <w:marTop w:val="0"/>
      <w:marBottom w:val="0"/>
      <w:divBdr>
        <w:top w:val="none" w:sz="0" w:space="0" w:color="auto"/>
        <w:left w:val="none" w:sz="0" w:space="0" w:color="auto"/>
        <w:bottom w:val="none" w:sz="0" w:space="0" w:color="auto"/>
        <w:right w:val="none" w:sz="0" w:space="0" w:color="auto"/>
      </w:divBdr>
      <w:divsChild>
        <w:div w:id="129179338">
          <w:marLeft w:val="0"/>
          <w:marRight w:val="0"/>
          <w:marTop w:val="0"/>
          <w:marBottom w:val="0"/>
          <w:divBdr>
            <w:top w:val="none" w:sz="0" w:space="0" w:color="auto"/>
            <w:left w:val="none" w:sz="0" w:space="0" w:color="auto"/>
            <w:bottom w:val="none" w:sz="0" w:space="0" w:color="auto"/>
            <w:right w:val="none" w:sz="0" w:space="0" w:color="auto"/>
          </w:divBdr>
          <w:divsChild>
            <w:div w:id="88089383">
              <w:marLeft w:val="0"/>
              <w:marRight w:val="0"/>
              <w:marTop w:val="0"/>
              <w:marBottom w:val="0"/>
              <w:divBdr>
                <w:top w:val="none" w:sz="0" w:space="0" w:color="auto"/>
                <w:left w:val="none" w:sz="0" w:space="0" w:color="auto"/>
                <w:bottom w:val="none" w:sz="0" w:space="0" w:color="auto"/>
                <w:right w:val="none" w:sz="0" w:space="0" w:color="auto"/>
              </w:divBdr>
            </w:div>
            <w:div w:id="72741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88830">
      <w:bodyDiv w:val="1"/>
      <w:marLeft w:val="0"/>
      <w:marRight w:val="0"/>
      <w:marTop w:val="0"/>
      <w:marBottom w:val="0"/>
      <w:divBdr>
        <w:top w:val="none" w:sz="0" w:space="0" w:color="auto"/>
        <w:left w:val="none" w:sz="0" w:space="0" w:color="auto"/>
        <w:bottom w:val="none" w:sz="0" w:space="0" w:color="auto"/>
        <w:right w:val="none" w:sz="0" w:space="0" w:color="auto"/>
      </w:divBdr>
    </w:div>
    <w:div w:id="1379236421">
      <w:bodyDiv w:val="1"/>
      <w:marLeft w:val="0"/>
      <w:marRight w:val="0"/>
      <w:marTop w:val="0"/>
      <w:marBottom w:val="0"/>
      <w:divBdr>
        <w:top w:val="none" w:sz="0" w:space="0" w:color="auto"/>
        <w:left w:val="none" w:sz="0" w:space="0" w:color="auto"/>
        <w:bottom w:val="none" w:sz="0" w:space="0" w:color="auto"/>
        <w:right w:val="none" w:sz="0" w:space="0" w:color="auto"/>
      </w:divBdr>
      <w:divsChild>
        <w:div w:id="993072809">
          <w:marLeft w:val="0"/>
          <w:marRight w:val="0"/>
          <w:marTop w:val="0"/>
          <w:marBottom w:val="0"/>
          <w:divBdr>
            <w:top w:val="none" w:sz="0" w:space="0" w:color="auto"/>
            <w:left w:val="none" w:sz="0" w:space="0" w:color="auto"/>
            <w:bottom w:val="none" w:sz="0" w:space="0" w:color="auto"/>
            <w:right w:val="none" w:sz="0" w:space="0" w:color="auto"/>
          </w:divBdr>
          <w:divsChild>
            <w:div w:id="24569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67127">
      <w:bodyDiv w:val="1"/>
      <w:marLeft w:val="0"/>
      <w:marRight w:val="0"/>
      <w:marTop w:val="0"/>
      <w:marBottom w:val="0"/>
      <w:divBdr>
        <w:top w:val="none" w:sz="0" w:space="0" w:color="auto"/>
        <w:left w:val="none" w:sz="0" w:space="0" w:color="auto"/>
        <w:bottom w:val="none" w:sz="0" w:space="0" w:color="auto"/>
        <w:right w:val="none" w:sz="0" w:space="0" w:color="auto"/>
      </w:divBdr>
      <w:divsChild>
        <w:div w:id="1419594663">
          <w:marLeft w:val="0"/>
          <w:marRight w:val="0"/>
          <w:marTop w:val="0"/>
          <w:marBottom w:val="0"/>
          <w:divBdr>
            <w:top w:val="none" w:sz="0" w:space="0" w:color="auto"/>
            <w:left w:val="none" w:sz="0" w:space="0" w:color="auto"/>
            <w:bottom w:val="none" w:sz="0" w:space="0" w:color="auto"/>
            <w:right w:val="none" w:sz="0" w:space="0" w:color="auto"/>
          </w:divBdr>
          <w:divsChild>
            <w:div w:id="156582087">
              <w:marLeft w:val="0"/>
              <w:marRight w:val="0"/>
              <w:marTop w:val="0"/>
              <w:marBottom w:val="0"/>
              <w:divBdr>
                <w:top w:val="none" w:sz="0" w:space="0" w:color="auto"/>
                <w:left w:val="none" w:sz="0" w:space="0" w:color="auto"/>
                <w:bottom w:val="none" w:sz="0" w:space="0" w:color="auto"/>
                <w:right w:val="none" w:sz="0" w:space="0" w:color="auto"/>
              </w:divBdr>
            </w:div>
            <w:div w:id="5968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0818">
      <w:bodyDiv w:val="1"/>
      <w:marLeft w:val="0"/>
      <w:marRight w:val="0"/>
      <w:marTop w:val="0"/>
      <w:marBottom w:val="0"/>
      <w:divBdr>
        <w:top w:val="none" w:sz="0" w:space="0" w:color="auto"/>
        <w:left w:val="none" w:sz="0" w:space="0" w:color="auto"/>
        <w:bottom w:val="none" w:sz="0" w:space="0" w:color="auto"/>
        <w:right w:val="none" w:sz="0" w:space="0" w:color="auto"/>
      </w:divBdr>
      <w:divsChild>
        <w:div w:id="300308815">
          <w:marLeft w:val="0"/>
          <w:marRight w:val="0"/>
          <w:marTop w:val="0"/>
          <w:marBottom w:val="0"/>
          <w:divBdr>
            <w:top w:val="none" w:sz="0" w:space="0" w:color="auto"/>
            <w:left w:val="none" w:sz="0" w:space="0" w:color="auto"/>
            <w:bottom w:val="none" w:sz="0" w:space="0" w:color="auto"/>
            <w:right w:val="none" w:sz="0" w:space="0" w:color="auto"/>
          </w:divBdr>
          <w:divsChild>
            <w:div w:id="4107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23423">
      <w:bodyDiv w:val="1"/>
      <w:marLeft w:val="0"/>
      <w:marRight w:val="0"/>
      <w:marTop w:val="0"/>
      <w:marBottom w:val="0"/>
      <w:divBdr>
        <w:top w:val="none" w:sz="0" w:space="0" w:color="auto"/>
        <w:left w:val="none" w:sz="0" w:space="0" w:color="auto"/>
        <w:bottom w:val="none" w:sz="0" w:space="0" w:color="auto"/>
        <w:right w:val="none" w:sz="0" w:space="0" w:color="auto"/>
      </w:divBdr>
      <w:divsChild>
        <w:div w:id="1238129362">
          <w:marLeft w:val="0"/>
          <w:marRight w:val="0"/>
          <w:marTop w:val="0"/>
          <w:marBottom w:val="0"/>
          <w:divBdr>
            <w:top w:val="none" w:sz="0" w:space="0" w:color="auto"/>
            <w:left w:val="none" w:sz="0" w:space="0" w:color="auto"/>
            <w:bottom w:val="none" w:sz="0" w:space="0" w:color="auto"/>
            <w:right w:val="none" w:sz="0" w:space="0" w:color="auto"/>
          </w:divBdr>
          <w:divsChild>
            <w:div w:id="18029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3318">
      <w:bodyDiv w:val="1"/>
      <w:marLeft w:val="0"/>
      <w:marRight w:val="0"/>
      <w:marTop w:val="0"/>
      <w:marBottom w:val="0"/>
      <w:divBdr>
        <w:top w:val="none" w:sz="0" w:space="0" w:color="auto"/>
        <w:left w:val="none" w:sz="0" w:space="0" w:color="auto"/>
        <w:bottom w:val="none" w:sz="0" w:space="0" w:color="auto"/>
        <w:right w:val="none" w:sz="0" w:space="0" w:color="auto"/>
      </w:divBdr>
      <w:divsChild>
        <w:div w:id="99490070">
          <w:marLeft w:val="0"/>
          <w:marRight w:val="0"/>
          <w:marTop w:val="0"/>
          <w:marBottom w:val="0"/>
          <w:divBdr>
            <w:top w:val="none" w:sz="0" w:space="0" w:color="auto"/>
            <w:left w:val="none" w:sz="0" w:space="0" w:color="auto"/>
            <w:bottom w:val="none" w:sz="0" w:space="0" w:color="auto"/>
            <w:right w:val="none" w:sz="0" w:space="0" w:color="auto"/>
          </w:divBdr>
          <w:divsChild>
            <w:div w:id="167067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0047">
      <w:bodyDiv w:val="1"/>
      <w:marLeft w:val="0"/>
      <w:marRight w:val="0"/>
      <w:marTop w:val="0"/>
      <w:marBottom w:val="0"/>
      <w:divBdr>
        <w:top w:val="none" w:sz="0" w:space="0" w:color="auto"/>
        <w:left w:val="none" w:sz="0" w:space="0" w:color="auto"/>
        <w:bottom w:val="none" w:sz="0" w:space="0" w:color="auto"/>
        <w:right w:val="none" w:sz="0" w:space="0" w:color="auto"/>
      </w:divBdr>
      <w:divsChild>
        <w:div w:id="1100876690">
          <w:marLeft w:val="0"/>
          <w:marRight w:val="0"/>
          <w:marTop w:val="0"/>
          <w:marBottom w:val="0"/>
          <w:divBdr>
            <w:top w:val="none" w:sz="0" w:space="0" w:color="auto"/>
            <w:left w:val="none" w:sz="0" w:space="0" w:color="auto"/>
            <w:bottom w:val="none" w:sz="0" w:space="0" w:color="auto"/>
            <w:right w:val="none" w:sz="0" w:space="0" w:color="auto"/>
          </w:divBdr>
          <w:divsChild>
            <w:div w:id="536427982">
              <w:marLeft w:val="0"/>
              <w:marRight w:val="0"/>
              <w:marTop w:val="0"/>
              <w:marBottom w:val="0"/>
              <w:divBdr>
                <w:top w:val="none" w:sz="0" w:space="0" w:color="auto"/>
                <w:left w:val="none" w:sz="0" w:space="0" w:color="auto"/>
                <w:bottom w:val="none" w:sz="0" w:space="0" w:color="auto"/>
                <w:right w:val="none" w:sz="0" w:space="0" w:color="auto"/>
              </w:divBdr>
            </w:div>
            <w:div w:id="405689204">
              <w:marLeft w:val="0"/>
              <w:marRight w:val="0"/>
              <w:marTop w:val="0"/>
              <w:marBottom w:val="0"/>
              <w:divBdr>
                <w:top w:val="none" w:sz="0" w:space="0" w:color="auto"/>
                <w:left w:val="none" w:sz="0" w:space="0" w:color="auto"/>
                <w:bottom w:val="none" w:sz="0" w:space="0" w:color="auto"/>
                <w:right w:val="none" w:sz="0" w:space="0" w:color="auto"/>
              </w:divBdr>
            </w:div>
            <w:div w:id="652300831">
              <w:marLeft w:val="0"/>
              <w:marRight w:val="0"/>
              <w:marTop w:val="0"/>
              <w:marBottom w:val="0"/>
              <w:divBdr>
                <w:top w:val="none" w:sz="0" w:space="0" w:color="auto"/>
                <w:left w:val="none" w:sz="0" w:space="0" w:color="auto"/>
                <w:bottom w:val="none" w:sz="0" w:space="0" w:color="auto"/>
                <w:right w:val="none" w:sz="0" w:space="0" w:color="auto"/>
              </w:divBdr>
            </w:div>
            <w:div w:id="435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80342">
      <w:bodyDiv w:val="1"/>
      <w:marLeft w:val="0"/>
      <w:marRight w:val="0"/>
      <w:marTop w:val="0"/>
      <w:marBottom w:val="0"/>
      <w:divBdr>
        <w:top w:val="none" w:sz="0" w:space="0" w:color="auto"/>
        <w:left w:val="none" w:sz="0" w:space="0" w:color="auto"/>
        <w:bottom w:val="none" w:sz="0" w:space="0" w:color="auto"/>
        <w:right w:val="none" w:sz="0" w:space="0" w:color="auto"/>
      </w:divBdr>
      <w:divsChild>
        <w:div w:id="1787655032">
          <w:marLeft w:val="0"/>
          <w:marRight w:val="0"/>
          <w:marTop w:val="0"/>
          <w:marBottom w:val="0"/>
          <w:divBdr>
            <w:top w:val="none" w:sz="0" w:space="0" w:color="auto"/>
            <w:left w:val="none" w:sz="0" w:space="0" w:color="auto"/>
            <w:bottom w:val="none" w:sz="0" w:space="0" w:color="auto"/>
            <w:right w:val="none" w:sz="0" w:space="0" w:color="auto"/>
          </w:divBdr>
          <w:divsChild>
            <w:div w:id="14995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20675">
      <w:bodyDiv w:val="1"/>
      <w:marLeft w:val="0"/>
      <w:marRight w:val="0"/>
      <w:marTop w:val="0"/>
      <w:marBottom w:val="0"/>
      <w:divBdr>
        <w:top w:val="none" w:sz="0" w:space="0" w:color="auto"/>
        <w:left w:val="none" w:sz="0" w:space="0" w:color="auto"/>
        <w:bottom w:val="none" w:sz="0" w:space="0" w:color="auto"/>
        <w:right w:val="none" w:sz="0" w:space="0" w:color="auto"/>
      </w:divBdr>
      <w:divsChild>
        <w:div w:id="917639321">
          <w:marLeft w:val="547"/>
          <w:marRight w:val="0"/>
          <w:marTop w:val="0"/>
          <w:marBottom w:val="160"/>
          <w:divBdr>
            <w:top w:val="none" w:sz="0" w:space="0" w:color="auto"/>
            <w:left w:val="none" w:sz="0" w:space="0" w:color="auto"/>
            <w:bottom w:val="none" w:sz="0" w:space="0" w:color="auto"/>
            <w:right w:val="none" w:sz="0" w:space="0" w:color="auto"/>
          </w:divBdr>
        </w:div>
      </w:divsChild>
    </w:div>
    <w:div w:id="1920601810">
      <w:bodyDiv w:val="1"/>
      <w:marLeft w:val="0"/>
      <w:marRight w:val="0"/>
      <w:marTop w:val="0"/>
      <w:marBottom w:val="0"/>
      <w:divBdr>
        <w:top w:val="none" w:sz="0" w:space="0" w:color="auto"/>
        <w:left w:val="none" w:sz="0" w:space="0" w:color="auto"/>
        <w:bottom w:val="none" w:sz="0" w:space="0" w:color="auto"/>
        <w:right w:val="none" w:sz="0" w:space="0" w:color="auto"/>
      </w:divBdr>
      <w:divsChild>
        <w:div w:id="1381514027">
          <w:marLeft w:val="0"/>
          <w:marRight w:val="0"/>
          <w:marTop w:val="0"/>
          <w:marBottom w:val="0"/>
          <w:divBdr>
            <w:top w:val="none" w:sz="0" w:space="0" w:color="auto"/>
            <w:left w:val="none" w:sz="0" w:space="0" w:color="auto"/>
            <w:bottom w:val="none" w:sz="0" w:space="0" w:color="auto"/>
            <w:right w:val="none" w:sz="0" w:space="0" w:color="auto"/>
          </w:divBdr>
          <w:divsChild>
            <w:div w:id="25159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15184">
      <w:bodyDiv w:val="1"/>
      <w:marLeft w:val="0"/>
      <w:marRight w:val="0"/>
      <w:marTop w:val="0"/>
      <w:marBottom w:val="0"/>
      <w:divBdr>
        <w:top w:val="none" w:sz="0" w:space="0" w:color="auto"/>
        <w:left w:val="none" w:sz="0" w:space="0" w:color="auto"/>
        <w:bottom w:val="none" w:sz="0" w:space="0" w:color="auto"/>
        <w:right w:val="none" w:sz="0" w:space="0" w:color="auto"/>
      </w:divBdr>
    </w:div>
    <w:div w:id="1957784467">
      <w:bodyDiv w:val="1"/>
      <w:marLeft w:val="0"/>
      <w:marRight w:val="0"/>
      <w:marTop w:val="0"/>
      <w:marBottom w:val="0"/>
      <w:divBdr>
        <w:top w:val="none" w:sz="0" w:space="0" w:color="auto"/>
        <w:left w:val="none" w:sz="0" w:space="0" w:color="auto"/>
        <w:bottom w:val="none" w:sz="0" w:space="0" w:color="auto"/>
        <w:right w:val="none" w:sz="0" w:space="0" w:color="auto"/>
      </w:divBdr>
    </w:div>
    <w:div w:id="207272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Img101" Type="http://schemas.openxmlformats.org/officeDocument/2006/relationships/image" Target="media/diagram1.png"/><Relationship Id="rIdImg102" Type="http://schemas.openxmlformats.org/officeDocument/2006/relationships/image" Target="media/diagram2.png"/><Relationship Id="rIdImg103" Type="http://schemas.openxmlformats.org/officeDocument/2006/relationships/image" Target="media/diagram3.png"/></Relationships>
</file>

<file path=word/_rels/footer1.xml.rels><?xml version="1.0" encoding="UTF-8" standalone="yes"?>
<Relationships xmlns="http://schemas.openxmlformats.org/package/2006/relationships"><Relationship Id="rId3" Type="http://schemas.openxmlformats.org/officeDocument/2006/relationships/image" Target="media/image8.emf"/><Relationship Id="rId2" Type="http://schemas.openxmlformats.org/officeDocument/2006/relationships/image" Target="media/image7.tiff"/><Relationship Id="rId1" Type="http://schemas.openxmlformats.org/officeDocument/2006/relationships/image" Target="media/image6.tiff"/></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emf"/></Relationships>
</file>

<file path=word/theme/theme1.xml><?xml version="1.0" encoding="utf-8"?>
<a:theme xmlns:a="http://schemas.openxmlformats.org/drawingml/2006/main" name="Bancolombia">
  <a:themeElements>
    <a:clrScheme name="Bancolombia">
      <a:dk1>
        <a:srgbClr val="2C2A28"/>
      </a:dk1>
      <a:lt1>
        <a:srgbClr val="FEFFFE"/>
      </a:lt1>
      <a:dk2>
        <a:srgbClr val="2C2A28"/>
      </a:dk2>
      <a:lt2>
        <a:srgbClr val="FFFFFF"/>
      </a:lt2>
      <a:accent1>
        <a:srgbClr val="FF7E41"/>
      </a:accent1>
      <a:accent2>
        <a:srgbClr val="8F62CC"/>
      </a:accent2>
      <a:accent3>
        <a:srgbClr val="00CBE9"/>
      </a:accent3>
      <a:accent4>
        <a:srgbClr val="F5B6CD"/>
      </a:accent4>
      <a:accent5>
        <a:srgbClr val="FAD724"/>
      </a:accent5>
      <a:accent6>
        <a:srgbClr val="0BA783"/>
      </a:accent6>
      <a:hlink>
        <a:srgbClr val="0563C1"/>
      </a:hlink>
      <a:folHlink>
        <a:srgbClr val="954F72"/>
      </a:folHlink>
    </a:clrScheme>
    <a:fontScheme name="Bancolombia">
      <a:majorFont>
        <a:latin typeface="CIBFont Sans"/>
        <a:ea typeface=""/>
        <a:cs typeface=""/>
      </a:majorFont>
      <a:minorFont>
        <a:latin typeface="CIBFon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ncolombia" id="{DF0FA41A-C05D-477F-BA8C-4B505CE8EEEB}" vid="{E10B6C06-E184-4520-95E3-9A8D19AD53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4</_ip_UnifiedCompliancePolicyUIAction>
    <_ip_UnifiedCompliancePolicyProperties xmlns="http://schemas.microsoft.com/sharepoint/v3" xsi:nil="true"/>
    <lcf76f155ced4ddcb4097134ff3c332f xmlns="2ee68f31-3766-4aa9-885d-8598185b8f85">
      <Terms xmlns="http://schemas.microsoft.com/office/infopath/2007/PartnerControls"/>
    </lcf76f155ced4ddcb4097134ff3c332f>
    <TaxCatchAll xmlns="1f633c6c-d694-4232-b2a0-9d5d1d4aff1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92CAAC3AB1BF845AB4AF4DE5A4E11F4" ma:contentTypeVersion="16" ma:contentTypeDescription="Crear nuevo documento." ma:contentTypeScope="" ma:versionID="71af9588ef979de06f9281d156da8c06">
  <xsd:schema xmlns:xsd="http://www.w3.org/2001/XMLSchema" xmlns:xs="http://www.w3.org/2001/XMLSchema" xmlns:p="http://schemas.microsoft.com/office/2006/metadata/properties" xmlns:ns1="http://schemas.microsoft.com/sharepoint/v3" xmlns:ns2="2ee68f31-3766-4aa9-885d-8598185b8f85" xmlns:ns3="1f633c6c-d694-4232-b2a0-9d5d1d4aff10" targetNamespace="http://schemas.microsoft.com/office/2006/metadata/properties" ma:root="true" ma:fieldsID="805fe3a11288535552ef964fdf374392" ns1:_="" ns2:_="" ns3:_="">
    <xsd:import namespace="http://schemas.microsoft.com/sharepoint/v3"/>
    <xsd:import namespace="2ee68f31-3766-4aa9-885d-8598185b8f85"/>
    <xsd:import namespace="1f633c6c-d694-4232-b2a0-9d5d1d4aff1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Propiedades de la Directiva de cumplimiento unificado" ma:hidden="true" ma:internalName="_ip_UnifiedCompliancePolicyProperties">
      <xsd:simpleType>
        <xsd:restriction base="dms:Note"/>
      </xsd:simpleType>
    </xsd:element>
    <xsd:element name="_ip_UnifiedCompliancePolicyUIAction" ma:index="1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e68f31-3766-4aa9-885d-8598185b8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53a41489-9efd-4705-82fc-442e31f9b6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633c6c-d694-4232-b2a0-9d5d1d4aff1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43ae1fb-3a65-49cf-9877-5430014b6f67}" ma:internalName="TaxCatchAll" ma:showField="CatchAllData" ma:web="1f633c6c-d694-4232-b2a0-9d5d1d4aff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A95356-CAFD-4C0C-B13B-34775CF77E0E}">
  <ds:schemaRefs>
    <ds:schemaRef ds:uri="http://schemas.openxmlformats.org/officeDocument/2006/bibliography"/>
  </ds:schemaRefs>
</ds:datastoreItem>
</file>

<file path=customXml/itemProps2.xml><?xml version="1.0" encoding="utf-8"?>
<ds:datastoreItem xmlns:ds="http://schemas.openxmlformats.org/officeDocument/2006/customXml" ds:itemID="{622FF13D-8C34-44CB-A9A0-9FE3B491F611}">
  <ds:schemaRefs>
    <ds:schemaRef ds:uri="http://schemas.microsoft.com/office/2006/metadata/properties"/>
    <ds:schemaRef ds:uri="http://schemas.microsoft.com/office/infopath/2007/PartnerControls"/>
    <ds:schemaRef ds:uri="http://schemas.microsoft.com/sharepoint/v3"/>
    <ds:schemaRef ds:uri="2ee68f31-3766-4aa9-885d-8598185b8f85"/>
    <ds:schemaRef ds:uri="1f633c6c-d694-4232-b2a0-9d5d1d4aff10"/>
  </ds:schemaRefs>
</ds:datastoreItem>
</file>

<file path=customXml/itemProps3.xml><?xml version="1.0" encoding="utf-8"?>
<ds:datastoreItem xmlns:ds="http://schemas.openxmlformats.org/officeDocument/2006/customXml" ds:itemID="{77D1F2F3-E474-421D-AAC5-B2FA5FC77E2E}">
  <ds:schemaRefs>
    <ds:schemaRef ds:uri="http://schemas.microsoft.com/sharepoint/v3/contenttype/forms"/>
  </ds:schemaRefs>
</ds:datastoreItem>
</file>

<file path=customXml/itemProps4.xml><?xml version="1.0" encoding="utf-8"?>
<ds:datastoreItem xmlns:ds="http://schemas.openxmlformats.org/officeDocument/2006/customXml" ds:itemID="{C52EAAF5-878E-4042-B718-CD5CF01CD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ee68f31-3766-4aa9-885d-8598185b8f85"/>
    <ds:schemaRef ds:uri="1f633c6c-d694-4232-b2a0-9d5d1d4af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1087</Words>
  <Characters>5982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Manager/>
  <Company>Bancolombia</Company>
  <LinksUpToDate>false</LinksUpToDate>
  <CharactersWithSpaces>7055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ETL Litigios (vope-cdeo-reflitig)</dc:title>
  <dc:subject>Documentación técnica y funcional del proceso</dc:subject>
  <dc:creator>Bancolombia</dc:creator>
  <cp:keywords/>
  <dc:description/>
  <cp:lastModifiedBy>Emanuel Zuluaga Restrepo</cp:lastModifiedBy>
  <cp:revision>5</cp:revision>
  <cp:lastPrinted>2023-05-03T15:27:00Z</cp:lastPrinted>
  <dcterms:created xsi:type="dcterms:W3CDTF">2026-09-02T16:26:00Z</dcterms:created>
  <dcterms:modified xsi:type="dcterms:W3CDTF">2026-09-17T01:45:00Z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0x010100392CAAC3AB1BF845AB4AF4DE5A4E11F4</vt:lpwstr>
  </property>
  <property fmtid="{D5CDD505-2E9C-101B-9397-08002B2CF9AE}" pid="3" name="MediaServiceImageTags">
    <vt:lpwstr/>
  </property>
  <property fmtid="{D5CDD505-2E9C-101B-9397-08002B2CF9AE}" pid="4" name="MSIP_Label_71bdff26-5887-4e5c-8426-6e404c233df0_Enabled">
    <vt:lpwstr>true</vt:lpwstr>
  </property>
  <property fmtid="{D5CDD505-2E9C-101B-9397-08002B2CF9AE}" pid="5" name="MSIP_Label_71bdff26-5887-4e5c-8426-6e404c233df0_SetDate">
    <vt:lpwstr>2025-03-18T13:43:53Z</vt:lpwstr>
  </property>
  <property fmtid="{D5CDD505-2E9C-101B-9397-08002B2CF9AE}" pid="6" name="MSIP_Label_71bdff26-5887-4e5c-8426-6e404c233df0_Method">
    <vt:lpwstr>Standard</vt:lpwstr>
  </property>
  <property fmtid="{D5CDD505-2E9C-101B-9397-08002B2CF9AE}" pid="7" name="MSIP_Label_71bdff26-5887-4e5c-8426-6e404c233df0_Name">
    <vt:lpwstr>71bdff26-5887-4e5c-8426-6e404c233df0</vt:lpwstr>
  </property>
  <property fmtid="{D5CDD505-2E9C-101B-9397-08002B2CF9AE}" pid="8" name="MSIP_Label_71bdff26-5887-4e5c-8426-6e404c233df0_SiteId">
    <vt:lpwstr>b5e244bd-c492-495b-8b10-61bfd453e423</vt:lpwstr>
  </property>
  <property fmtid="{D5CDD505-2E9C-101B-9397-08002B2CF9AE}" pid="9" name="MSIP_Label_71bdff26-5887-4e5c-8426-6e404c233df0_ActionId">
    <vt:lpwstr>5d364fd8-d989-4e20-b029-e1c4be22441b</vt:lpwstr>
  </property>
  <property fmtid="{D5CDD505-2E9C-101B-9397-08002B2CF9AE}" pid="10" name="MSIP_Label_71bdff26-5887-4e5c-8426-6e404c233df0_ContentBits">
    <vt:lpwstr>0</vt:lpwstr>
  </property>
</Properties>
</file>