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Processing Overview</w:t>
      </w:r>
    </w:p>
    <w:p>
      <w:r>
        <w:t>The claims gateway receives all incoming health insurance claims via EDI 837 and API submissions.</w:t>
      </w:r>
    </w:p>
    <w:p>
      <w:r>
        <w:t>Claims are validated for member eligibility before routing to the adjudication engine.</w:t>
      </w:r>
    </w:p>
    <w:p>
      <w:pPr>
        <w:pStyle w:val="Heading2"/>
      </w:pPr>
      <w:r>
        <w:t>Routing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 Type</w:t>
            </w:r>
          </w:p>
        </w:tc>
        <w:tc>
          <w:tcPr>
            <w:tcW w:type="dxa" w:w="4320"/>
          </w:tcPr>
          <w:p>
            <w:r>
              <w:t>Queue</w:t>
            </w:r>
          </w:p>
        </w:tc>
      </w:tr>
      <w:tr>
        <w:tc>
          <w:tcPr>
            <w:tcW w:type="dxa" w:w="4320"/>
          </w:tcPr>
          <w:p>
            <w:r>
              <w:t>Routine</w:t>
            </w:r>
          </w:p>
        </w:tc>
        <w:tc>
          <w:tcPr>
            <w:tcW w:type="dxa" w:w="4320"/>
          </w:tcPr>
          <w:p>
            <w:r>
              <w:t>Auto-adjudication</w:t>
            </w:r>
          </w:p>
        </w:tc>
      </w:tr>
      <w:tr>
        <w:tc>
          <w:tcPr>
            <w:tcW w:type="dxa" w:w="4320"/>
          </w:tcPr>
          <w:p>
            <w:r>
              <w:t>Complex</w:t>
            </w:r>
          </w:p>
        </w:tc>
        <w:tc>
          <w:tcPr>
            <w:tcW w:type="dxa" w:w="4320"/>
          </w:tcPr>
          <w:p>
            <w:r>
              <w:t>Specialist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