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B71C1C"/>
          <w:sz w:val="36"/>
          <w:szCs w:val="36"/>
        </w:rPr>
        <w:t xml:space="preserve">Answer Key: </w:t>
      </w:r>
      <w:r>
        <w:rPr>
          <w:rFonts w:ascii="Arial" w:cs="Arial" w:eastAsia="Arial" w:hAnsi="Arial"/>
          <w:b/>
          <w:bCs/>
          <w:color w:val="19375F"/>
          <w:sz w:val="36"/>
          <w:szCs w:val="36"/>
        </w:rPr>
        <w:t xml:space="preserve">Does Wine Improve Heart Health?</w:t>
      </w:r>
    </w:p>
    <w:p>
      <w:pPr>
        <w:pBdr>
          <w:bottom w:val="single" w:color="B71C1C" w:sz="6" w:space="6"/>
        </w:pBdr>
        <w:spacing w:after="200"/>
      </w:pPr>
      <w:r>
        <w:rPr>
          <w:rFonts w:ascii="Arial" w:cs="Arial" w:eastAsia="Arial" w:hAnsi="Arial"/>
          <w:b/>
          <w:bCs/>
          <w:sz w:val="22"/>
          <w:szCs w:val="22"/>
        </w:rPr>
        <w:t xml:space="preserve">Research question: </w:t>
      </w:r>
      <w:r>
        <w:rPr>
          <w:rFonts w:ascii="Arial" w:cs="Arial" w:eastAsia="Arial" w:hAnsi="Arial"/>
          <w:i/>
          <w:iCs/>
          <w:sz w:val="22"/>
          <w:szCs w:val="22"/>
        </w:rPr>
        <w:t xml:space="preserve">Does wine consumption improve heart health?</w:t>
      </w:r>
    </w:p>
    <w:p>
      <w:pPr>
        <w:spacing w:after="120"/>
      </w:pPr>
      <w:r>
        <w:rPr>
          <w:rFonts w:ascii="Arial" w:cs="Arial" w:eastAsia="Arial" w:hAnsi="Arial"/>
          <w:b/>
          <w:bCs/>
          <w:sz w:val="21"/>
          <w:szCs w:val="21"/>
        </w:rPr>
        <w:t xml:space="preserve">Treatment (X): </w:t>
      </w:r>
      <w:r>
        <w:rPr>
          <w:rFonts w:ascii="Arial" w:cs="Arial" w:eastAsia="Arial" w:hAnsi="Arial"/>
          <w:sz w:val="21"/>
          <w:szCs w:val="21"/>
        </w:rPr>
        <w:t xml:space="preserve">Wine Consumption</w:t>
      </w:r>
      <w:r>
        <w:rPr>
          <w:rFonts w:ascii="Arial" w:cs="Arial" w:eastAsia="Arial" w:hAnsi="Arial"/>
          <w:b/>
          <w:bCs/>
          <w:sz w:val="21"/>
          <w:szCs w:val="21"/>
        </w:rPr>
        <w:t xml:space="preserve">          Outcome (Y): </w:t>
      </w:r>
      <w:r>
        <w:rPr>
          <w:rFonts w:ascii="Arial" w:cs="Arial" w:eastAsia="Arial" w:hAnsi="Arial"/>
          <w:sz w:val="21"/>
          <w:szCs w:val="21"/>
        </w:rPr>
        <w:t xml:space="preserve">Heart Health</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Note: </w:t>
      </w:r>
      <w:r>
        <w:rPr>
          <w:rFonts w:ascii="Arial" w:cs="Arial" w:eastAsia="Arial" w:hAnsi="Arial"/>
          <w:color w:val="2E7D32"/>
          <w:sz w:val="21"/>
          <w:szCs w:val="21"/>
        </w:rPr>
        <w:t xml:space="preserve">Multiple valid answers exist. The answers below represent one strong response. Accept any well-reasoned DAG that identifies the key confounders.</w:t>
      </w:r>
    </w:p>
    <w:p>
      <w:pPr>
        <w:pStyle w:val="Heading2"/>
        <w:spacing w:after="120" w:before="300"/>
      </w:pPr>
      <w:r>
        <w:rPr>
          <w:rFonts w:ascii="Arial" w:cs="Arial" w:eastAsia="Arial" w:hAnsi="Arial"/>
          <w:b/>
          <w:bCs/>
          <w:sz w:val="26"/>
          <w:szCs w:val="26"/>
        </w:rPr>
        <w:t xml:space="preserve">Step 1: List all relevant variables</w:t>
      </w:r>
    </w:p>
    <w:p>
      <w:pPr>
        <w:spacing w:after="120"/>
      </w:pPr>
      <w:r>
        <w:rPr>
          <w:rFonts w:ascii="Arial" w:cs="Arial" w:eastAsia="Arial" w:hAnsi="Arial"/>
          <w:sz w:val="21"/>
          <w:szCs w:val="21"/>
        </w:rPr>
        <w:t xml:space="preserve">What other variables might cause wine consumption? What might cause heart health? What might affect both?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700"/>
        <w:gridCol w:w="2700"/>
      </w:tblGrid>
      <w:tr>
        <w:tc>
          <w:tcPr>
            <w:tcW w:type="dxa" w:w="60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w:r>
          </w:p>
        </w:tc>
        <w:tc>
          <w:tcPr>
            <w:tcW w:type="dxa" w:w="336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Variable</w:t>
            </w:r>
          </w:p>
        </w:tc>
        <w:tc>
          <w:tcPr>
            <w:tcW w:type="dxa" w:w="270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Causes Wine?</w:t>
            </w:r>
          </w:p>
        </w:tc>
        <w:tc>
          <w:tcPr>
            <w:tcW w:type="dxa" w:w="270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Causes Heart Health?</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1</w:t>
            </w:r>
          </w:p>
        </w:tc>
        <w:tc>
          <w:tcPr>
            <w:tcW w:type="dxa" w:w="33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Income</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2</w:t>
            </w:r>
          </w:p>
        </w:tc>
        <w:tc>
          <w:tcPr>
            <w:tcW w:type="dxa" w:w="33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Diet</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No</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3</w:t>
            </w:r>
          </w:p>
        </w:tc>
        <w:tc>
          <w:tcPr>
            <w:tcW w:type="dxa" w:w="33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Social Activity</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4</w:t>
            </w:r>
          </w:p>
        </w:tc>
        <w:tc>
          <w:tcPr>
            <w:tcW w:type="dxa" w:w="33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Age</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5</w:t>
            </w:r>
          </w:p>
        </w:tc>
        <w:tc>
          <w:tcPr>
            <w:tcW w:type="dxa" w:w="33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Exercise</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No</w:t>
            </w:r>
          </w:p>
        </w:tc>
        <w:tc>
          <w:tcPr>
            <w:tcW w:type="dxa" w:w="27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Yes</w:t>
            </w:r>
          </w:p>
        </w:tc>
      </w:tr>
    </w:tbl>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Key insight: </w:t>
      </w:r>
      <w:r>
        <w:rPr>
          <w:rFonts w:ascii="Arial" w:cs="Arial" w:eastAsia="Arial" w:hAnsi="Arial"/>
          <w:color w:val="2E7D32"/>
          <w:sz w:val="21"/>
          <w:szCs w:val="21"/>
        </w:rPr>
        <w:t xml:space="preserve">Income and Social Activity are the critical confounders — they cause both Wine and Heart Health. Diet is caused by Income and causes Heart Health, so it’s on a backdoor path but controlling for Income already closes it. Age is another common confounder. Exercise affects Heart Health but doesn’t directly cause Wine consumption, so it doesn’t create a backdoor path on its own (unless it’s also driven by Income, which is already controlled for).</w:t>
      </w:r>
    </w:p>
    <w:p>
      <w:pPr>
        <w:pStyle w:val="Heading2"/>
        <w:spacing w:after="120" w:before="300"/>
      </w:pPr>
      <w:r>
        <w:rPr>
          <w:rFonts w:ascii="Arial" w:cs="Arial" w:eastAsia="Arial" w:hAnsi="Arial"/>
          <w:b/>
          <w:bCs/>
          <w:sz w:val="26"/>
          <w:szCs w:val="26"/>
        </w:rPr>
        <w:t xml:space="preserve">Step 2: Draw arrows</w:t>
      </w:r>
    </w:p>
    <w:p>
      <w:pPr>
        <w:spacing w:after="120"/>
      </w:pPr>
      <w:r>
        <w:rPr>
          <w:rFonts w:ascii="Arial" w:cs="Arial" w:eastAsia="Arial" w:hAnsi="Arial"/>
          <w:sz w:val="21"/>
          <w:szCs w:val="21"/>
        </w:rPr>
        <w:t xml:space="preserve">The DAG should include these arrows:</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Income → Wine</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Income → Heart Health</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Income → Diet</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Diet → Heart Health</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Social Activity → Wine</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Social Activity → Heart Health</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Age → Wine</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Age → Heart Health</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Wine → Heart Health (the causal path we’re investigating)</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Arrows that should NOT be drawn: </w:t>
      </w:r>
      <w:r>
        <w:rPr>
          <w:rFonts w:ascii="Arial" w:cs="Arial" w:eastAsia="Arial" w:hAnsi="Arial"/>
          <w:color w:val="2E7D32"/>
          <w:sz w:val="21"/>
          <w:szCs w:val="21"/>
        </w:rPr>
        <w:t xml:space="preserve">Wine → Income (wine doesn’t cause income), Diet → Wine (diet doesn’t cause wine consumption), Exercise → Wine (exercise doesn’t cause wine consumption).</w:t>
      </w:r>
    </w:p>
    <w:p>
      <w:pPr>
        <w:pStyle w:val="Heading2"/>
        <w:spacing w:after="120" w:before="300"/>
      </w:pPr>
      <w:r>
        <w:rPr>
          <w:rFonts w:ascii="Arial" w:cs="Arial" w:eastAsia="Arial" w:hAnsi="Arial"/>
          <w:b/>
          <w:bCs/>
          <w:sz w:val="26"/>
          <w:szCs w:val="26"/>
        </w:rPr>
        <w:t xml:space="preserve">Step 3: Simplify</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Exercise can be removed </w:t>
      </w:r>
      <w:r>
        <w:rPr>
          <w:rFonts w:ascii="Arial" w:cs="Arial" w:eastAsia="Arial" w:hAnsi="Arial"/>
          <w:color w:val="2E7D32"/>
          <w:sz w:val="21"/>
          <w:szCs w:val="21"/>
        </w:rPr>
        <w:t xml:space="preserve">if it’s not on any path between Wine and Heart Health. If Exercise is only caused by Income and only causes Heart Health, the path Wine ← Income → Exercise → Heart Health is already closed by controlling for Income. So Exercise is redundant for identification purposes.</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Simplified DAG variables: Wine, Heart Health, Income, Diet, Social Activity, (optionally Age).</w:t>
      </w:r>
    </w:p>
    <w:p>
      <w:pPr>
        <w:pStyle w:val="Heading2"/>
        <w:spacing w:after="120" w:before="300"/>
      </w:pPr>
      <w:r>
        <w:rPr>
          <w:rFonts w:ascii="Arial" w:cs="Arial" w:eastAsia="Arial" w:hAnsi="Arial"/>
          <w:b/>
          <w:bCs/>
          <w:sz w:val="26"/>
          <w:szCs w:val="26"/>
        </w:rPr>
        <w:t xml:space="preserve">Step 4: List all paths from Wine to Heart Health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100"/>
        <w:gridCol w:w="2100"/>
      </w:tblGrid>
      <w:tr>
        <w:tc>
          <w:tcPr>
            <w:tcW w:type="dxa" w:w="60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456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Path</w:t>
            </w:r>
          </w:p>
        </w:tc>
        <w:tc>
          <w:tcPr>
            <w:tcW w:type="dxa" w:w="210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Causal / Backdoor</w:t>
            </w:r>
          </w:p>
        </w:tc>
        <w:tc>
          <w:tcPr>
            <w:tcW w:type="dxa" w:w="2100"/>
            <w:tcBorders>
              <w:top w:val="single" w:color="999999" w:sz="1"/>
              <w:left w:val="single" w:color="999999" w:sz="1"/>
              <w:bottom w:val="single" w:color="999999" w:sz="1"/>
              <w:right w:val="single" w:color="999999" w:sz="1"/>
            </w:tcBorders>
            <w:shd w:fill="19375F"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Open / Closed?</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1</w:t>
            </w:r>
          </w:p>
        </w:tc>
        <w:tc>
          <w:tcPr>
            <w:tcW w:type="dxa" w:w="45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Wine → Heart Health</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Causal</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Open</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2</w:t>
            </w:r>
          </w:p>
        </w:tc>
        <w:tc>
          <w:tcPr>
            <w:tcW w:type="dxa" w:w="45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Wine ← Income → Heart Health</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Backdoor</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Open</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3</w:t>
            </w:r>
          </w:p>
        </w:tc>
        <w:tc>
          <w:tcPr>
            <w:tcW w:type="dxa" w:w="45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Wine ← Income → Diet → Heart Health</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Backdoor</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Open</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4</w:t>
            </w:r>
          </w:p>
        </w:tc>
        <w:tc>
          <w:tcPr>
            <w:tcW w:type="dxa" w:w="45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Wine ← Social Activity → Heart Health</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Backdoor</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Open</w:t>
            </w:r>
          </w:p>
        </w:tc>
      </w:tr>
      <w:tr>
        <w:tc>
          <w:tcPr>
            <w:tcW w:type="dxa" w:w="6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5</w:t>
            </w:r>
          </w:p>
        </w:tc>
        <w:tc>
          <w:tcPr>
            <w:tcW w:type="dxa" w:w="456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left"/>
            </w:pPr>
            <w:r>
              <w:rPr>
                <w:rFonts w:ascii="Arial" w:cs="Arial" w:eastAsia="Arial" w:hAnsi="Arial"/>
                <w:color w:val="2E7D32"/>
                <w:sz w:val="20"/>
                <w:szCs w:val="20"/>
              </w:rPr>
              <w:t xml:space="preserve">Wine ← Age → Heart Health</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Backdoor</w:t>
            </w:r>
          </w:p>
        </w:tc>
        <w:tc>
          <w:tcPr>
            <w:tcW w:type="dxa" w:w="2100"/>
            <w:tcBorders>
              <w:top w:val="single" w:color="999999" w:sz="1"/>
              <w:left w:val="single" w:color="999999" w:sz="1"/>
              <w:bottom w:val="single" w:color="999999" w:sz="1"/>
              <w:right w:val="single" w:color="999999" w:sz="1"/>
            </w:tcBorders>
            <w:shd w:fill="E8F5E9" w:val="clear"/>
            <w:tcMar>
              <w:top w:type="dxa" w:w="120"/>
              <w:left w:type="dxa" w:w="100"/>
              <w:bottom w:type="dxa" w:w="120"/>
              <w:right w:type="dxa" w:w="100"/>
            </w:tcMar>
          </w:tcPr>
          <w:p>
            <w:pPr>
              <w:jc w:val="center"/>
            </w:pPr>
            <w:r>
              <w:rPr>
                <w:rFonts w:ascii="Arial" w:cs="Arial" w:eastAsia="Arial" w:hAnsi="Arial"/>
                <w:color w:val="2E7D32"/>
                <w:sz w:val="20"/>
                <w:szCs w:val="20"/>
              </w:rPr>
              <w:t xml:space="preserve">Open</w:t>
            </w:r>
          </w:p>
        </w:tc>
      </w:tr>
    </w:tbl>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Key: </w:t>
      </w:r>
      <w:r>
        <w:rPr>
          <w:rFonts w:ascii="Arial" w:cs="Arial" w:eastAsia="Arial" w:hAnsi="Arial"/>
          <w:color w:val="2E7D32"/>
          <w:sz w:val="21"/>
          <w:szCs w:val="21"/>
        </w:rPr>
        <w:t xml:space="preserve">All backdoor paths are open by default. Paths 2 and 3 both pass through Income, so controlling for Income closes both. Path 4 requires controlling for Social Activity. Path 5 requires controlling for Age.</w:t>
      </w:r>
    </w:p>
    <w:p>
      <w:pPr>
        <w:pStyle w:val="Heading2"/>
        <w:spacing w:after="120" w:before="300"/>
      </w:pPr>
      <w:r>
        <w:rPr>
          <w:rFonts w:ascii="Arial" w:cs="Arial" w:eastAsia="Arial" w:hAnsi="Arial"/>
          <w:b/>
          <w:bCs/>
          <w:sz w:val="26"/>
          <w:szCs w:val="26"/>
        </w:rPr>
        <w:t xml:space="preserve">Step 5: Determine what to control for</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Minimum control set: {Income, Social Activity, Age}</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Income </w:t>
      </w:r>
      <w:r>
        <w:rPr>
          <w:rFonts w:ascii="Arial" w:cs="Arial" w:eastAsia="Arial" w:hAnsi="Arial"/>
          <w:color w:val="2E7D32"/>
          <w:sz w:val="21"/>
          <w:szCs w:val="21"/>
        </w:rPr>
        <w:t xml:space="preserve">closes paths 2 and 3 (it appears on both).</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Social Activity </w:t>
      </w:r>
      <w:r>
        <w:rPr>
          <w:rFonts w:ascii="Arial" w:cs="Arial" w:eastAsia="Arial" w:hAnsi="Arial"/>
          <w:color w:val="2E7D32"/>
          <w:sz w:val="21"/>
          <w:szCs w:val="21"/>
        </w:rPr>
        <w:t xml:space="preserve">closes path 4.</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Age </w:t>
      </w:r>
      <w:r>
        <w:rPr>
          <w:rFonts w:ascii="Arial" w:cs="Arial" w:eastAsia="Arial" w:hAnsi="Arial"/>
          <w:color w:val="2E7D32"/>
          <w:sz w:val="21"/>
          <w:szCs w:val="21"/>
        </w:rPr>
        <w:t xml:space="preserve">closes path 5.</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Collider check: </w:t>
      </w:r>
      <w:r>
        <w:rPr>
          <w:rFonts w:ascii="Arial" w:cs="Arial" w:eastAsia="Arial" w:hAnsi="Arial"/>
          <w:color w:val="2E7D32"/>
          <w:sz w:val="21"/>
          <w:szCs w:val="21"/>
        </w:rPr>
        <w:t xml:space="preserve">No. None of these variables are colliders (none are caused by both Wine and Heart Health). Diet is NOT a collider — it’s caused by Income only, not by Wine. So controlling for these variables does not open any closed paths.</w:t>
      </w:r>
    </w:p>
    <w:p>
      <w:r>
        <w:br w:type="page"/>
      </w:r>
    </w:p>
    <w:p>
      <w:pPr>
        <w:pStyle w:val="Heading1"/>
        <w:spacing w:after="200"/>
      </w:pPr>
      <w:r>
        <w:rPr>
          <w:rFonts w:ascii="Arial" w:cs="Arial" w:eastAsia="Arial" w:hAnsi="Arial"/>
          <w:b/>
          <w:bCs/>
          <w:color w:val="19375F"/>
          <w:sz w:val="32"/>
          <w:szCs w:val="32"/>
        </w:rPr>
        <w:t xml:space="preserve">Discussion Questions — Answers</w:t>
      </w:r>
    </w:p>
    <w:p>
      <w:pPr>
        <w:pBdr>
          <w:bottom w:val="single" w:color="B71C1C" w:sz="6" w:space="6"/>
        </w:pBdr>
        <w:spacing w:after="300"/>
      </w:pPr>
    </w:p>
    <w:p>
      <w:pPr>
        <w:pStyle w:val="ListParagraph"/>
        <w:numPr>
          <w:ilvl w:val="0"/>
          <w:numId w:val="2"/>
        </w:numPr>
        <w:spacing w:after="80"/>
      </w:pPr>
      <w:r>
        <w:rPr>
          <w:rFonts w:ascii="Arial" w:cs="Arial" w:eastAsia="Arial" w:hAnsi="Arial"/>
          <w:sz w:val="21"/>
          <w:szCs w:val="21"/>
        </w:rPr>
        <w:t xml:space="preserve">The original Lancet (1979) study compared wine consumption and heart disease </w:t>
      </w:r>
      <w:r>
        <w:rPr>
          <w:rFonts w:ascii="Arial" w:cs="Arial" w:eastAsia="Arial" w:hAnsi="Arial"/>
          <w:b/>
          <w:bCs/>
          <w:sz w:val="21"/>
          <w:szCs w:val="21"/>
        </w:rPr>
        <w:t xml:space="preserve">across countries</w:t>
      </w:r>
      <w:r>
        <w:rPr>
          <w:rFonts w:ascii="Arial" w:cs="Arial" w:eastAsia="Arial" w:hAnsi="Arial"/>
          <w:sz w:val="21"/>
          <w:szCs w:val="21"/>
        </w:rPr>
        <w:t xml:space="preserve">. What additional confounders might exist at the country level that wouldn’t apply to individual-level data?</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Country-level confounders include: </w:t>
      </w:r>
      <w:r>
        <w:rPr>
          <w:rFonts w:ascii="Arial" w:cs="Arial" w:eastAsia="Arial" w:hAnsi="Arial"/>
          <w:color w:val="2E7D32"/>
          <w:sz w:val="21"/>
          <w:szCs w:val="21"/>
        </w:rPr>
        <w:t xml:space="preserve">healthcare system quality, climate (Mediterranean vs. northern), overall diet culture (not just individual diet — e.g., the Mediterranean diet as a package), pollution levels, inequality, work culture and stress norms, genetic population differences, and overall GDP/development level. The key issue is the </w:t>
      </w:r>
      <w:r>
        <w:rPr>
          <w:rFonts w:ascii="Arial" w:cs="Arial" w:eastAsia="Arial" w:hAnsi="Arial"/>
          <w:b/>
          <w:bCs/>
          <w:i/>
          <w:iCs/>
          <w:color w:val="2E7D32"/>
          <w:sz w:val="21"/>
          <w:szCs w:val="21"/>
        </w:rPr>
        <w:t xml:space="preserve">ecological fallacy</w:t>
      </w:r>
      <w:r>
        <w:rPr>
          <w:rFonts w:ascii="Arial" w:cs="Arial" w:eastAsia="Arial" w:hAnsi="Arial"/>
          <w:color w:val="2E7D32"/>
          <w:sz w:val="21"/>
          <w:szCs w:val="21"/>
        </w:rPr>
        <w:t xml:space="preserve"> — a country-level correlation doesn’t mean the relationship holds at the individual level. France has both more wine AND a Mediterranean diet, walkable cities, universal healthcare, etc. These are all confounders that a cross-country comparison can’t control for.</w:t>
      </w:r>
    </w:p>
    <w:p>
      <w:pPr>
        <w:spacing w:after="80"/>
      </w:pPr>
    </w:p>
    <w:p>
      <w:pPr>
        <w:pStyle w:val="ListParagraph"/>
        <w:numPr>
          <w:ilvl w:val="0"/>
          <w:numId w:val="2"/>
        </w:numPr>
        <w:spacing w:after="80"/>
      </w:pPr>
      <w:r>
        <w:rPr>
          <w:rFonts w:ascii="Arial" w:cs="Arial" w:eastAsia="Arial" w:hAnsi="Arial"/>
          <w:sz w:val="21"/>
          <w:szCs w:val="21"/>
        </w:rPr>
        <w:t xml:space="preserve">The article excerpt mentions that many “non-drinkers” were actually </w:t>
      </w:r>
      <w:r>
        <w:rPr>
          <w:rFonts w:ascii="Arial" w:cs="Arial" w:eastAsia="Arial" w:hAnsi="Arial"/>
          <w:b/>
          <w:bCs/>
          <w:sz w:val="21"/>
          <w:szCs w:val="21"/>
        </w:rPr>
        <w:t xml:space="preserve">ex-drinkers who quit for health reasons</w:t>
      </w:r>
      <w:r>
        <w:rPr>
          <w:rFonts w:ascii="Arial" w:cs="Arial" w:eastAsia="Arial" w:hAnsi="Arial"/>
          <w:sz w:val="21"/>
          <w:szCs w:val="21"/>
        </w:rPr>
        <w:t xml:space="preserve">. In DAG terms, what kind of bias does this create?</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This is collider bias (selection bias). </w:t>
      </w:r>
      <w:r>
        <w:rPr>
          <w:rFonts w:ascii="Arial" w:cs="Arial" w:eastAsia="Arial" w:hAnsi="Arial"/>
          <w:color w:val="2E7D32"/>
          <w:sz w:val="21"/>
          <w:szCs w:val="21"/>
        </w:rPr>
        <w:t xml:space="preserve">“Current drinking status” (the treatment variable as measured) is caused by multiple things:</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 Preferences/choice (some people just don’t drink)</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 Health status (sick people stop drinking)</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So “Current Drinking Status” is a collider: Preferences → Current Drinking Status ← Health. When we use it to define comparison groups (drinkers vs. non-drinkers), we condition on this collider, opening a spurious path. Among non-drinkers, those with worse health are overrepresented (because they quit due to illness), making the non-drinker group look sicker and moderate drinkers look healthier by comparison.</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There’s also a reverse causation element: Health → Drinking Status. The outcome partly determines the treatment variable.</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Fix: </w:t>
      </w:r>
      <w:r>
        <w:rPr>
          <w:rFonts w:ascii="Arial" w:cs="Arial" w:eastAsia="Arial" w:hAnsi="Arial"/>
          <w:color w:val="2E7D32"/>
          <w:sz w:val="21"/>
          <w:szCs w:val="21"/>
        </w:rPr>
        <w:t xml:space="preserve">Compare moderate drinkers to never-drinkers only, excluding ex-drinkers. This removes the contaminated comparison group.</w:t>
      </w:r>
    </w:p>
    <w:p>
      <w:pPr>
        <w:spacing w:after="80"/>
      </w:pPr>
    </w:p>
    <w:p>
      <w:pPr>
        <w:pStyle w:val="ListParagraph"/>
        <w:numPr>
          <w:ilvl w:val="0"/>
          <w:numId w:val="2"/>
        </w:numPr>
        <w:spacing w:after="80"/>
      </w:pPr>
      <w:r>
        <w:rPr>
          <w:rFonts w:ascii="Arial" w:cs="Arial" w:eastAsia="Arial" w:hAnsi="Arial"/>
          <w:sz w:val="21"/>
          <w:szCs w:val="21"/>
        </w:rPr>
        <w:t xml:space="preserve">The Biddinger et al. (2022) study uses </w:t>
      </w:r>
      <w:r>
        <w:rPr>
          <w:rFonts w:ascii="Arial" w:cs="Arial" w:eastAsia="Arial" w:hAnsi="Arial"/>
          <w:b/>
          <w:bCs/>
          <w:sz w:val="21"/>
          <w:szCs w:val="21"/>
        </w:rPr>
        <w:t xml:space="preserve">Mendelian randomization</w:t>
      </w:r>
      <w:r>
        <w:rPr>
          <w:rFonts w:ascii="Arial" w:cs="Arial" w:eastAsia="Arial" w:hAnsi="Arial"/>
          <w:sz w:val="21"/>
          <w:szCs w:val="21"/>
        </w:rPr>
        <w:t xml:space="preserve"> — genetic variants that affect alcohol metabolism as instruments. Why is this a stronger identification strategy than controlling for income and education in a regression?</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Two key reasons:</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1. Unobserved confounders. </w:t>
      </w:r>
      <w:r>
        <w:rPr>
          <w:rFonts w:ascii="Arial" w:cs="Arial" w:eastAsia="Arial" w:hAnsi="Arial"/>
          <w:color w:val="2E7D32"/>
          <w:sz w:val="21"/>
          <w:szCs w:val="21"/>
        </w:rPr>
        <w:t xml:space="preserve">Controlling for income and education only closes the backdoor paths that run through those specific variables. But there may be other confounders we can’t observe or measure — stress coping style, personality traits, social norms, childhood environment. We can never be sure we’ve closed all backdoor paths by adding controls.</w:t>
      </w: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2. Genetic instruments are (approximately) randomly assigned. </w:t>
      </w:r>
      <w:r>
        <w:rPr>
          <w:rFonts w:ascii="Arial" w:cs="Arial" w:eastAsia="Arial" w:hAnsi="Arial"/>
          <w:color w:val="2E7D32"/>
          <w:sz w:val="21"/>
          <w:szCs w:val="21"/>
        </w:rPr>
        <w:t xml:space="preserve">Your genetic variants for alcohol metabolism are determined at conception — they’re not caused by income, education, social activity, or any of the confounders in our DAG. This is similar to an RCT: the instrument (genetic variant) creates variation in the treatment (alcohol consumption) that is independent of all confounders. It’s like nature’s randomization.</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In DAG terms: the genetic instrument has an arrow to Alcohol Consumption but no arrows to any of the confounders or directly to Heart Health. This satisfies the IV conditions (relevance, independence, exclusion restriction).</w:t>
      </w:r>
    </w:p>
    <w:p>
      <w:pPr>
        <w:spacing w:after="80"/>
      </w:pPr>
    </w:p>
    <w:p>
      <w:pPr>
        <w:pStyle w:val="ListParagraph"/>
        <w:numPr>
          <w:ilvl w:val="0"/>
          <w:numId w:val="2"/>
        </w:numPr>
        <w:spacing w:after="80"/>
      </w:pPr>
      <w:r>
        <w:rPr>
          <w:rFonts w:ascii="Arial" w:cs="Arial" w:eastAsia="Arial" w:hAnsi="Arial"/>
          <w:sz w:val="21"/>
          <w:szCs w:val="21"/>
        </w:rPr>
        <w:t xml:space="preserve">Based on everything from lecture and this worksheet: is the wine-heart health correlation </w:t>
      </w:r>
      <w:r>
        <w:rPr>
          <w:rFonts w:ascii="Arial" w:cs="Arial" w:eastAsia="Arial" w:hAnsi="Arial"/>
          <w:b/>
          <w:bCs/>
          <w:sz w:val="21"/>
          <w:szCs w:val="21"/>
        </w:rPr>
        <w:t xml:space="preserve">causal</w:t>
      </w:r>
      <w:r>
        <w:rPr>
          <w:rFonts w:ascii="Arial" w:cs="Arial" w:eastAsia="Arial" w:hAnsi="Arial"/>
          <w:sz w:val="21"/>
          <w:szCs w:val="21"/>
        </w:rPr>
        <w:t xml:space="preserve">? What would you need to believe for it to be causal?</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Almost certainly not causal, </w:t>
      </w:r>
      <w:r>
        <w:rPr>
          <w:rFonts w:ascii="Arial" w:cs="Arial" w:eastAsia="Arial" w:hAnsi="Arial"/>
          <w:color w:val="2E7D32"/>
          <w:sz w:val="21"/>
          <w:szCs w:val="21"/>
        </w:rPr>
        <w:t xml:space="preserve">or at minimum, the causal effect is much smaller than the raw correlation suggests and likely goes in the opposite direction.</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The evidence progression tells a clear story:</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 The raw correlation is heavily confounded (income, social activity, diet, ex-drinker bias)</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 When researchers used Mendelian randomization (a much stronger identification strategy), the effect reversed — alcohol increased cardiovascular risk at all levels</w:t>
      </w:r>
    </w:p>
    <w:p>
      <w:pPr>
        <w:pBdr>
          <w:top w:val="none" w:sz="0"/>
          <w:bottom w:val="none" w:sz="0"/>
          <w:left w:val="single" w:color="2E7D32" w:sz="6" w:space="8"/>
          <w:right w:val="none" w:sz="0"/>
        </w:pBdr>
        <w:shd w:fill="E8F5E9" w:val="clear"/>
        <w:spacing w:after="120"/>
        <w:ind w:left="360" w:right="360"/>
      </w:pPr>
      <w:r>
        <w:rPr>
          <w:rFonts w:ascii="Arial" w:cs="Arial" w:eastAsia="Arial" w:hAnsi="Arial"/>
          <w:color w:val="2E7D32"/>
          <w:sz w:val="21"/>
          <w:szCs w:val="21"/>
        </w:rPr>
        <w:t xml:space="preserve">• Even studies that tried to control for observable confounders found the benefit disappeared or reversed once they properly accounted for the ex-drinker problem</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color w:val="2E7D32"/>
          <w:sz w:val="21"/>
          <w:szCs w:val="21"/>
        </w:rPr>
        <w:t xml:space="preserve">For the correlation to be causal, you’d need to believe: </w:t>
      </w:r>
      <w:r>
        <w:rPr>
          <w:rFonts w:ascii="Arial" w:cs="Arial" w:eastAsia="Arial" w:hAnsi="Arial"/>
          <w:color w:val="2E7D32"/>
          <w:sz w:val="21"/>
          <w:szCs w:val="21"/>
        </w:rPr>
        <w:t xml:space="preserve">(1) there are no remaining unobserved confounders after controlling for income, social activity, and age; (2) the ex-drinker problem doesn’t matter; AND (3) the Mendelian randomization studies are wrong. That’s a hard case to make.</w:t>
      </w:r>
    </w:p>
    <w:p>
      <w:pPr>
        <w:spacing w:after="80"/>
      </w:pPr>
    </w:p>
    <w:p>
      <w:pPr>
        <w:pBdr>
          <w:top w:val="none" w:sz="0"/>
          <w:bottom w:val="none" w:sz="0"/>
          <w:left w:val="single" w:color="2E7D32" w:sz="6" w:space="8"/>
          <w:right w:val="none" w:sz="0"/>
        </w:pBdr>
        <w:shd w:fill="E8F5E9" w:val="clear"/>
        <w:spacing w:after="120"/>
        <w:ind w:left="360" w:right="360"/>
      </w:pPr>
      <w:r>
        <w:rPr>
          <w:rFonts w:ascii="Arial" w:cs="Arial" w:eastAsia="Arial" w:hAnsi="Arial"/>
          <w:b/>
          <w:bCs/>
          <w:i/>
          <w:iCs/>
          <w:color w:val="2E7D32"/>
          <w:sz w:val="21"/>
          <w:szCs w:val="21"/>
        </w:rPr>
        <w:t xml:space="preserve">This is a great example of why DAGs matter: </w:t>
      </w:r>
      <w:r>
        <w:rPr>
          <w:rFonts w:ascii="Arial" w:cs="Arial" w:eastAsia="Arial" w:hAnsi="Arial"/>
          <w:i/>
          <w:iCs/>
          <w:color w:val="2E7D32"/>
          <w:sz w:val="21"/>
          <w:szCs w:val="21"/>
        </w:rPr>
        <w:t xml:space="preserve">the raw data showed a clear, intuitive pattern (wine = healthy) that became conventional wisdom for decades. But careful causal reasoning — identifying the backdoor paths and thinking about what “controlling” actually means — reveals the association was almost entirely driven by confounding.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08090"/>
        <w:sz w:val="16"/>
        <w:szCs w:val="16"/>
      </w:rPr>
      <w:t xml:space="preserve">Page </w:t>
    </w:r>
    <w:r>
      <w:rPr>
        <w:rFonts w:ascii="Arial" w:cs="Arial" w:eastAsia="Arial" w:hAnsi="Arial"/>
        <w:color w:val="708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360"/>
      </w:tabs>
      <w:spacing w:after="0"/>
    </w:pPr>
    <w:r>
      <w:rPr>
        <w:rFonts w:ascii="Arial" w:cs="Arial" w:eastAsia="Arial" w:hAnsi="Arial"/>
        <w:b/>
        <w:bCs/>
        <w:color w:val="B71C1C"/>
        <w:sz w:val="18"/>
        <w:szCs w:val="18"/>
      </w:rPr>
      <w:t xml:space="preserve">ANSWER KEY — INSTRUCTOR ONLY</w:t>
    </w:r>
    <w:r>
      <w:rPr>
        <w:rFonts w:ascii="Arial" w:cs="Arial" w:eastAsia="Arial" w:hAnsi="Arial"/>
        <w:color w:val="708090"/>
        <w:sz w:val="18"/>
        <w:szCs w:val="18"/>
      </w:rPr>
      <w:t xml:space="preserve">		DAGs and Causal Identification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937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937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2026-03-24T15:04:52.435Z</dcterms:created>
  <dcterms:modified xsi:type="dcterms:W3CDTF">2026-03-24T15:04:52.441Z</dcterms:modified>
</cp:coreProperties>
</file>

<file path=docProps/custom.xml><?xml version="1.0" encoding="utf-8"?>
<Properties xmlns="http://schemas.openxmlformats.org/officeDocument/2006/custom-properties" xmlns:vt="http://schemas.openxmlformats.org/officeDocument/2006/docPropsVTypes"/>
</file>