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FDE21" w14:textId="2ED0D1B6" w:rsidR="005D1EB8" w:rsidRPr="00A70D07" w:rsidRDefault="00A70D07" w:rsidP="00D7589D">
      <w:pPr>
        <w:spacing w:line="480" w:lineRule="auto"/>
        <w:rPr>
          <w:b/>
          <w:sz w:val="20"/>
          <w:szCs w:val="20"/>
        </w:rPr>
      </w:pPr>
      <w:r w:rsidRPr="00A70D07">
        <w:rPr>
          <w:b/>
          <w:sz w:val="20"/>
          <w:szCs w:val="20"/>
        </w:rPr>
        <w:t>Methods</w:t>
      </w:r>
    </w:p>
    <w:p w14:paraId="2F028CFA" w14:textId="4148B3B8" w:rsidR="00B10FB1" w:rsidRDefault="00166B2E" w:rsidP="00D7589D">
      <w:pPr>
        <w:spacing w:line="480" w:lineRule="auto"/>
        <w:rPr>
          <w:sz w:val="20"/>
          <w:szCs w:val="20"/>
        </w:rPr>
      </w:pPr>
      <w:r>
        <w:rPr>
          <w:sz w:val="20"/>
          <w:szCs w:val="20"/>
        </w:rPr>
        <w:t>Sampling spanned fire affected and fire unaffected areas in two mountain ranges, the Santa Catalina Mountains</w:t>
      </w:r>
      <w:r w:rsidR="00805824">
        <w:rPr>
          <w:sz w:val="20"/>
          <w:szCs w:val="20"/>
        </w:rPr>
        <w:t xml:space="preserve"> (SCM)</w:t>
      </w:r>
      <w:r>
        <w:rPr>
          <w:sz w:val="20"/>
          <w:szCs w:val="20"/>
        </w:rPr>
        <w:t xml:space="preserve"> and the </w:t>
      </w:r>
      <w:proofErr w:type="spellStart"/>
      <w:r>
        <w:rPr>
          <w:sz w:val="20"/>
          <w:szCs w:val="20"/>
        </w:rPr>
        <w:t>Pinaleno</w:t>
      </w:r>
      <w:proofErr w:type="spellEnd"/>
      <w:r>
        <w:rPr>
          <w:sz w:val="20"/>
          <w:szCs w:val="20"/>
        </w:rPr>
        <w:t xml:space="preserve"> Mountains</w:t>
      </w:r>
      <w:r w:rsidR="00805824">
        <w:rPr>
          <w:sz w:val="20"/>
          <w:szCs w:val="20"/>
        </w:rPr>
        <w:t xml:space="preserve"> (PM). Both ranges are located at similar latitudes (Table 1) and have similar exposures as they both lie in a west northwest and east southeast position</w:t>
      </w:r>
      <w:r w:rsidR="00114FDE">
        <w:rPr>
          <w:sz w:val="20"/>
          <w:szCs w:val="20"/>
        </w:rPr>
        <w:t xml:space="preserve"> (</w:t>
      </w:r>
      <w:r w:rsidR="00E2383B">
        <w:rPr>
          <w:sz w:val="20"/>
          <w:szCs w:val="20"/>
        </w:rPr>
        <w:t>Shreve 1919</w:t>
      </w:r>
      <w:r w:rsidR="00183976">
        <w:rPr>
          <w:sz w:val="20"/>
          <w:szCs w:val="20"/>
        </w:rPr>
        <w:t xml:space="preserve">). </w:t>
      </w:r>
      <w:r w:rsidR="00726BDD">
        <w:rPr>
          <w:sz w:val="20"/>
          <w:szCs w:val="20"/>
        </w:rPr>
        <w:t xml:space="preserve">PM </w:t>
      </w:r>
      <w:r w:rsidR="009E74CC">
        <w:rPr>
          <w:sz w:val="20"/>
          <w:szCs w:val="20"/>
        </w:rPr>
        <w:t>has a maximum</w:t>
      </w:r>
      <w:r w:rsidR="00726BDD">
        <w:rPr>
          <w:sz w:val="20"/>
          <w:szCs w:val="20"/>
        </w:rPr>
        <w:t xml:space="preserve"> elevation of </w:t>
      </w:r>
      <w:r w:rsidR="009E74CC">
        <w:rPr>
          <w:sz w:val="20"/>
          <w:szCs w:val="20"/>
        </w:rPr>
        <w:t xml:space="preserve">3270 </w:t>
      </w:r>
      <w:proofErr w:type="spellStart"/>
      <w:r w:rsidR="009E74CC">
        <w:rPr>
          <w:sz w:val="20"/>
          <w:szCs w:val="20"/>
        </w:rPr>
        <w:t>m.a.s.l</w:t>
      </w:r>
      <w:proofErr w:type="spellEnd"/>
      <w:r w:rsidR="009E74CC">
        <w:rPr>
          <w:sz w:val="20"/>
          <w:szCs w:val="20"/>
        </w:rPr>
        <w:t>.</w:t>
      </w:r>
      <w:r w:rsidR="0082770F">
        <w:rPr>
          <w:sz w:val="20"/>
          <w:szCs w:val="20"/>
        </w:rPr>
        <w:t xml:space="preserve"> and </w:t>
      </w:r>
      <w:r w:rsidR="009E74CC">
        <w:rPr>
          <w:sz w:val="20"/>
          <w:szCs w:val="20"/>
        </w:rPr>
        <w:t xml:space="preserve">SCM 2791 </w:t>
      </w:r>
      <w:proofErr w:type="spellStart"/>
      <w:r w:rsidR="009E74CC">
        <w:rPr>
          <w:sz w:val="20"/>
          <w:szCs w:val="20"/>
        </w:rPr>
        <w:t>m.a.s.l</w:t>
      </w:r>
      <w:proofErr w:type="spellEnd"/>
      <w:r w:rsidR="009E74CC">
        <w:rPr>
          <w:sz w:val="20"/>
          <w:szCs w:val="20"/>
        </w:rPr>
        <w:t>.</w:t>
      </w:r>
    </w:p>
    <w:p w14:paraId="111FDCDA" w14:textId="77777777" w:rsidR="00B10FB1" w:rsidRDefault="00B10FB1" w:rsidP="00D7589D">
      <w:pPr>
        <w:spacing w:line="480" w:lineRule="auto"/>
        <w:rPr>
          <w:sz w:val="20"/>
          <w:szCs w:val="20"/>
        </w:rPr>
      </w:pPr>
    </w:p>
    <w:p w14:paraId="7C575591" w14:textId="79CA9363" w:rsidR="00A70D07" w:rsidRDefault="0082770F" w:rsidP="00D7589D">
      <w:pPr>
        <w:spacing w:line="480" w:lineRule="auto"/>
        <w:rPr>
          <w:sz w:val="20"/>
          <w:szCs w:val="20"/>
        </w:rPr>
      </w:pPr>
      <w:r>
        <w:rPr>
          <w:sz w:val="20"/>
          <w:szCs w:val="20"/>
        </w:rPr>
        <w:t xml:space="preserve">The geology of both </w:t>
      </w:r>
      <w:r w:rsidR="00114FDE">
        <w:rPr>
          <w:sz w:val="20"/>
          <w:szCs w:val="20"/>
        </w:rPr>
        <w:t>SCM and PM are similarly composed predominantly of gneiss (</w:t>
      </w:r>
      <w:r w:rsidR="00E2383B">
        <w:rPr>
          <w:sz w:val="20"/>
          <w:szCs w:val="20"/>
        </w:rPr>
        <w:t>Shreve 1919</w:t>
      </w:r>
      <w:r w:rsidR="00114FDE">
        <w:rPr>
          <w:sz w:val="20"/>
          <w:szCs w:val="20"/>
        </w:rPr>
        <w:t xml:space="preserve">). </w:t>
      </w:r>
      <w:r w:rsidR="00105438">
        <w:rPr>
          <w:sz w:val="20"/>
          <w:szCs w:val="20"/>
        </w:rPr>
        <w:t xml:space="preserve">Climatic and geological similarities are reflected in </w:t>
      </w:r>
      <w:r w:rsidR="00857BF4">
        <w:rPr>
          <w:sz w:val="20"/>
          <w:szCs w:val="20"/>
        </w:rPr>
        <w:t xml:space="preserve">comparable </w:t>
      </w:r>
      <w:proofErr w:type="spellStart"/>
      <w:r w:rsidR="00105438">
        <w:rPr>
          <w:sz w:val="20"/>
          <w:szCs w:val="20"/>
        </w:rPr>
        <w:t>ecoclines</w:t>
      </w:r>
      <w:proofErr w:type="spellEnd"/>
      <w:r w:rsidR="00105438">
        <w:rPr>
          <w:sz w:val="20"/>
          <w:szCs w:val="20"/>
        </w:rPr>
        <w:t xml:space="preserve"> </w:t>
      </w:r>
      <w:r w:rsidR="00857BF4">
        <w:rPr>
          <w:sz w:val="20"/>
          <w:szCs w:val="20"/>
        </w:rPr>
        <w:t>of both ranges</w:t>
      </w:r>
      <w:r w:rsidR="001A2199">
        <w:rPr>
          <w:sz w:val="20"/>
          <w:szCs w:val="20"/>
        </w:rPr>
        <w:t xml:space="preserve"> (ref)</w:t>
      </w:r>
      <w:r w:rsidR="00857BF4">
        <w:rPr>
          <w:sz w:val="20"/>
          <w:szCs w:val="20"/>
        </w:rPr>
        <w:t>.</w:t>
      </w:r>
    </w:p>
    <w:p w14:paraId="04A77F39" w14:textId="77777777" w:rsidR="00406016" w:rsidRDefault="00406016" w:rsidP="00D7589D">
      <w:pPr>
        <w:spacing w:line="480" w:lineRule="auto"/>
        <w:rPr>
          <w:sz w:val="20"/>
          <w:szCs w:val="20"/>
        </w:rPr>
      </w:pPr>
    </w:p>
    <w:p w14:paraId="48AB2B70" w14:textId="64880969" w:rsidR="00406016" w:rsidRPr="00D13952" w:rsidRDefault="00406016" w:rsidP="00D7589D">
      <w:pPr>
        <w:spacing w:line="480" w:lineRule="auto"/>
        <w:rPr>
          <w:sz w:val="20"/>
          <w:szCs w:val="20"/>
        </w:rPr>
      </w:pPr>
      <w:r>
        <w:rPr>
          <w:sz w:val="20"/>
          <w:szCs w:val="20"/>
        </w:rPr>
        <w:t>Both ranges experienced severe wildfires</w:t>
      </w:r>
      <w:r w:rsidR="00F566D4">
        <w:rPr>
          <w:sz w:val="20"/>
          <w:szCs w:val="20"/>
        </w:rPr>
        <w:t xml:space="preserve"> </w:t>
      </w:r>
      <w:r w:rsidR="005C63F5">
        <w:rPr>
          <w:sz w:val="20"/>
          <w:szCs w:val="20"/>
        </w:rPr>
        <w:t>between 2002 and</w:t>
      </w:r>
      <w:r w:rsidR="00F566D4">
        <w:rPr>
          <w:sz w:val="20"/>
          <w:szCs w:val="20"/>
        </w:rPr>
        <w:t xml:space="preserve"> 2004. </w:t>
      </w:r>
      <w:r w:rsidR="00DA6059">
        <w:rPr>
          <w:sz w:val="20"/>
          <w:szCs w:val="20"/>
        </w:rPr>
        <w:t xml:space="preserve">The </w:t>
      </w:r>
      <w:r w:rsidR="00F566D4">
        <w:rPr>
          <w:sz w:val="20"/>
          <w:szCs w:val="20"/>
        </w:rPr>
        <w:t xml:space="preserve">2004 </w:t>
      </w:r>
      <w:proofErr w:type="spellStart"/>
      <w:r w:rsidR="00DA6059">
        <w:rPr>
          <w:sz w:val="20"/>
          <w:szCs w:val="20"/>
        </w:rPr>
        <w:t>Nuttail</w:t>
      </w:r>
      <w:proofErr w:type="spellEnd"/>
      <w:r w:rsidR="00DA6059">
        <w:rPr>
          <w:sz w:val="20"/>
          <w:szCs w:val="20"/>
        </w:rPr>
        <w:t>-Gibson complex in PM burned</w:t>
      </w:r>
      <w:r w:rsidR="00F566D4">
        <w:rPr>
          <w:sz w:val="20"/>
          <w:szCs w:val="20"/>
        </w:rPr>
        <w:t xml:space="preserve"> . In SCM, two fires—</w:t>
      </w:r>
      <w:r w:rsidR="001E1410">
        <w:rPr>
          <w:sz w:val="20"/>
          <w:szCs w:val="20"/>
        </w:rPr>
        <w:t>the 2002 Bullock fire</w:t>
      </w:r>
      <w:r w:rsidR="001E1410">
        <w:rPr>
          <w:sz w:val="20"/>
          <w:szCs w:val="20"/>
        </w:rPr>
        <w:t xml:space="preserve"> and </w:t>
      </w:r>
      <w:r w:rsidR="00F566D4">
        <w:rPr>
          <w:sz w:val="20"/>
          <w:szCs w:val="20"/>
        </w:rPr>
        <w:t>the</w:t>
      </w:r>
      <w:r w:rsidR="001E1410">
        <w:rPr>
          <w:sz w:val="20"/>
          <w:szCs w:val="20"/>
        </w:rPr>
        <w:t xml:space="preserve"> 2003</w:t>
      </w:r>
      <w:r w:rsidR="00F566D4">
        <w:rPr>
          <w:sz w:val="20"/>
          <w:szCs w:val="20"/>
        </w:rPr>
        <w:t xml:space="preserve"> </w:t>
      </w:r>
      <w:r w:rsidR="001E1410">
        <w:rPr>
          <w:sz w:val="20"/>
          <w:szCs w:val="20"/>
        </w:rPr>
        <w:t>Aspen fire</w:t>
      </w:r>
      <w:r w:rsidR="00F566D4">
        <w:rPr>
          <w:sz w:val="20"/>
          <w:szCs w:val="20"/>
        </w:rPr>
        <w:t>—</w:t>
      </w:r>
      <w:r w:rsidR="001E1410">
        <w:rPr>
          <w:sz w:val="20"/>
          <w:szCs w:val="20"/>
        </w:rPr>
        <w:t>burned and 343 km</w:t>
      </w:r>
      <w:r w:rsidR="001E1410">
        <w:rPr>
          <w:sz w:val="20"/>
          <w:szCs w:val="20"/>
          <w:vertAlign w:val="superscript"/>
        </w:rPr>
        <w:t>2</w:t>
      </w:r>
      <w:r w:rsidR="00D13952">
        <w:rPr>
          <w:sz w:val="20"/>
          <w:szCs w:val="20"/>
        </w:rPr>
        <w:t>, respectively.</w:t>
      </w:r>
    </w:p>
    <w:p w14:paraId="48F50357" w14:textId="77777777" w:rsidR="00A208E2" w:rsidRDefault="00A208E2" w:rsidP="00D7589D">
      <w:pPr>
        <w:spacing w:line="480" w:lineRule="auto"/>
        <w:rPr>
          <w:sz w:val="20"/>
          <w:szCs w:val="20"/>
        </w:rPr>
      </w:pPr>
    </w:p>
    <w:p w14:paraId="3D7A9B21" w14:textId="5A235BCB" w:rsidR="00A70D07" w:rsidRDefault="00A70D07" w:rsidP="00D7589D">
      <w:pPr>
        <w:spacing w:line="480" w:lineRule="auto"/>
        <w:rPr>
          <w:sz w:val="20"/>
          <w:szCs w:val="20"/>
        </w:rPr>
      </w:pPr>
      <w:r>
        <w:rPr>
          <w:sz w:val="20"/>
          <w:szCs w:val="20"/>
        </w:rPr>
        <w:t xml:space="preserve">Sampling encompassed two </w:t>
      </w:r>
      <w:r w:rsidR="00535EB3">
        <w:rPr>
          <w:sz w:val="20"/>
          <w:szCs w:val="20"/>
        </w:rPr>
        <w:t>fire affected</w:t>
      </w:r>
      <w:r>
        <w:rPr>
          <w:sz w:val="20"/>
          <w:szCs w:val="20"/>
        </w:rPr>
        <w:t xml:space="preserve"> and two </w:t>
      </w:r>
      <w:r w:rsidR="00535EB3">
        <w:rPr>
          <w:sz w:val="20"/>
          <w:szCs w:val="20"/>
        </w:rPr>
        <w:t>fire unaffected</w:t>
      </w:r>
      <w:r>
        <w:rPr>
          <w:sz w:val="20"/>
          <w:szCs w:val="20"/>
        </w:rPr>
        <w:t xml:space="preserve"> sites in both ranges at similar elevations.</w:t>
      </w:r>
      <w:r w:rsidR="00BB5FFD">
        <w:rPr>
          <w:sz w:val="20"/>
          <w:szCs w:val="20"/>
        </w:rPr>
        <w:t xml:space="preserve"> </w:t>
      </w:r>
      <w:r>
        <w:rPr>
          <w:sz w:val="20"/>
          <w:szCs w:val="20"/>
        </w:rPr>
        <w:t xml:space="preserve">In </w:t>
      </w:r>
      <w:r w:rsidR="003C7A74">
        <w:rPr>
          <w:sz w:val="20"/>
          <w:szCs w:val="20"/>
        </w:rPr>
        <w:t>SCM</w:t>
      </w:r>
      <w:r>
        <w:rPr>
          <w:sz w:val="20"/>
          <w:szCs w:val="20"/>
        </w:rPr>
        <w:t xml:space="preserve">, six trees were samples per site (total 12 trees in burned sites, 12 trees in unburned sites). Based on species accumulation curves from previous studies (Bowman and Arnold, in review), we </w:t>
      </w:r>
      <w:r w:rsidR="003C7A74">
        <w:rPr>
          <w:sz w:val="20"/>
          <w:szCs w:val="20"/>
        </w:rPr>
        <w:t>reduced sampling in PM to</w:t>
      </w:r>
      <w:r>
        <w:rPr>
          <w:sz w:val="20"/>
          <w:szCs w:val="20"/>
        </w:rPr>
        <w:t xml:space="preserve"> five trees per site (total 10 trees in burned sites, 10 trees in unburned sites).</w:t>
      </w:r>
      <w:r w:rsidR="00645FB7">
        <w:rPr>
          <w:sz w:val="20"/>
          <w:szCs w:val="20"/>
        </w:rPr>
        <w:t xml:space="preserve"> Roots were collected by soil coring.</w:t>
      </w:r>
      <w:r w:rsidR="003C7A74">
        <w:rPr>
          <w:sz w:val="20"/>
          <w:szCs w:val="20"/>
        </w:rPr>
        <w:t xml:space="preserve"> </w:t>
      </w:r>
      <w:r w:rsidR="00FB7B74">
        <w:rPr>
          <w:sz w:val="20"/>
          <w:szCs w:val="20"/>
        </w:rPr>
        <w:t>Three root cores</w:t>
      </w:r>
      <w:r w:rsidR="00645FB7">
        <w:rPr>
          <w:sz w:val="20"/>
          <w:szCs w:val="20"/>
        </w:rPr>
        <w:t xml:space="preserve"> (5 cm diameter; 15 cm depth) </w:t>
      </w:r>
      <w:r w:rsidR="00FB7B74">
        <w:rPr>
          <w:sz w:val="20"/>
          <w:szCs w:val="20"/>
        </w:rPr>
        <w:t>were collected</w:t>
      </w:r>
      <w:r w:rsidR="000F392C">
        <w:rPr>
          <w:sz w:val="20"/>
          <w:szCs w:val="20"/>
        </w:rPr>
        <w:t xml:space="preserve"> at the canopy dripline</w:t>
      </w:r>
      <w:r w:rsidR="00FB7B74">
        <w:rPr>
          <w:sz w:val="20"/>
          <w:szCs w:val="20"/>
        </w:rPr>
        <w:t xml:space="preserve"> from each sampled tree corresponding to uphill, parallel, and downhill of the tree</w:t>
      </w:r>
      <w:r w:rsidR="00FB7B74">
        <w:rPr>
          <w:sz w:val="20"/>
          <w:szCs w:val="20"/>
        </w:rPr>
        <w:t xml:space="preserve"> (SCM: 72 root cores; PM: 60 root cores).</w:t>
      </w:r>
      <w:r w:rsidR="00095E27">
        <w:rPr>
          <w:sz w:val="20"/>
          <w:szCs w:val="20"/>
        </w:rPr>
        <w:t xml:space="preserve"> The litter layer was removed prior to coring and roots were transported in plastic bags in a cooler back to the lab. Roots were stored at -20°C before processing.</w:t>
      </w:r>
    </w:p>
    <w:p w14:paraId="0E45E8B4" w14:textId="77777777" w:rsidR="00565071" w:rsidRDefault="00565071" w:rsidP="00D7589D">
      <w:pPr>
        <w:spacing w:line="480" w:lineRule="auto"/>
        <w:rPr>
          <w:sz w:val="20"/>
          <w:szCs w:val="20"/>
        </w:rPr>
      </w:pPr>
    </w:p>
    <w:p w14:paraId="78E0DDB2" w14:textId="0C2C4DC0" w:rsidR="00565071" w:rsidRPr="00565071" w:rsidRDefault="00565071" w:rsidP="00565071">
      <w:pPr>
        <w:spacing w:line="480" w:lineRule="auto"/>
        <w:rPr>
          <w:sz w:val="20"/>
          <w:szCs w:val="20"/>
        </w:rPr>
      </w:pPr>
      <w:r w:rsidRPr="00565071">
        <w:rPr>
          <w:sz w:val="20"/>
          <w:szCs w:val="20"/>
        </w:rPr>
        <w:t xml:space="preserve">Roots were gently cleaned with tap water over a 2 mm sieve. Root tips with evidence of EM fungal colonization were examined under a dissecting microscope. When cores were obtained from mixed forests (pine-oak woodlands and pine-Douglas fir forests; Table I), we used morphological and genetic evaluations to confirm the species identity of roots. </w:t>
      </w:r>
      <w:proofErr w:type="spellStart"/>
      <w:r w:rsidRPr="00565071">
        <w:rPr>
          <w:i/>
          <w:sz w:val="20"/>
          <w:szCs w:val="20"/>
        </w:rPr>
        <w:t>Quercus</w:t>
      </w:r>
      <w:proofErr w:type="spellEnd"/>
      <w:r w:rsidRPr="00565071">
        <w:rPr>
          <w:sz w:val="20"/>
          <w:szCs w:val="20"/>
        </w:rPr>
        <w:t xml:space="preserve"> roots were identified on the basis of morphological differences from roots of </w:t>
      </w:r>
      <w:r w:rsidRPr="00565071">
        <w:rPr>
          <w:i/>
          <w:sz w:val="20"/>
          <w:szCs w:val="20"/>
        </w:rPr>
        <w:t xml:space="preserve">Pinus </w:t>
      </w:r>
      <w:r w:rsidRPr="00565071">
        <w:rPr>
          <w:sz w:val="20"/>
          <w:szCs w:val="20"/>
        </w:rPr>
        <w:t xml:space="preserve">and were discarded. However, roots of </w:t>
      </w:r>
      <w:proofErr w:type="spellStart"/>
      <w:r w:rsidRPr="00565071">
        <w:rPr>
          <w:i/>
          <w:sz w:val="20"/>
          <w:szCs w:val="20"/>
        </w:rPr>
        <w:t>Pseudotsuga</w:t>
      </w:r>
      <w:proofErr w:type="spellEnd"/>
      <w:r w:rsidRPr="00565071">
        <w:rPr>
          <w:i/>
          <w:sz w:val="20"/>
          <w:szCs w:val="20"/>
        </w:rPr>
        <w:t xml:space="preserve"> </w:t>
      </w:r>
      <w:proofErr w:type="spellStart"/>
      <w:r w:rsidRPr="00565071">
        <w:rPr>
          <w:i/>
          <w:sz w:val="20"/>
          <w:szCs w:val="20"/>
        </w:rPr>
        <w:t>menziesii</w:t>
      </w:r>
      <w:proofErr w:type="spellEnd"/>
      <w:r w:rsidRPr="00565071">
        <w:rPr>
          <w:sz w:val="20"/>
          <w:szCs w:val="20"/>
        </w:rPr>
        <w:t xml:space="preserve"> are similar in appearance to those of </w:t>
      </w:r>
      <w:r w:rsidRPr="00565071">
        <w:rPr>
          <w:i/>
          <w:sz w:val="20"/>
          <w:szCs w:val="20"/>
        </w:rPr>
        <w:t>P. ponderosa</w:t>
      </w:r>
      <w:r w:rsidRPr="00565071">
        <w:rPr>
          <w:sz w:val="20"/>
          <w:szCs w:val="20"/>
        </w:rPr>
        <w:t xml:space="preserve">. Therefore, we amplified the plastid </w:t>
      </w:r>
      <w:proofErr w:type="spellStart"/>
      <w:r w:rsidRPr="00565071">
        <w:rPr>
          <w:sz w:val="20"/>
          <w:szCs w:val="20"/>
        </w:rPr>
        <w:t>trnL</w:t>
      </w:r>
      <w:proofErr w:type="spellEnd"/>
      <w:r w:rsidRPr="00565071">
        <w:rPr>
          <w:sz w:val="20"/>
          <w:szCs w:val="20"/>
        </w:rPr>
        <w:t xml:space="preserve"> region from all EM root tips collected in sites where </w:t>
      </w:r>
      <w:r w:rsidRPr="00565071">
        <w:rPr>
          <w:i/>
          <w:sz w:val="20"/>
          <w:szCs w:val="20"/>
        </w:rPr>
        <w:t xml:space="preserve">P. </w:t>
      </w:r>
      <w:proofErr w:type="spellStart"/>
      <w:r w:rsidRPr="00565071">
        <w:rPr>
          <w:i/>
          <w:sz w:val="20"/>
          <w:szCs w:val="20"/>
        </w:rPr>
        <w:lastRenderedPageBreak/>
        <w:t>menziesii</w:t>
      </w:r>
      <w:proofErr w:type="spellEnd"/>
      <w:r w:rsidRPr="00565071">
        <w:rPr>
          <w:sz w:val="20"/>
          <w:szCs w:val="20"/>
        </w:rPr>
        <w:t xml:space="preserve"> was present and digested the PCR product using the restriction enzyme </w:t>
      </w:r>
      <w:proofErr w:type="spellStart"/>
      <w:r w:rsidRPr="00565071">
        <w:rPr>
          <w:sz w:val="20"/>
          <w:szCs w:val="20"/>
        </w:rPr>
        <w:t>Rsal</w:t>
      </w:r>
      <w:proofErr w:type="spellEnd"/>
      <w:r w:rsidRPr="00565071">
        <w:rPr>
          <w:sz w:val="20"/>
          <w:szCs w:val="20"/>
        </w:rPr>
        <w:t xml:space="preserve"> (</w:t>
      </w:r>
      <w:proofErr w:type="spellStart"/>
      <w:r w:rsidRPr="00565071">
        <w:rPr>
          <w:sz w:val="20"/>
          <w:szCs w:val="20"/>
        </w:rPr>
        <w:t>Thermo</w:t>
      </w:r>
      <w:proofErr w:type="spellEnd"/>
      <w:r w:rsidRPr="00565071">
        <w:rPr>
          <w:sz w:val="20"/>
          <w:szCs w:val="20"/>
        </w:rPr>
        <w:t xml:space="preserve"> Fisher Scientific, Waltham, Massachusetts, USA). We then used electrophoresis with a 1% agarose gel to discern host species based on banding patterns. DNA extracted from </w:t>
      </w:r>
      <w:r w:rsidRPr="00565071">
        <w:rPr>
          <w:i/>
          <w:sz w:val="20"/>
          <w:szCs w:val="20"/>
        </w:rPr>
        <w:t xml:space="preserve">P. ponderosa </w:t>
      </w:r>
      <w:r w:rsidRPr="00565071">
        <w:rPr>
          <w:sz w:val="20"/>
          <w:szCs w:val="20"/>
        </w:rPr>
        <w:t>leaves was used as a po</w:t>
      </w:r>
      <w:bookmarkStart w:id="0" w:name="_GoBack"/>
      <w:bookmarkEnd w:id="0"/>
      <w:r w:rsidRPr="00565071">
        <w:rPr>
          <w:sz w:val="20"/>
          <w:szCs w:val="20"/>
        </w:rPr>
        <w:t>sitive control.</w:t>
      </w:r>
    </w:p>
    <w:p w14:paraId="65A5ECF3" w14:textId="77777777" w:rsidR="00565071" w:rsidRPr="00565071" w:rsidRDefault="00565071" w:rsidP="00565071">
      <w:pPr>
        <w:spacing w:line="480" w:lineRule="auto"/>
        <w:rPr>
          <w:sz w:val="20"/>
          <w:szCs w:val="20"/>
        </w:rPr>
      </w:pPr>
      <w:r w:rsidRPr="00565071">
        <w:rPr>
          <w:sz w:val="20"/>
          <w:szCs w:val="20"/>
        </w:rPr>
        <w:t xml:space="preserve"> </w:t>
      </w:r>
    </w:p>
    <w:p w14:paraId="298006B6" w14:textId="77777777" w:rsidR="00565071" w:rsidRPr="00565071" w:rsidRDefault="00565071" w:rsidP="00565071">
      <w:pPr>
        <w:spacing w:line="480" w:lineRule="auto"/>
        <w:rPr>
          <w:sz w:val="20"/>
          <w:szCs w:val="20"/>
        </w:rPr>
      </w:pPr>
      <w:r w:rsidRPr="00565071">
        <w:rPr>
          <w:sz w:val="20"/>
          <w:szCs w:val="20"/>
        </w:rPr>
        <w:t xml:space="preserve">We sorted EM root tips from </w:t>
      </w:r>
      <w:r w:rsidRPr="00565071">
        <w:rPr>
          <w:i/>
          <w:sz w:val="20"/>
          <w:szCs w:val="20"/>
        </w:rPr>
        <w:t>P. ponderosa</w:t>
      </w:r>
      <w:r w:rsidRPr="00565071">
        <w:rPr>
          <w:sz w:val="20"/>
          <w:szCs w:val="20"/>
        </w:rPr>
        <w:t xml:space="preserve"> to </w:t>
      </w:r>
      <w:proofErr w:type="spellStart"/>
      <w:r w:rsidRPr="00565071">
        <w:rPr>
          <w:sz w:val="20"/>
          <w:szCs w:val="20"/>
        </w:rPr>
        <w:t>morphotypes</w:t>
      </w:r>
      <w:proofErr w:type="spellEnd"/>
      <w:r w:rsidRPr="00565071">
        <w:rPr>
          <w:sz w:val="20"/>
          <w:szCs w:val="20"/>
        </w:rPr>
        <w:t xml:space="preserve"> based on physical characteristics of the EM mantle. The number of live root tips per morphotype was recorded for each soil core. One or two representative tips of each morphotype per core were chosen haphazardly for DNA extraction. All other root tips were stored in </w:t>
      </w:r>
      <w:proofErr w:type="spellStart"/>
      <w:r w:rsidRPr="00565071">
        <w:rPr>
          <w:sz w:val="20"/>
          <w:szCs w:val="20"/>
        </w:rPr>
        <w:t>cetyltrimethyl</w:t>
      </w:r>
      <w:proofErr w:type="spellEnd"/>
      <w:r w:rsidRPr="00565071">
        <w:rPr>
          <w:sz w:val="20"/>
          <w:szCs w:val="20"/>
        </w:rPr>
        <w:t xml:space="preserve"> ammonium bromide (CTAB) at -80 °C. The remaining root samples were then air dried for 5-7 days, and their dry weight was recorded.</w:t>
      </w:r>
    </w:p>
    <w:p w14:paraId="2F8E4531" w14:textId="77777777" w:rsidR="00565071" w:rsidRPr="00565071" w:rsidRDefault="00565071" w:rsidP="00565071">
      <w:pPr>
        <w:spacing w:line="480" w:lineRule="auto"/>
        <w:rPr>
          <w:sz w:val="20"/>
          <w:szCs w:val="20"/>
        </w:rPr>
      </w:pPr>
    </w:p>
    <w:p w14:paraId="000130D0" w14:textId="71F8D6B3" w:rsidR="00565071" w:rsidRPr="00565071" w:rsidRDefault="00565071" w:rsidP="00565071">
      <w:pPr>
        <w:spacing w:line="480" w:lineRule="auto"/>
        <w:rPr>
          <w:sz w:val="20"/>
          <w:szCs w:val="20"/>
        </w:rPr>
      </w:pPr>
      <w:r w:rsidRPr="00565071">
        <w:rPr>
          <w:sz w:val="20"/>
          <w:szCs w:val="20"/>
        </w:rPr>
        <w:t xml:space="preserve">Total genomic DNA was extracted from root tips immediately after sorting using the </w:t>
      </w:r>
      <w:proofErr w:type="spellStart"/>
      <w:r w:rsidRPr="00565071">
        <w:rPr>
          <w:sz w:val="20"/>
          <w:szCs w:val="20"/>
        </w:rPr>
        <w:t>RedExtract</w:t>
      </w:r>
      <w:proofErr w:type="spellEnd"/>
      <w:r w:rsidRPr="00565071">
        <w:rPr>
          <w:sz w:val="20"/>
          <w:szCs w:val="20"/>
        </w:rPr>
        <w:t>-N-Amp plant PCR kit (Sigma-Aldrich, St. Louis, Missouri, USA) following the manufacturer’s instructions. The internal transcribed spacer region (</w:t>
      </w:r>
      <w:proofErr w:type="spellStart"/>
      <w:r w:rsidRPr="00565071">
        <w:rPr>
          <w:sz w:val="20"/>
          <w:szCs w:val="20"/>
        </w:rPr>
        <w:t>ITSrDNA</w:t>
      </w:r>
      <w:proofErr w:type="spellEnd"/>
      <w:r w:rsidRPr="00565071">
        <w:rPr>
          <w:sz w:val="20"/>
          <w:szCs w:val="20"/>
        </w:rPr>
        <w:t xml:space="preserve">, including ITS1, ITS2, and 5.8S rDNA) was PCR-amplified using primers ITS1F and </w:t>
      </w:r>
      <w:r w:rsidR="005335C3">
        <w:rPr>
          <w:sz w:val="20"/>
          <w:szCs w:val="20"/>
        </w:rPr>
        <w:t xml:space="preserve">LR3. </w:t>
      </w:r>
      <w:r w:rsidRPr="005335C3">
        <w:rPr>
          <w:sz w:val="20"/>
          <w:szCs w:val="20"/>
          <w:highlight w:val="yellow"/>
        </w:rPr>
        <w:t>We used primers ITS5 and LR3 for samples that failed to amplify during the initial PCR (Corrales et al., 2015).</w:t>
      </w:r>
      <w:r w:rsidRPr="00565071">
        <w:rPr>
          <w:sz w:val="20"/>
          <w:szCs w:val="20"/>
        </w:rPr>
        <w:t xml:space="preserve"> We did not use primer ITS4B because of the prevalence of ectomycorrhizal Ascomycota in preliminary surveys. We later separated sequences from EM fungi vs. other root-associated fungi for analyses (see below).</w:t>
      </w:r>
    </w:p>
    <w:p w14:paraId="7BBB6E58" w14:textId="77777777" w:rsidR="00565071" w:rsidRDefault="00565071" w:rsidP="00D7589D">
      <w:pPr>
        <w:spacing w:line="480" w:lineRule="auto"/>
        <w:rPr>
          <w:sz w:val="20"/>
          <w:szCs w:val="20"/>
        </w:rPr>
      </w:pPr>
    </w:p>
    <w:p w14:paraId="2849A25B" w14:textId="77777777" w:rsidR="00690A54" w:rsidRDefault="00690A54" w:rsidP="00D7589D">
      <w:pPr>
        <w:spacing w:line="480" w:lineRule="auto"/>
        <w:rPr>
          <w:sz w:val="20"/>
          <w:szCs w:val="20"/>
        </w:rPr>
      </w:pPr>
    </w:p>
    <w:p w14:paraId="38FE26ED" w14:textId="7FD50E9E" w:rsidR="00690A54" w:rsidRPr="00A70D07" w:rsidRDefault="00690A54" w:rsidP="00D7589D">
      <w:pPr>
        <w:spacing w:line="480" w:lineRule="auto"/>
        <w:rPr>
          <w:sz w:val="20"/>
          <w:szCs w:val="20"/>
        </w:rPr>
      </w:pPr>
      <w:r>
        <w:rPr>
          <w:sz w:val="20"/>
          <w:szCs w:val="20"/>
        </w:rPr>
        <w:t xml:space="preserve">Soil cores were collected from three trees per site (total 24 soil cores, 12 per range) and sent to </w:t>
      </w:r>
      <w:proofErr w:type="spellStart"/>
      <w:r>
        <w:rPr>
          <w:sz w:val="20"/>
          <w:szCs w:val="20"/>
        </w:rPr>
        <w:t>Motzz</w:t>
      </w:r>
      <w:proofErr w:type="spellEnd"/>
      <w:r>
        <w:rPr>
          <w:sz w:val="20"/>
          <w:szCs w:val="20"/>
        </w:rPr>
        <w:t xml:space="preserve"> Laboratories for complete soil analyses</w:t>
      </w:r>
      <w:r w:rsidR="00DF072A">
        <w:rPr>
          <w:sz w:val="20"/>
          <w:szCs w:val="20"/>
        </w:rPr>
        <w:t xml:space="preserve">. </w:t>
      </w:r>
    </w:p>
    <w:sectPr w:rsidR="00690A54" w:rsidRPr="00A70D07" w:rsidSect="0007552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62"/>
    <w:rsid w:val="00075520"/>
    <w:rsid w:val="00095E27"/>
    <w:rsid w:val="000B672B"/>
    <w:rsid w:val="000F392C"/>
    <w:rsid w:val="00105438"/>
    <w:rsid w:val="00114FDE"/>
    <w:rsid w:val="00166B2E"/>
    <w:rsid w:val="0017739A"/>
    <w:rsid w:val="00183976"/>
    <w:rsid w:val="001A2199"/>
    <w:rsid w:val="001E1410"/>
    <w:rsid w:val="00201600"/>
    <w:rsid w:val="00243E12"/>
    <w:rsid w:val="00251290"/>
    <w:rsid w:val="003C7A74"/>
    <w:rsid w:val="00406016"/>
    <w:rsid w:val="00411862"/>
    <w:rsid w:val="004F28D6"/>
    <w:rsid w:val="005335C3"/>
    <w:rsid w:val="00535EB3"/>
    <w:rsid w:val="00565071"/>
    <w:rsid w:val="005C63F5"/>
    <w:rsid w:val="005D1EB8"/>
    <w:rsid w:val="00645FB7"/>
    <w:rsid w:val="006560C1"/>
    <w:rsid w:val="00690A54"/>
    <w:rsid w:val="00706F4D"/>
    <w:rsid w:val="00726BDD"/>
    <w:rsid w:val="00743DD7"/>
    <w:rsid w:val="007F448D"/>
    <w:rsid w:val="00805824"/>
    <w:rsid w:val="00824D78"/>
    <w:rsid w:val="0082770F"/>
    <w:rsid w:val="00857BF4"/>
    <w:rsid w:val="009228ED"/>
    <w:rsid w:val="009C5440"/>
    <w:rsid w:val="009E74CC"/>
    <w:rsid w:val="00A208E2"/>
    <w:rsid w:val="00A70D07"/>
    <w:rsid w:val="00B10FB1"/>
    <w:rsid w:val="00BB5FFD"/>
    <w:rsid w:val="00C241C8"/>
    <w:rsid w:val="00C80D5E"/>
    <w:rsid w:val="00D10312"/>
    <w:rsid w:val="00D13952"/>
    <w:rsid w:val="00D47710"/>
    <w:rsid w:val="00D7589D"/>
    <w:rsid w:val="00DA6059"/>
    <w:rsid w:val="00DF072A"/>
    <w:rsid w:val="00E2383B"/>
    <w:rsid w:val="00E270FC"/>
    <w:rsid w:val="00E66C3D"/>
    <w:rsid w:val="00E7381E"/>
    <w:rsid w:val="00F566D4"/>
    <w:rsid w:val="00FB7B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574</Words>
  <Characters>3272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Elizabeth Bowman</cp:lastModifiedBy>
  <cp:revision>44</cp:revision>
  <dcterms:created xsi:type="dcterms:W3CDTF">2017-07-25T19:49:00Z</dcterms:created>
  <dcterms:modified xsi:type="dcterms:W3CDTF">2017-08-04T16:22:00Z</dcterms:modified>
</cp:coreProperties>
</file>