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000000" w:sz="6"/>
          <w:left w:val="single" w:color="000000" w:sz="6"/>
          <w:bottom w:val="single" w:color="000000" w:sz="6"/>
          <w:right w:val="single" w:color="000000" w:sz="6"/>
          <w:insideH w:val="none" w:color="FFFFFF" w:sz="0"/>
          <w:insideV w:val="none" w:color="FFFFFF" w:sz="0"/>
        </w:tblBorders>
      </w:tblPr>
      <w:tblGrid>
        <w:gridCol w:w="9360"/>
      </w:tblGrid>
      <w:tr>
        <w:tc>
          <w:tcPr>
            <w:tcW w:type="dxa" w:w="9360"/>
            <w:tcMar>
              <w:top w:type="dxa" w:w="160"/>
              <w:left w:type="dxa" w:w="220"/>
              <w:bottom w:type="dxa" w:w="160"/>
              <w:right w:type="dxa" w:w="220"/>
            </w:tcMar>
          </w:tcPr>
          <w:p>
            <w:pPr>
              <w:spacing w:after="20"/>
              <w:jc w:val="center"/>
            </w:pPr>
            <w:r>
              <w:rPr>
                <w:rFonts w:ascii="Times New Roman" w:cs="Times New Roman" w:eastAsia="Times New Roman" w:hAnsi="Times New Roman"/>
                <w:b/>
                <w:bCs/>
                <w:sz w:val="24"/>
                <w:szCs w:val="24"/>
              </w:rPr>
              <w:t xml:space="preserve">RESIDENTIAL TENANCIES ACT, 2006</w:t>
            </w:r>
          </w:p>
          <w:p>
            <w:pPr>
              <w:spacing w:after="120"/>
              <w:jc w:val="center"/>
            </w:pPr>
            <w:r>
              <w:rPr>
                <w:rFonts w:ascii="Times New Roman" w:cs="Times New Roman" w:eastAsia="Times New Roman" w:hAnsi="Times New Roman"/>
                <w:b/>
                <w:bCs/>
                <w:sz w:val="24"/>
                <w:szCs w:val="24"/>
              </w:rPr>
              <w:t xml:space="preserve">LANDLORD AND TENANT BOARD</w:t>
            </w:r>
          </w:p>
          <w:p>
            <w:pPr>
              <w:spacing w:after="160"/>
            </w:pPr>
            <w:r>
              <w:rPr>
                <w:rFonts w:ascii="Times New Roman" w:cs="Times New Roman" w:eastAsia="Times New Roman" w:hAnsi="Times New Roman"/>
                <w:sz w:val="24"/>
                <w:szCs w:val="24"/>
              </w:rPr>
              <w:t xml:space="preserve">File No. (T1): </w:t>
            </w:r>
            <w:r>
              <w:rPr>
                <w:rFonts w:ascii="Times New Roman" w:cs="Times New Roman" w:eastAsia="Times New Roman" w:hAnsi="Times New Roman"/>
                <w:sz w:val="24"/>
                <w:szCs w:val="24"/>
              </w:rPr>
              <w:t xml:space="preserve">____________________</w:t>
            </w:r>
          </w:p>
          <w:p>
            <w:pPr>
              <w:spacing w:after="40"/>
            </w:pPr>
            <w:r>
              <w:rPr>
                <w:rFonts w:ascii="Times New Roman" w:cs="Times New Roman" w:eastAsia="Times New Roman" w:hAnsi="Times New Roman"/>
                <w:b/>
                <w:bCs/>
                <w:sz w:val="22"/>
                <w:szCs w:val="22"/>
              </w:rPr>
              <w:t xml:space="preserve">B E T W E E N :</w:t>
            </w:r>
          </w:p>
          <w:p>
            <w:pPr>
              <w:spacing w:after="0"/>
              <w:jc w:val="center"/>
            </w:pPr>
            <w:r>
              <w:rPr>
                <w:rFonts w:ascii="Times New Roman" w:cs="Times New Roman" w:eastAsia="Times New Roman" w:hAnsi="Times New Roman"/>
                <w:b/>
                <w:bCs/>
                <w:sz w:val="24"/>
                <w:szCs w:val="24"/>
              </w:rPr>
              <w:t xml:space="preserve">KELANI MAEMUNAT and JOSEPH OLADIMEJI</w:t>
            </w:r>
          </w:p>
          <w:p>
            <w:pPr>
              <w:spacing w:after="80"/>
              <w:jc w:val="right"/>
            </w:pPr>
            <w:r>
              <w:rPr>
                <w:rFonts w:ascii="Times New Roman" w:cs="Times New Roman" w:eastAsia="Times New Roman" w:hAnsi="Times New Roman"/>
                <w:i/>
                <w:iCs/>
                <w:sz w:val="22"/>
                <w:szCs w:val="22"/>
              </w:rPr>
              <w:t xml:space="preserve">Applicants (Tenants)</w:t>
            </w:r>
          </w:p>
          <w:p>
            <w:pPr>
              <w:spacing w:after="80"/>
              <w:jc w:val="center"/>
            </w:pPr>
            <w:r>
              <w:rPr>
                <w:rFonts w:ascii="Times New Roman" w:cs="Times New Roman" w:eastAsia="Times New Roman" w:hAnsi="Times New Roman"/>
                <w:sz w:val="24"/>
                <w:szCs w:val="24"/>
              </w:rPr>
              <w:t xml:space="preserve">– and –</w:t>
            </w:r>
          </w:p>
          <w:p>
            <w:pPr>
              <w:spacing w:after="0"/>
              <w:jc w:val="center"/>
            </w:pPr>
            <w:r>
              <w:rPr>
                <w:rFonts w:ascii="Times New Roman" w:cs="Times New Roman" w:eastAsia="Times New Roman" w:hAnsi="Times New Roman"/>
                <w:b/>
                <w:bCs/>
                <w:sz w:val="24"/>
                <w:szCs w:val="24"/>
              </w:rPr>
              <w:t xml:space="preserve">2866747 ONTARIO INC., o/a WEBER RENTAL PROPERTIES</w:t>
            </w:r>
          </w:p>
          <w:p>
            <w:pPr>
              <w:spacing w:after="0"/>
              <w:jc w:val="center"/>
            </w:pPr>
            <w:r>
              <w:rPr>
                <w:rFonts w:ascii="Times New Roman" w:cs="Times New Roman" w:eastAsia="Times New Roman" w:hAnsi="Times New Roman"/>
                <w:b/>
                <w:bCs/>
                <w:sz w:val="22"/>
                <w:szCs w:val="22"/>
              </w:rPr>
              <w:t xml:space="preserve">(c/o SETH FAIK)</w:t>
            </w:r>
          </w:p>
          <w:p>
            <w:pPr>
              <w:spacing w:after="120"/>
              <w:jc w:val="right"/>
            </w:pPr>
            <w:r>
              <w:rPr>
                <w:rFonts w:ascii="Times New Roman" w:cs="Times New Roman" w:eastAsia="Times New Roman" w:hAnsi="Times New Roman"/>
                <w:i/>
                <w:iCs/>
                <w:sz w:val="22"/>
                <w:szCs w:val="22"/>
              </w:rPr>
              <w:t xml:space="preserve">Respondent (Landlord)</w:t>
            </w:r>
          </w:p>
          <w:p>
            <w:pPr>
              <w:spacing w:after="0"/>
            </w:pPr>
            <w:r>
              <w:rPr>
                <w:rFonts w:ascii="Times New Roman" w:cs="Times New Roman" w:eastAsia="Times New Roman" w:hAnsi="Times New Roman"/>
                <w:sz w:val="22"/>
                <w:szCs w:val="22"/>
              </w:rPr>
              <w:t xml:space="preserve">Rental Unit:  Unit 2 – 360 Prospect Avenue, Kitchener, Ontario  N2A 1E1</w:t>
            </w:r>
          </w:p>
        </w:tc>
      </w:tr>
    </w:tbl>
    <w:p>
      <w:pPr>
        <w:spacing w:after="140"/>
      </w:pPr>
    </w:p>
    <w:p>
      <w:pPr>
        <w:pBdr>
          <w:bottom w:val="single" w:color="000000" w:sz="6" w:space="4"/>
        </w:pBdr>
        <w:spacing w:after="20"/>
        <w:jc w:val="center"/>
      </w:pPr>
      <w:r>
        <w:rPr>
          <w:rFonts w:ascii="Times New Roman" w:cs="Times New Roman" w:eastAsia="Times New Roman" w:hAnsi="Times New Roman"/>
          <w:b/>
          <w:bCs/>
          <w:caps/>
          <w:sz w:val="28"/>
          <w:szCs w:val="28"/>
        </w:rPr>
        <w:t xml:space="preserve">TENANTS’ WRITTEN SUBMISSIONS</w:t>
      </w:r>
    </w:p>
    <w:p>
      <w:pPr>
        <w:spacing w:after="200" w:before="60"/>
        <w:jc w:val="center"/>
      </w:pPr>
      <w:r>
        <w:rPr>
          <w:rFonts w:ascii="Times New Roman" w:cs="Times New Roman" w:eastAsia="Times New Roman" w:hAnsi="Times New Roman"/>
          <w:i/>
          <w:iCs/>
          <w:sz w:val="22"/>
          <w:szCs w:val="22"/>
        </w:rPr>
        <w:t xml:space="preserve">Application for a Rebate (Form T1 — s. 135 — Key Deposit)</w:t>
      </w:r>
    </w:p>
    <w:p>
      <w:pPr>
        <w:keepNext/>
        <w:spacing w:after="120" w:before="300"/>
      </w:pPr>
      <w:r>
        <w:rPr>
          <w:rFonts w:ascii="Times New Roman" w:cs="Times New Roman" w:eastAsia="Times New Roman" w:hAnsi="Times New Roman"/>
          <w:b/>
          <w:bCs/>
          <w:caps/>
          <w:color w:val="1F3864"/>
          <w:sz w:val="24"/>
          <w:szCs w:val="24"/>
        </w:rPr>
        <w:t xml:space="preserve">I.  Overview</w:t>
      </w:r>
    </w:p>
    <w:p>
      <w:pPr>
        <w:spacing w:after="140" w:line="300"/>
        <w:jc w:val="both"/>
      </w:pPr>
      <w:r>
        <w:rPr>
          <w:rFonts w:ascii="Times New Roman" w:cs="Times New Roman" w:eastAsia="Times New Roman" w:hAnsi="Times New Roman"/>
          <w:sz w:val="24"/>
          <w:szCs w:val="24"/>
        </w:rPr>
        <w:t xml:space="preserve">These are the Tenants’ written submissions on their application under section 135 of the Residential Tenancies Act, 2006 (the “Act”) for the return of a $100.00 key deposit collected by the Respondent at the start of the tenancy and never refunded. This application arises from the same tenancy at Unit 2 – 360 Prospect Avenue, Kitchener, and is intended to be heard together with the Tenants’ companion applications about maintenance (Form T6) and tenant rights (Form T2).</w:t>
      </w:r>
    </w:p>
    <w:p>
      <w:pPr>
        <w:keepNext/>
        <w:pageBreakBefore/>
        <w:spacing w:after="120" w:before="300"/>
      </w:pPr>
      <w:r>
        <w:rPr>
          <w:rFonts w:ascii="Times New Roman" w:cs="Times New Roman" w:eastAsia="Times New Roman" w:hAnsi="Times New Roman"/>
          <w:b/>
          <w:bCs/>
          <w:caps/>
          <w:color w:val="1F3864"/>
          <w:sz w:val="24"/>
          <w:szCs w:val="24"/>
        </w:rPr>
        <w:t xml:space="preserve">II.  Background and Parties</w:t>
      </w:r>
    </w:p>
    <w:p>
      <w:pPr>
        <w:spacing w:after="140" w:line="300"/>
        <w:jc w:val="both"/>
      </w:pPr>
      <w:r>
        <w:rPr>
          <w:rFonts w:ascii="Times New Roman" w:cs="Times New Roman" w:eastAsia="Times New Roman" w:hAnsi="Times New Roman"/>
          <w:sz w:val="24"/>
          <w:szCs w:val="24"/>
        </w:rPr>
        <w:t xml:space="preserve">The Applicants, Kelani Maemunat and Joseph Oladimeji, were the tenants of Unit 2. The Respondent, 2866747 Ontario Inc., operating as Weber Rental Properties (c/o Seth Faik), was the landlord. The tenancy ran from February 1, 2025 to April 30, 2026.</w:t>
      </w:r>
    </w:p>
    <w:p>
      <w:pPr>
        <w:keepNext/>
        <w:pageBreakBefore/>
        <w:spacing w:after="120" w:before="300"/>
      </w:pPr>
      <w:r>
        <w:rPr>
          <w:rFonts w:ascii="Times New Roman" w:cs="Times New Roman" w:eastAsia="Times New Roman" w:hAnsi="Times New Roman"/>
          <w:b/>
          <w:bCs/>
          <w:caps/>
          <w:color w:val="1F3864"/>
          <w:sz w:val="24"/>
          <w:szCs w:val="24"/>
        </w:rPr>
        <w:t xml:space="preserve">III.  The Unreturned Key Deposit</w:t>
      </w:r>
    </w:p>
    <w:p>
      <w:pPr>
        <w:spacing w:after="140" w:line="300"/>
        <w:jc w:val="both"/>
      </w:pPr>
      <w:r>
        <w:rPr>
          <w:rFonts w:ascii="Times New Roman" w:cs="Times New Roman" w:eastAsia="Times New Roman" w:hAnsi="Times New Roman"/>
          <w:sz w:val="24"/>
          <w:szCs w:val="24"/>
        </w:rPr>
        <w:t xml:space="preserve">At the outset of the tenancy the Respondent collected a key deposit of $100.00 from the Tenants (Exhibits K-1 and K-2, Schedule A). The keys were returned to the Respondent on move-out, April 30, 2026 (Exhibit K-3). The Respondent has not refunded the $100.00 key deposit.</w:t>
      </w:r>
    </w:p>
    <w:p>
      <w:pPr>
        <w:keepNext/>
        <w:pageBreakBefore/>
        <w:spacing w:after="120" w:before="300"/>
      </w:pPr>
      <w:r>
        <w:rPr>
          <w:rFonts w:ascii="Times New Roman" w:cs="Times New Roman" w:eastAsia="Times New Roman" w:hAnsi="Times New Roman"/>
          <w:b/>
          <w:bCs/>
          <w:caps/>
          <w:color w:val="1F3864"/>
          <w:sz w:val="24"/>
          <w:szCs w:val="24"/>
        </w:rPr>
        <w:t xml:space="preserve">IV.  Retention of the Deposit After Return of the Keys (ss. 105 and 135)</w:t>
      </w:r>
    </w:p>
    <w:p>
      <w:pPr>
        <w:spacing w:after="140" w:line="300"/>
        <w:jc w:val="both"/>
      </w:pPr>
      <w:r>
        <w:rPr>
          <w:rFonts w:ascii="Times New Roman" w:cs="Times New Roman" w:eastAsia="Times New Roman" w:hAnsi="Times New Roman"/>
          <w:b/>
          <w:bCs/>
          <w:sz w:val="24"/>
          <w:szCs w:val="24"/>
        </w:rPr>
        <w:t xml:space="preserve">Retention after the keys were returned.  </w:t>
      </w:r>
      <w:r>
        <w:rPr>
          <w:rFonts w:ascii="Times New Roman" w:cs="Times New Roman" w:eastAsia="Times New Roman" w:hAnsi="Times New Roman"/>
          <w:sz w:val="24"/>
          <w:szCs w:val="24"/>
        </w:rPr>
        <w:t xml:space="preserve">The simplest and strongest point is this: a key deposit is, by its nature, refundable, and the keys were returned to the Respondent on move-out (April 30, 2026). Absent evidence that the keys were not returned or that replacement costs were incurred, there was no basis to retain the deposit. Even if the Board were to conclude that the amount initially collected was permissible, the Respondent was required to return the deposit once the keys were returned. The continued retention of the deposit is contrary to the Act and entitles the Tenants to relief under section 135.</w:t>
      </w:r>
    </w:p>
    <w:p>
      <w:pPr>
        <w:spacing w:after="140" w:line="300"/>
        <w:jc w:val="both"/>
      </w:pPr>
      <w:r>
        <w:rPr>
          <w:rFonts w:ascii="Times New Roman" w:cs="Times New Roman" w:eastAsia="Times New Roman" w:hAnsi="Times New Roman"/>
          <w:b/>
          <w:bCs/>
          <w:sz w:val="24"/>
          <w:szCs w:val="24"/>
        </w:rPr>
        <w:t xml:space="preserve">The amount also exceeds the permissible limit.  </w:t>
      </w:r>
      <w:r>
        <w:rPr>
          <w:rFonts w:ascii="Times New Roman" w:cs="Times New Roman" w:eastAsia="Times New Roman" w:hAnsi="Times New Roman"/>
          <w:sz w:val="24"/>
          <w:szCs w:val="24"/>
        </w:rPr>
        <w:t xml:space="preserve">Separately, a key deposit is permitted only as a limited exception to the prohibition on security deposits in section 105: it must be refundable and must not exceed the direct cost of replacing the key. There is presently no evidence before the Board establishing that $100.00 represented the actual replacement cost of the keys provided. To the extent the deposit exceeds the genuine replacement cost, it was an unlawful deposit from the outset.</w:t>
      </w:r>
    </w:p>
    <w:p>
      <w:pPr>
        <w:spacing w:after="140" w:line="300"/>
        <w:jc w:val="both"/>
      </w:pPr>
      <w:r>
        <w:rPr>
          <w:rFonts w:ascii="Times New Roman" w:cs="Times New Roman" w:eastAsia="Times New Roman" w:hAnsi="Times New Roman"/>
          <w:b/>
          <w:bCs/>
          <w:sz w:val="24"/>
          <w:szCs w:val="24"/>
        </w:rPr>
        <w:t xml:space="preserve">Recovery and limitation.  </w:t>
      </w:r>
      <w:r>
        <w:rPr>
          <w:rFonts w:ascii="Times New Roman" w:cs="Times New Roman" w:eastAsia="Times New Roman" w:hAnsi="Times New Roman"/>
          <w:sz w:val="24"/>
          <w:szCs w:val="24"/>
        </w:rPr>
        <w:t xml:space="preserve">Section 135(1) permits a tenant or former tenant to apply for an order that the landlord pay back any money the landlord “collected or retained” in contravention of the Act. A key deposit that is not refunded when the keys are returned — or that exceeds the cost of the key — is money retained in contravention of the Act. The application is in time: the money was retained on move-out (April 30, 2026), within the one-year period in section 135(4).</w:t>
      </w:r>
    </w:p>
    <w:p>
      <w:pPr>
        <w:spacing w:after="140" w:line="300"/>
        <w:jc w:val="both"/>
      </w:pPr>
      <w:r>
        <w:rPr>
          <w:rFonts w:ascii="Times New Roman" w:cs="Times New Roman" w:eastAsia="Times New Roman" w:hAnsi="Times New Roman"/>
          <w:sz w:val="24"/>
          <w:szCs w:val="24"/>
        </w:rPr>
        <w:t xml:space="preserve">The Tenants returned the keys upon vacating the unit and complied with their obligations under the tenancy agreement. Despite doing so, the Respondent has retained the deposit without explanation or reimbursement.</w:t>
      </w:r>
    </w:p>
    <w:p>
      <w:pPr>
        <w:spacing w:after="140" w:line="300"/>
        <w:jc w:val="both"/>
      </w:pPr>
      <w:r>
        <w:rPr>
          <w:rFonts w:ascii="Times New Roman" w:cs="Times New Roman" w:eastAsia="Times New Roman" w:hAnsi="Times New Roman"/>
          <w:sz w:val="24"/>
          <w:szCs w:val="24"/>
        </w:rPr>
        <w:t xml:space="preserve">The Respondent has not alleged that the keys were lost, damaged, or not returned, nor has it identified any replacement expense that would justify retaining the deposit. On the evidence before the Board, the deposit should have been refunded when the tenancy ended.</w:t>
      </w:r>
    </w:p>
    <w:p>
      <w:pPr>
        <w:keepNext/>
        <w:pageBreakBefore/>
        <w:spacing w:after="120" w:before="300"/>
      </w:pPr>
      <w:r>
        <w:rPr>
          <w:rFonts w:ascii="Times New Roman" w:cs="Times New Roman" w:eastAsia="Times New Roman" w:hAnsi="Times New Roman"/>
          <w:b/>
          <w:bCs/>
          <w:caps/>
          <w:color w:val="1F3864"/>
          <w:sz w:val="24"/>
          <w:szCs w:val="24"/>
        </w:rPr>
        <w:t xml:space="preserve">V.  Remedy Sought</w:t>
      </w:r>
    </w:p>
    <w:p>
      <w:pPr>
        <w:spacing w:after="140" w:line="300"/>
        <w:jc w:val="both"/>
      </w:pPr>
      <w:r>
        <w:rPr>
          <w:rFonts w:ascii="Times New Roman" w:cs="Times New Roman" w:eastAsia="Times New Roman" w:hAnsi="Times New Roman"/>
          <w:sz w:val="24"/>
          <w:szCs w:val="24"/>
        </w:rPr>
        <w:t xml:space="preserve">The Tenants seek an order that the Respondent pay:</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Return of the key deposit. </w:t>
      </w:r>
      <w:r>
        <w:rPr>
          <w:rFonts w:ascii="Times New Roman" w:cs="Times New Roman" w:eastAsia="Times New Roman" w:hAnsi="Times New Roman"/>
          <w:sz w:val="24"/>
          <w:szCs w:val="24"/>
        </w:rPr>
        <w:t xml:space="preserve">$100.00, being the key deposit collected and not refunded.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Application filing fee. </w:t>
      </w:r>
      <w:r>
        <w:rPr>
          <w:rFonts w:ascii="Times New Roman" w:cs="Times New Roman" w:eastAsia="Times New Roman" w:hAnsi="Times New Roman"/>
          <w:sz w:val="24"/>
          <w:szCs w:val="24"/>
        </w:rPr>
        <w:t xml:space="preserve">Reimbursement of the filing fee paid by the Tenants, in accordance with the Board’s usual practice.</w:t>
      </w:r>
    </w:p>
    <w:p>
      <w:pPr>
        <w:spacing w:after="120"/>
      </w:pPr>
    </w:p>
    <w:p>
      <w:pPr>
        <w:spacing w:after="200"/>
      </w:pPr>
      <w:r>
        <w:rPr>
          <w:rFonts w:ascii="Times New Roman" w:cs="Times New Roman" w:eastAsia="Times New Roman" w:hAnsi="Times New Roman"/>
          <w:b/>
          <w:bCs/>
          <w:sz w:val="24"/>
          <w:szCs w:val="24"/>
        </w:rPr>
        <w:t xml:space="preserve">ALL OF WHICH IS RESPECTFULLY SUBMITTED.</w:t>
      </w:r>
    </w:p>
    <w:p>
      <w:pPr>
        <w:spacing w:after="0"/>
      </w:pPr>
      <w:r>
        <w:rPr>
          <w:rFonts w:ascii="Times New Roman" w:cs="Times New Roman" w:eastAsia="Times New Roman" w:hAnsi="Times New Roman"/>
          <w:sz w:val="24"/>
          <w:szCs w:val="24"/>
        </w:rPr>
        <w:t xml:space="preserve">Dated:  ____________________, 20____</w:t>
      </w:r>
    </w:p>
    <w:p>
      <w:pPr>
        <w:spacing w:after="340"/>
      </w:pPr>
    </w:p>
    <w:p>
      <w:pPr>
        <w:pBdr>
          <w:bottom w:val="single" w:color="808080" w:sz="6"/>
        </w:pBdr>
        <w:spacing w:after="0"/>
      </w:pPr>
    </w:p>
    <w:p>
      <w:pPr>
        <w:spacing w:after="0"/>
      </w:pPr>
      <w:r>
        <w:rPr>
          <w:rFonts w:ascii="Times New Roman" w:cs="Times New Roman" w:eastAsia="Times New Roman" w:hAnsi="Times New Roman"/>
          <w:sz w:val="22"/>
          <w:szCs w:val="22"/>
        </w:rPr>
        <w:t xml:space="preserve">Jean-Francois Demers, Licensed Paralegal</w:t>
      </w:r>
    </w:p>
    <w:p>
      <w:pPr>
        <w:spacing w:after="0"/>
      </w:pPr>
      <w:r>
        <w:rPr>
          <w:rFonts w:ascii="Times New Roman" w:cs="Times New Roman" w:eastAsia="Times New Roman" w:hAnsi="Times New Roman"/>
          <w:sz w:val="22"/>
          <w:szCs w:val="22"/>
        </w:rPr>
        <w:t xml:space="preserve">LSO #P22020  —  Legal Assist Paralegal Services</w:t>
      </w:r>
    </w:p>
    <w:p>
      <w:pPr>
        <w:spacing w:after="0"/>
      </w:pPr>
      <w:r>
        <w:rPr>
          <w:rFonts w:ascii="Times New Roman" w:cs="Times New Roman" w:eastAsia="Times New Roman" w:hAnsi="Times New Roman"/>
          <w:i/>
          <w:iCs/>
          <w:sz w:val="22"/>
          <w:szCs w:val="22"/>
        </w:rPr>
        <w:t xml:space="preserve">Paralegal for the Applicants (Tenants)</w:t>
      </w:r>
    </w:p>
    <w:p>
      <w:pPr>
        <w:spacing w:after="280"/>
      </w:pPr>
    </w:p>
    <w:p>
      <w:pPr>
        <w:spacing w:after="0"/>
      </w:pPr>
      <w:r>
        <w:rPr>
          <w:rFonts w:ascii="Times New Roman" w:cs="Times New Roman" w:eastAsia="Times New Roman" w:hAnsi="Times New Roman"/>
          <w:b/>
          <w:bCs/>
          <w:sz w:val="22"/>
          <w:szCs w:val="22"/>
        </w:rPr>
        <w:t xml:space="preserve">TO:</w:t>
      </w:r>
    </w:p>
    <w:p>
      <w:pPr>
        <w:spacing w:after="0"/>
        <w:ind w:left="720"/>
      </w:pPr>
      <w:r>
        <w:rPr>
          <w:rFonts w:ascii="Times New Roman" w:cs="Times New Roman" w:eastAsia="Times New Roman" w:hAnsi="Times New Roman"/>
          <w:sz w:val="22"/>
          <w:szCs w:val="22"/>
        </w:rPr>
        <w:t xml:space="preserve">Damian Cordaie, B.A., Licensed Paralegal — LSO #P15586, Cordaie Paralegal Services</w:t>
      </w:r>
    </w:p>
    <w:p>
      <w:pPr>
        <w:spacing w:after="0"/>
        <w:ind w:left="720"/>
      </w:pPr>
      <w:r>
        <w:rPr>
          <w:rFonts w:ascii="Times New Roman" w:cs="Times New Roman" w:eastAsia="Times New Roman" w:hAnsi="Times New Roman"/>
          <w:sz w:val="22"/>
          <w:szCs w:val="22"/>
        </w:rPr>
        <w:t xml:space="preserve">180 Northfield Dr. West, Unit 4, Waterloo, Ontario  N2L 0C7 — Paralegal for the Respondent</w:t>
      </w:r>
    </w:p>
    <w:p>
      <w:pPr>
        <w:spacing w:after="120"/>
      </w:pPr>
    </w:p>
    <w:p>
      <w:pPr>
        <w:spacing w:after="0"/>
      </w:pPr>
      <w:r>
        <w:rPr>
          <w:rFonts w:ascii="Times New Roman" w:cs="Times New Roman" w:eastAsia="Times New Roman" w:hAnsi="Times New Roman"/>
          <w:b/>
          <w:bCs/>
          <w:sz w:val="22"/>
          <w:szCs w:val="22"/>
        </w:rPr>
        <w:t xml:space="preserve">AND TO:  Landlord and Tenant Board</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A — INDEX OF EXHIBITS</w:t>
      </w:r>
    </w:p>
    <w:p>
      <w:pPr>
        <w:spacing w:after="120" w:line="276"/>
        <w:jc w:val="both"/>
      </w:pPr>
      <w:r>
        <w:rPr>
          <w:rFonts w:ascii="Times New Roman" w:cs="Times New Roman" w:eastAsia="Times New Roman" w:hAnsi="Times New Roman"/>
          <w:sz w:val="24"/>
          <w:szCs w:val="24"/>
        </w:rPr>
        <w:t xml:space="preserve">Exhibit in support of the T1 application (key deposit).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5200"/>
        <w:gridCol w:w="1700"/>
        <w:gridCol w:w="1560"/>
      </w:tblGrid>
      <w:tr>
        <w:trPr>
          <w:tblHeader/>
        </w:trPr>
        <w:tc>
          <w:tcPr>
            <w:tcW w:type="dxa" w:w="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Exhibit</w:t>
            </w:r>
          </w:p>
        </w:tc>
        <w:tc>
          <w:tcPr>
            <w:tcW w:type="dxa" w:w="5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Description</w:t>
            </w:r>
          </w:p>
        </w:tc>
        <w:tc>
          <w:tcPr>
            <w:tcW w:type="dxa" w:w="17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15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Source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K-1</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Lease term / receipt requiring or recording the $100 key deposit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 be confirmed]</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K-2</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Proof of payment of the deposit (e-transfer / bank record / receipt)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 be confirmed]</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K-3</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Proof the keys were returned on move-out (move-out correspondence / acknowledgement)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6"/>
        <w:szCs w:val="16"/>
      </w:rPr>
      <w:t xml:space="preserve">Tenants’ Written Submissions (T1 — Key Deposit) — DRAFT for review before filing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r>
      <w:rPr>
        <w:rFonts w:ascii="Times New Roman" w:cs="Times New Roman" w:eastAsia="Times New Roman" w:hAnsi="Times New Roman"/>
        <w:color w:val="444444"/>
        <w:sz w:val="16"/>
        <w:szCs w:val="16"/>
      </w:rPr>
      <w:t xml:space="preserve"> of </w:t>
    </w:r>
    <w:r>
      <w:rPr>
        <w:rFonts w:ascii="Times New Roman" w:cs="Times New Roman" w:eastAsia="Times New Roman" w:hAnsi="Times New Roman"/>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2026-06-08T17:27:02.927Z</dcterms:created>
  <dcterms:modified xsi:type="dcterms:W3CDTF">2026-06-08T17:27:02.927Z</dcterms:modified>
</cp:coreProperties>
</file>

<file path=docProps/custom.xml><?xml version="1.0" encoding="utf-8"?>
<Properties xmlns="http://schemas.openxmlformats.org/officeDocument/2006/custom-properties" xmlns:vt="http://schemas.openxmlformats.org/officeDocument/2006/docPropsVTypes"/>
</file>