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Times New Roman" w:cs="Times New Roman" w:eastAsia="Times New Roman" w:hAnsi="Times New Roman"/>
          <w:b/>
          <w:bCs/>
          <w:color w:val="990000"/>
          <w:sz w:val="20"/>
          <w:szCs w:val="20"/>
        </w:rPr>
        <w:t xml:space="preserve">PRIVILEGED &amp; CONFIDENTIAL — PREPARED FOR HEARING</w:t>
      </w:r>
    </w:p>
    <w:p>
      <w:pPr>
        <w:pBdr>
          <w:bottom w:val="single" w:color="000000" w:sz="6" w:space="4"/>
        </w:pBdr>
        <w:spacing w:after="6"/>
      </w:pPr>
      <w:r>
        <w:rPr>
          <w:rFonts w:ascii="Times New Roman" w:cs="Times New Roman" w:eastAsia="Times New Roman" w:hAnsi="Times New Roman"/>
          <w:b/>
          <w:bCs/>
          <w:sz w:val="26"/>
          <w:szCs w:val="26"/>
        </w:rPr>
        <w:t xml:space="preserve">HEARING PREPARATION MEMO — T6 (Maemunat &amp; Oladimeji v. 2866747 Ontario Inc.)</w:t>
      </w:r>
    </w:p>
    <w:p>
      <w:pPr>
        <w:spacing w:after="200"/>
      </w:pPr>
      <w:r>
        <w:rPr>
          <w:rFonts w:ascii="Times New Roman" w:cs="Times New Roman" w:eastAsia="Times New Roman" w:hAnsi="Times New Roman"/>
          <w:i/>
          <w:iCs/>
          <w:sz w:val="20"/>
          <w:szCs w:val="20"/>
        </w:rPr>
        <w:t xml:space="preserve">File: Unit 2 – 360 Prospect Avenue, Kitchener  |  Prepared by: J.-F. Demers, LSO #P22020  |  Internal use only — do not file or serve</w:t>
      </w:r>
    </w:p>
    <w:p>
      <w:pPr>
        <w:keepNext/>
        <w:spacing w:after="110" w:before="280"/>
      </w:pPr>
      <w:r>
        <w:rPr>
          <w:rFonts w:ascii="Times New Roman" w:cs="Times New Roman" w:eastAsia="Times New Roman" w:hAnsi="Times New Roman"/>
          <w:b/>
          <w:bCs/>
          <w:caps/>
          <w:color w:val="1F3864"/>
          <w:sz w:val="23"/>
          <w:szCs w:val="23"/>
        </w:rPr>
        <w:t xml:space="preserve">1. Abatement — oral escalation script</w:t>
      </w:r>
    </w:p>
    <w:p>
      <w:pPr>
        <w:spacing w:after="120" w:line="288"/>
        <w:jc w:val="both"/>
      </w:pPr>
      <w:r>
        <w:rPr>
          <w:rFonts w:ascii="Times New Roman" w:cs="Times New Roman" w:eastAsia="Times New Roman" w:hAnsi="Times New Roman"/>
          <w:sz w:val="23"/>
          <w:szCs w:val="23"/>
        </w:rPr>
        <w:t xml:space="preserve">The written submissions claim a minimum 40% abatement ($4,320). At the hearing, after the evidence is in, escalate orally:</w:t>
      </w:r>
    </w:p>
    <w:p>
      <w:pPr>
        <w:spacing w:after="120" w:line="276"/>
        <w:ind w:left="720" w:right="360"/>
      </w:pPr>
      <w:r>
        <w:rPr>
          <w:rFonts w:ascii="Times New Roman" w:cs="Times New Roman" w:eastAsia="Times New Roman" w:hAnsi="Times New Roman"/>
          <w:i/>
          <w:iCs/>
          <w:sz w:val="22"/>
          <w:szCs w:val="22"/>
        </w:rPr>
        <w:t xml:space="preserve">“The written submissions request 40% as a minimum, consistent with TEL-14199-11. Based on the evidence the Board has heard today — the admission, the spread across four areas, and the absence of any investigation — the Board may find that an abatement approaching the 50% ordered in SWL-37003-12 is appropriate.”</w:t>
      </w:r>
    </w:p>
    <w:p>
      <w:pPr>
        <w:spacing w:after="120" w:line="288"/>
        <w:jc w:val="both"/>
      </w:pPr>
      <w:r>
        <w:rPr>
          <w:rFonts w:ascii="Times New Roman" w:cs="Times New Roman" w:eastAsia="Times New Roman" w:hAnsi="Times New Roman"/>
          <w:sz w:val="23"/>
          <w:szCs w:val="23"/>
        </w:rPr>
        <w:t xml:space="preserve">Do not amend the written claim; the “or such greater amount” language already preserves this.</w:t>
      </w:r>
    </w:p>
    <w:p>
      <w:pPr>
        <w:keepNext/>
        <w:spacing w:after="110" w:before="280"/>
      </w:pPr>
      <w:r>
        <w:rPr>
          <w:rFonts w:ascii="Times New Roman" w:cs="Times New Roman" w:eastAsia="Times New Roman" w:hAnsi="Times New Roman"/>
          <w:b/>
          <w:bCs/>
          <w:caps/>
          <w:color w:val="1F3864"/>
          <w:sz w:val="23"/>
          <w:szCs w:val="23"/>
        </w:rPr>
        <w:t xml:space="preserve">2. Witness evidence on the November–April gap</w:t>
      </w:r>
    </w:p>
    <w:p>
      <w:pPr>
        <w:spacing w:after="120" w:line="288"/>
        <w:jc w:val="both"/>
      </w:pPr>
      <w:r>
        <w:rPr>
          <w:rFonts w:ascii="Times New Roman" w:cs="Times New Roman" w:eastAsia="Times New Roman" w:hAnsi="Times New Roman"/>
          <w:sz w:val="23"/>
          <w:szCs w:val="23"/>
        </w:rPr>
        <w:t xml:space="preserve">The gap in written complaints (Nov 12, 2025 – Apr 30, 2026) is the case’s only real weakness. Each tenant must be prepared to testify, specifically and separately, that:</w:t>
      </w:r>
    </w:p>
    <w:p>
      <w:pPr>
        <w:tabs>
          <w:tab w:val="left" w:pos="720"/>
        </w:tabs>
        <w:spacing w:after="90" w:line="276"/>
        <w:ind w:left="720" w:hanging="360"/>
      </w:pPr>
      <w:r>
        <w:rPr>
          <w:rFonts w:ascii="Times New Roman" w:cs="Times New Roman" w:eastAsia="Times New Roman" w:hAnsi="Times New Roman"/>
          <w:sz w:val="23"/>
          <w:szCs w:val="23"/>
        </w:rPr>
        <w:t xml:space="preserve">•	</w:t>
      </w:r>
      <w:r>
        <w:rPr>
          <w:rFonts w:ascii="Times New Roman" w:cs="Times New Roman" w:eastAsia="Times New Roman" w:hAnsi="Times New Roman"/>
          <w:sz w:val="23"/>
          <w:szCs w:val="23"/>
        </w:rPr>
        <w:t xml:space="preserve">the mould remained visible until move-out (where, what it looked like, whether it grew);</w:t>
      </w:r>
    </w:p>
    <w:p>
      <w:pPr>
        <w:tabs>
          <w:tab w:val="left" w:pos="720"/>
        </w:tabs>
        <w:spacing w:after="90" w:line="276"/>
        <w:ind w:left="720" w:hanging="360"/>
      </w:pPr>
      <w:r>
        <w:rPr>
          <w:rFonts w:ascii="Times New Roman" w:cs="Times New Roman" w:eastAsia="Times New Roman" w:hAnsi="Times New Roman"/>
          <w:sz w:val="23"/>
          <w:szCs w:val="23"/>
        </w:rPr>
        <w:t xml:space="preserve">•	</w:t>
      </w:r>
      <w:r>
        <w:rPr>
          <w:rFonts w:ascii="Times New Roman" w:cs="Times New Roman" w:eastAsia="Times New Roman" w:hAnsi="Times New Roman"/>
          <w:sz w:val="23"/>
          <w:szCs w:val="23"/>
        </w:rPr>
        <w:t xml:space="preserve">the water staining on the wall remained visible until move-out;</w:t>
      </w:r>
    </w:p>
    <w:p>
      <w:pPr>
        <w:tabs>
          <w:tab w:val="left" w:pos="720"/>
        </w:tabs>
        <w:spacing w:after="90" w:line="276"/>
        <w:ind w:left="720" w:hanging="360"/>
      </w:pPr>
      <w:r>
        <w:rPr>
          <w:rFonts w:ascii="Times New Roman" w:cs="Times New Roman" w:eastAsia="Times New Roman" w:hAnsi="Times New Roman"/>
          <w:sz w:val="23"/>
          <w:szCs w:val="23"/>
        </w:rPr>
        <w:t xml:space="preserve">•	</w:t>
      </w:r>
      <w:r>
        <w:rPr>
          <w:rFonts w:ascii="Times New Roman" w:cs="Times New Roman" w:eastAsia="Times New Roman" w:hAnsi="Times New Roman"/>
          <w:sz w:val="23"/>
          <w:szCs w:val="23"/>
        </w:rPr>
        <w:t xml:space="preserve">the damp odour persisted (which rooms, how often noticed);</w:t>
      </w:r>
    </w:p>
    <w:p>
      <w:pPr>
        <w:tabs>
          <w:tab w:val="left" w:pos="720"/>
        </w:tabs>
        <w:spacing w:after="90" w:line="276"/>
        <w:ind w:left="720" w:hanging="360"/>
      </w:pPr>
      <w:r>
        <w:rPr>
          <w:rFonts w:ascii="Times New Roman" w:cs="Times New Roman" w:eastAsia="Times New Roman" w:hAnsi="Times New Roman"/>
          <w:sz w:val="23"/>
          <w:szCs w:val="23"/>
        </w:rPr>
        <w:t xml:space="preserve">•	</w:t>
      </w:r>
      <w:r>
        <w:rPr>
          <w:rFonts w:ascii="Times New Roman" w:cs="Times New Roman" w:eastAsia="Times New Roman" w:hAnsi="Times New Roman"/>
          <w:sz w:val="23"/>
          <w:szCs w:val="23"/>
        </w:rPr>
        <w:t xml:space="preserve">use of the affected closet remained restricted (what could not be stored there, where items went instead);</w:t>
      </w:r>
    </w:p>
    <w:p>
      <w:pPr>
        <w:tabs>
          <w:tab w:val="left" w:pos="720"/>
        </w:tabs>
        <w:spacing w:after="90" w:line="276"/>
        <w:ind w:left="720" w:hanging="360"/>
      </w:pPr>
      <w:r>
        <w:rPr>
          <w:rFonts w:ascii="Times New Roman" w:cs="Times New Roman" w:eastAsia="Times New Roman" w:hAnsi="Times New Roman"/>
          <w:sz w:val="23"/>
          <w:szCs w:val="23"/>
        </w:rPr>
        <w:t xml:space="preserve">•	</w:t>
      </w:r>
      <w:r>
        <w:rPr>
          <w:rFonts w:ascii="Times New Roman" w:cs="Times New Roman" w:eastAsia="Times New Roman" w:hAnsi="Times New Roman"/>
          <w:sz w:val="23"/>
          <w:szCs w:val="23"/>
        </w:rPr>
        <w:t xml:space="preserve">no contractor, inspection, or remediation occurred after November 12, 2025 (no attendances, no notices of entry);</w:t>
      </w:r>
    </w:p>
    <w:p>
      <w:pPr>
        <w:tabs>
          <w:tab w:val="left" w:pos="720"/>
        </w:tabs>
        <w:spacing w:after="90" w:line="276"/>
        <w:ind w:left="720" w:hanging="360"/>
      </w:pPr>
      <w:r>
        <w:rPr>
          <w:rFonts w:ascii="Times New Roman" w:cs="Times New Roman" w:eastAsia="Times New Roman" w:hAnsi="Times New Roman"/>
          <w:sz w:val="23"/>
          <w:szCs w:val="23"/>
        </w:rPr>
        <w:t xml:space="preserve">•	</w:t>
      </w:r>
      <w:r>
        <w:rPr>
          <w:rFonts w:ascii="Times New Roman" w:cs="Times New Roman" w:eastAsia="Times New Roman" w:hAnsi="Times New Roman"/>
          <w:sz w:val="23"/>
          <w:szCs w:val="23"/>
        </w:rPr>
        <w:t xml:space="preserve">why they stopped emailing: they had reported repeatedly, the landlord knew, and nothing changed — resignation, not resolution;</w:t>
      </w:r>
    </w:p>
    <w:p>
      <w:pPr>
        <w:tabs>
          <w:tab w:val="left" w:pos="720"/>
        </w:tabs>
        <w:spacing w:after="90" w:line="276"/>
        <w:ind w:left="720" w:hanging="360"/>
      </w:pPr>
      <w:r>
        <w:rPr>
          <w:rFonts w:ascii="Times New Roman" w:cs="Times New Roman" w:eastAsia="Times New Roman" w:hAnsi="Times New Roman"/>
          <w:sz w:val="23"/>
          <w:szCs w:val="23"/>
        </w:rPr>
        <w:t xml:space="preserve">•	</w:t>
      </w:r>
      <w:r>
        <w:rPr>
          <w:rFonts w:ascii="Times New Roman" w:cs="Times New Roman" w:eastAsia="Times New Roman" w:hAnsi="Times New Roman"/>
          <w:sz w:val="23"/>
          <w:szCs w:val="23"/>
        </w:rPr>
        <w:t xml:space="preserve">the conditions were the reason they agreed to the N11 and moved (each tenant in their own words).</w:t>
      </w:r>
    </w:p>
    <w:p>
      <w:pPr>
        <w:tabs>
          <w:tab w:val="left" w:pos="720"/>
        </w:tabs>
        <w:spacing w:after="90" w:line="276"/>
        <w:ind w:left="720" w:hanging="360"/>
      </w:pPr>
      <w:r>
        <w:rPr>
          <w:rFonts w:ascii="Times New Roman" w:cs="Times New Roman" w:eastAsia="Times New Roman" w:hAnsi="Times New Roman"/>
          <w:sz w:val="23"/>
          <w:szCs w:val="23"/>
        </w:rPr>
        <w:t xml:space="preserve">•	</w:t>
      </w:r>
      <w:r>
        <w:rPr>
          <w:rFonts w:ascii="Times New Roman" w:cs="Times New Roman" w:eastAsia="Times New Roman" w:hAnsi="Times New Roman"/>
          <w:sz w:val="23"/>
          <w:szCs w:val="23"/>
        </w:rPr>
        <w:t xml:space="preserve">the jackets/garments visible in the closet in Exhibit V-3 were thrown out because of moisture/mould damage — each tenant to describe what was discarded, when, original cost, and replacement cost (gather receipts or comparable prices before the hearing).</w:t>
      </w:r>
    </w:p>
    <w:p>
      <w:pPr>
        <w:spacing w:after="120" w:line="288"/>
        <w:jc w:val="both"/>
      </w:pPr>
      <w:r>
        <w:rPr>
          <w:rFonts w:ascii="Times New Roman" w:cs="Times New Roman" w:eastAsia="Times New Roman" w:hAnsi="Times New Roman"/>
          <w:sz w:val="23"/>
          <w:szCs w:val="23"/>
        </w:rPr>
        <w:t xml:space="preserve">Ask each tenant to check their phones for ANY photo, video, or text from December 2025 – April 2026 showing the wall, closet, or washroom. One image beats a paragraph of argument.</w:t>
      </w:r>
    </w:p>
    <w:p>
      <w:pPr>
        <w:keepNext/>
        <w:spacing w:after="110" w:before="280"/>
      </w:pPr>
      <w:r>
        <w:rPr>
          <w:rFonts w:ascii="Times New Roman" w:cs="Times New Roman" w:eastAsia="Times New Roman" w:hAnsi="Times New Roman"/>
          <w:b/>
          <w:bCs/>
          <w:caps/>
          <w:color w:val="1F3864"/>
          <w:sz w:val="23"/>
          <w:szCs w:val="23"/>
        </w:rPr>
        <w:t xml:space="preserve">3. Exhibit book structure</w:t>
      </w:r>
    </w:p>
    <w:p>
      <w:pPr>
        <w:spacing w:after="120" w:line="288"/>
        <w:jc w:val="both"/>
      </w:pPr>
      <w:r>
        <w:rPr>
          <w:rFonts w:ascii="Times New Roman" w:cs="Times New Roman" w:eastAsia="Times New Roman" w:hAnsi="Times New Roman"/>
          <w:sz w:val="23"/>
          <w:szCs w:val="23"/>
        </w:rPr>
        <w:t xml:space="preserve">Assemble four tabbed volumes, paginated continuously, three copies (Board, opposing, witness):</w:t>
      </w:r>
    </w:p>
    <w:p>
      <w:pPr>
        <w:tabs>
          <w:tab w:val="left" w:pos="720"/>
        </w:tabs>
        <w:spacing w:after="90" w:line="276"/>
        <w:ind w:left="720" w:hanging="360"/>
      </w:pPr>
      <w:r>
        <w:rPr>
          <w:rFonts w:ascii="Times New Roman" w:cs="Times New Roman" w:eastAsia="Times New Roman" w:hAnsi="Times New Roman"/>
          <w:sz w:val="23"/>
          <w:szCs w:val="23"/>
        </w:rPr>
        <w:t xml:space="preserve">1.	</w:t>
      </w:r>
      <w:r>
        <w:rPr>
          <w:rFonts w:ascii="Times New Roman" w:cs="Times New Roman" w:eastAsia="Times New Roman" w:hAnsi="Times New Roman"/>
          <w:sz w:val="23"/>
          <w:szCs w:val="23"/>
        </w:rPr>
        <w:t xml:space="preserve">Volume 1 — Correspondence: T-1; E-1 to E-3; W-1, W-3, W-4, W-5; M-2, M-3; A-1, A-3, A-4 (chronological within series).</w:t>
      </w:r>
    </w:p>
    <w:p>
      <w:pPr>
        <w:tabs>
          <w:tab w:val="left" w:pos="720"/>
        </w:tabs>
        <w:spacing w:after="90" w:line="276"/>
        <w:ind w:left="720" w:hanging="360"/>
      </w:pPr>
      <w:r>
        <w:rPr>
          <w:rFonts w:ascii="Times New Roman" w:cs="Times New Roman" w:eastAsia="Times New Roman" w:hAnsi="Times New Roman"/>
          <w:sz w:val="23"/>
          <w:szCs w:val="23"/>
        </w:rPr>
        <w:t xml:space="preserve">2.	</w:t>
      </w:r>
      <w:r>
        <w:rPr>
          <w:rFonts w:ascii="Times New Roman" w:cs="Times New Roman" w:eastAsia="Times New Roman" w:hAnsi="Times New Roman"/>
          <w:sz w:val="23"/>
          <w:szCs w:val="23"/>
        </w:rPr>
        <w:t xml:space="preserve">Volume 2 — Photographs: M-1 (mould at ceiling–wall junction); W-6 (wall staining tracks); any further photos from the clients’ phones.</w:t>
      </w:r>
    </w:p>
    <w:p>
      <w:pPr>
        <w:tabs>
          <w:tab w:val="left" w:pos="720"/>
        </w:tabs>
        <w:spacing w:after="90" w:line="276"/>
        <w:ind w:left="720" w:hanging="360"/>
      </w:pPr>
      <w:r>
        <w:rPr>
          <w:rFonts w:ascii="Times New Roman" w:cs="Times New Roman" w:eastAsia="Times New Roman" w:hAnsi="Times New Roman"/>
          <w:sz w:val="23"/>
          <w:szCs w:val="23"/>
        </w:rPr>
        <w:t xml:space="preserve">3.	</w:t>
      </w:r>
      <w:r>
        <w:rPr>
          <w:rFonts w:ascii="Times New Roman" w:cs="Times New Roman" w:eastAsia="Times New Roman" w:hAnsi="Times New Roman"/>
          <w:sz w:val="23"/>
          <w:szCs w:val="23"/>
        </w:rPr>
        <w:t xml:space="preserve">Volume 3 — Videos: W-2 (active water entry — play this one at the hearing); W-7 (drip trails); V-1 to V-3 (condition walkthroughs). Bring on USB and a laptop; confirm the Board’s video procedure in advance.</w:t>
      </w:r>
    </w:p>
    <w:p>
      <w:pPr>
        <w:tabs>
          <w:tab w:val="left" w:pos="720"/>
        </w:tabs>
        <w:spacing w:after="90" w:line="276"/>
        <w:ind w:left="720" w:hanging="360"/>
      </w:pPr>
      <w:r>
        <w:rPr>
          <w:rFonts w:ascii="Times New Roman" w:cs="Times New Roman" w:eastAsia="Times New Roman" w:hAnsi="Times New Roman"/>
          <w:sz w:val="23"/>
          <w:szCs w:val="23"/>
        </w:rPr>
        <w:t xml:space="preserve">4.	</w:t>
      </w:r>
      <w:r>
        <w:rPr>
          <w:rFonts w:ascii="Times New Roman" w:cs="Times New Roman" w:eastAsia="Times New Roman" w:hAnsi="Times New Roman"/>
          <w:sz w:val="23"/>
          <w:szCs w:val="23"/>
        </w:rPr>
        <w:t xml:space="preserve">Volume 4 — Tenancy documents: L-1 (lease, executed Jan 14, 2025); N-1 (N11, effective Apr 30, 2026); replacement-unit lease (rent differential proof).</w:t>
      </w:r>
    </w:p>
    <w:p>
      <w:pPr>
        <w:keepNext/>
        <w:spacing w:after="110" w:before="280"/>
      </w:pPr>
      <w:r>
        <w:rPr>
          <w:rFonts w:ascii="Times New Roman" w:cs="Times New Roman" w:eastAsia="Times New Roman" w:hAnsi="Times New Roman"/>
          <w:b/>
          <w:bCs/>
          <w:caps/>
          <w:color w:val="1F3864"/>
          <w:sz w:val="23"/>
          <w:szCs w:val="23"/>
        </w:rPr>
        <w:t xml:space="preserve">4. Cross-examination of the landlord — four questions only</w:t>
      </w:r>
    </w:p>
    <w:p>
      <w:pPr>
        <w:tabs>
          <w:tab w:val="left" w:pos="720"/>
        </w:tabs>
        <w:spacing w:after="90" w:line="276"/>
        <w:ind w:left="720" w:hanging="360"/>
      </w:pPr>
      <w:r>
        <w:rPr>
          <w:rFonts w:ascii="Times New Roman" w:cs="Times New Roman" w:eastAsia="Times New Roman" w:hAnsi="Times New Roman"/>
          <w:sz w:val="23"/>
          <w:szCs w:val="23"/>
        </w:rPr>
        <w:t xml:space="preserve">1.	</w:t>
      </w:r>
      <w:r>
        <w:rPr>
          <w:rFonts w:ascii="Times New Roman" w:cs="Times New Roman" w:eastAsia="Times New Roman" w:hAnsi="Times New Roman"/>
          <w:sz w:val="23"/>
          <w:szCs w:val="23"/>
        </w:rPr>
        <w:t xml:space="preserve">What exactly did Ben investigate on November 10, 2025?</w:t>
      </w:r>
    </w:p>
    <w:p>
      <w:pPr>
        <w:tabs>
          <w:tab w:val="left" w:pos="720"/>
        </w:tabs>
        <w:spacing w:after="90" w:line="276"/>
        <w:ind w:left="720" w:hanging="360"/>
      </w:pPr>
      <w:r>
        <w:rPr>
          <w:rFonts w:ascii="Times New Roman" w:cs="Times New Roman" w:eastAsia="Times New Roman" w:hAnsi="Times New Roman"/>
          <w:sz w:val="23"/>
          <w:szCs w:val="23"/>
        </w:rPr>
        <w:t xml:space="preserve">2.	</w:t>
      </w:r>
      <w:r>
        <w:rPr>
          <w:rFonts w:ascii="Times New Roman" w:cs="Times New Roman" w:eastAsia="Times New Roman" w:hAnsi="Times New Roman"/>
          <w:sz w:val="23"/>
          <w:szCs w:val="23"/>
        </w:rPr>
        <w:t xml:space="preserve">What exactly did Ben repair?</w:t>
      </w:r>
    </w:p>
    <w:p>
      <w:pPr>
        <w:tabs>
          <w:tab w:val="left" w:pos="720"/>
        </w:tabs>
        <w:spacing w:after="90" w:line="276"/>
        <w:ind w:left="720" w:hanging="360"/>
      </w:pPr>
      <w:r>
        <w:rPr>
          <w:rFonts w:ascii="Times New Roman" w:cs="Times New Roman" w:eastAsia="Times New Roman" w:hAnsi="Times New Roman"/>
          <w:sz w:val="23"/>
          <w:szCs w:val="23"/>
        </w:rPr>
        <w:t xml:space="preserve">3.	</w:t>
      </w:r>
      <w:r>
        <w:rPr>
          <w:rFonts w:ascii="Times New Roman" w:cs="Times New Roman" w:eastAsia="Times New Roman" w:hAnsi="Times New Roman"/>
          <w:sz w:val="23"/>
          <w:szCs w:val="23"/>
        </w:rPr>
        <w:t xml:space="preserve">Where is the invoice, report, or any record of that work?</w:t>
      </w:r>
    </w:p>
    <w:p>
      <w:pPr>
        <w:tabs>
          <w:tab w:val="left" w:pos="720"/>
        </w:tabs>
        <w:spacing w:after="90" w:line="276"/>
        <w:ind w:left="720" w:hanging="360"/>
      </w:pPr>
      <w:r>
        <w:rPr>
          <w:rFonts w:ascii="Times New Roman" w:cs="Times New Roman" w:eastAsia="Times New Roman" w:hAnsi="Times New Roman"/>
          <w:sz w:val="23"/>
          <w:szCs w:val="23"/>
        </w:rPr>
        <w:t xml:space="preserve">4.	</w:t>
      </w:r>
      <w:r>
        <w:rPr>
          <w:rFonts w:ascii="Times New Roman" w:cs="Times New Roman" w:eastAsia="Times New Roman" w:hAnsi="Times New Roman"/>
          <w:sz w:val="23"/>
          <w:szCs w:val="23"/>
        </w:rPr>
        <w:t xml:space="preserve">On what date was the leak permanently fixed?</w:t>
      </w:r>
    </w:p>
    <w:p>
      <w:pPr>
        <w:spacing w:after="120" w:line="288"/>
        <w:jc w:val="both"/>
      </w:pPr>
      <w:r>
        <w:rPr>
          <w:rFonts w:ascii="Times New Roman" w:cs="Times New Roman" w:eastAsia="Times New Roman" w:hAnsi="Times New Roman"/>
          <w:sz w:val="23"/>
          <w:szCs w:val="23"/>
        </w:rPr>
        <w:t xml:space="preserve">Do not add questions. Every non-answer feeds the failure-to-investigate section and the adverse inference. If he answers vaguely, ask the question again, once, and move on.</w:t>
      </w:r>
    </w:p>
    <w:p>
      <w:pPr>
        <w:keepNext/>
        <w:spacing w:after="110" w:before="280"/>
      </w:pPr>
      <w:r>
        <w:rPr>
          <w:rFonts w:ascii="Times New Roman" w:cs="Times New Roman" w:eastAsia="Times New Roman" w:hAnsi="Times New Roman"/>
          <w:b/>
          <w:bCs/>
          <w:caps/>
          <w:color w:val="1F3864"/>
          <w:sz w:val="23"/>
          <w:szCs w:val="23"/>
        </w:rPr>
        <w:t xml:space="preserve">5. Contingency — if repair records suddenly appear</w:t>
      </w:r>
    </w:p>
    <w:p>
      <w:pPr>
        <w:spacing w:after="120" w:line="288"/>
        <w:jc w:val="both"/>
      </w:pPr>
      <w:r>
        <w:rPr>
          <w:rFonts w:ascii="Times New Roman" w:cs="Times New Roman" w:eastAsia="Times New Roman" w:hAnsi="Times New Roman"/>
          <w:sz w:val="23"/>
          <w:szCs w:val="23"/>
        </w:rPr>
        <w:t xml:space="preserve">If opposing counsel produces contractor invoices or work orders at the hearing, do not challenge their existence. Pivot immediately:</w:t>
      </w:r>
    </w:p>
    <w:p>
      <w:pPr>
        <w:spacing w:after="120" w:line="276"/>
        <w:ind w:left="720" w:right="360"/>
      </w:pPr>
      <w:r>
        <w:rPr>
          <w:rFonts w:ascii="Times New Roman" w:cs="Times New Roman" w:eastAsia="Times New Roman" w:hAnsi="Times New Roman"/>
          <w:i/>
          <w:iCs/>
          <w:sz w:val="22"/>
          <w:szCs w:val="22"/>
        </w:rPr>
        <w:t xml:space="preserve">“The issue is not whether attendance occurred — the Tenants have always acknowledged it. The issue is whether the repair was effective. The condition spread after this work was allegedly done, and the unit still required wall and ceiling repairs at move-out on the landlord’s own evidence.”</w:t>
      </w:r>
    </w:p>
    <w:p>
      <w:pPr>
        <w:spacing w:after="120" w:line="288"/>
        <w:jc w:val="both"/>
      </w:pPr>
      <w:r>
        <w:rPr>
          <w:rFonts w:ascii="Times New Roman" w:cs="Times New Roman" w:eastAsia="Times New Roman" w:hAnsi="Times New Roman"/>
          <w:sz w:val="23"/>
          <w:szCs w:val="23"/>
        </w:rPr>
        <w:t xml:space="preserve">Note: any late-produced records can also be tested for non-disclosure (LTB Rules require advance disclosure of documents relied upon). Consider asking the Member to weigh late disclosure accordingly.</w:t>
      </w:r>
    </w:p>
    <w:p>
      <w:pPr>
        <w:keepNext/>
        <w:spacing w:after="110" w:before="280"/>
      </w:pPr>
      <w:r>
        <w:rPr>
          <w:rFonts w:ascii="Times New Roman" w:cs="Times New Roman" w:eastAsia="Times New Roman" w:hAnsi="Times New Roman"/>
          <w:b/>
          <w:bCs/>
          <w:caps/>
          <w:color w:val="1F3864"/>
          <w:sz w:val="23"/>
          <w:szCs w:val="23"/>
        </w:rPr>
        <w:t xml:space="preserve">6. Defence map</w:t>
      </w:r>
    </w:p>
    <w:p>
      <w:pPr>
        <w:tabs>
          <w:tab w:val="left" w:pos="720"/>
        </w:tabs>
        <w:spacing w:after="90" w:line="276"/>
        <w:ind w:left="720" w:hanging="360"/>
      </w:pPr>
      <w:r>
        <w:rPr>
          <w:rFonts w:ascii="Times New Roman" w:cs="Times New Roman" w:eastAsia="Times New Roman" w:hAnsi="Times New Roman"/>
          <w:sz w:val="23"/>
          <w:szCs w:val="23"/>
        </w:rPr>
        <w:t xml:space="preserve">•	</w:t>
      </w:r>
      <w:r>
        <w:rPr>
          <w:rFonts w:ascii="Times New Roman" w:cs="Times New Roman" w:eastAsia="Times New Roman" w:hAnsi="Times New Roman"/>
          <w:sz w:val="23"/>
          <w:szCs w:val="23"/>
        </w:rPr>
        <w:t xml:space="preserve">“We responded promptly” → answered (Sections IV, XI: response ≠ effective response; Onyskiw).</w:t>
      </w:r>
    </w:p>
    <w:p>
      <w:pPr>
        <w:tabs>
          <w:tab w:val="left" w:pos="720"/>
        </w:tabs>
        <w:spacing w:after="90" w:line="276"/>
        <w:ind w:left="720" w:hanging="360"/>
      </w:pPr>
      <w:r>
        <w:rPr>
          <w:rFonts w:ascii="Times New Roman" w:cs="Times New Roman" w:eastAsia="Times New Roman" w:hAnsi="Times New Roman"/>
          <w:sz w:val="23"/>
          <w:szCs w:val="23"/>
        </w:rPr>
        <w:t xml:space="preserve">•	</w:t>
      </w:r>
      <w:r>
        <w:rPr>
          <w:rFonts w:ascii="Times New Roman" w:cs="Times New Roman" w:eastAsia="Times New Roman" w:hAnsi="Times New Roman"/>
          <w:sz w:val="23"/>
          <w:szCs w:val="23"/>
        </w:rPr>
        <w:t xml:space="preserve">“Contractor attended” → answered (candid acknowledgement + spread after attendance).</w:t>
      </w:r>
    </w:p>
    <w:p>
      <w:pPr>
        <w:tabs>
          <w:tab w:val="left" w:pos="720"/>
        </w:tabs>
        <w:spacing w:after="90" w:line="276"/>
        <w:ind w:left="720" w:hanging="360"/>
      </w:pPr>
      <w:r>
        <w:rPr>
          <w:rFonts w:ascii="Times New Roman" w:cs="Times New Roman" w:eastAsia="Times New Roman" w:hAnsi="Times New Roman"/>
          <w:sz w:val="23"/>
          <w:szCs w:val="23"/>
        </w:rPr>
        <w:t xml:space="preserve">•	</w:t>
      </w:r>
      <w:r>
        <w:rPr>
          <w:rFonts w:ascii="Times New Roman" w:cs="Times New Roman" w:eastAsia="Times New Roman" w:hAnsi="Times New Roman"/>
          <w:sz w:val="23"/>
          <w:szCs w:val="23"/>
        </w:rPr>
        <w:t xml:space="preserve">“Tenants stopped complaining” → answered in writing (Section XII resignation paragraph) — but wins or loses on tenant testimony above.</w:t>
      </w:r>
    </w:p>
    <w:p>
      <w:pPr>
        <w:tabs>
          <w:tab w:val="left" w:pos="720"/>
        </w:tabs>
        <w:spacing w:after="90" w:line="276"/>
        <w:ind w:left="720" w:hanging="360"/>
      </w:pPr>
      <w:r>
        <w:rPr>
          <w:rFonts w:ascii="Times New Roman" w:cs="Times New Roman" w:eastAsia="Times New Roman" w:hAnsi="Times New Roman"/>
          <w:sz w:val="23"/>
          <w:szCs w:val="23"/>
        </w:rPr>
        <w:t xml:space="preserve">•	</w:t>
      </w:r>
      <w:r>
        <w:rPr>
          <w:rFonts w:ascii="Times New Roman" w:cs="Times New Roman" w:eastAsia="Times New Roman" w:hAnsi="Times New Roman"/>
          <w:sz w:val="23"/>
          <w:szCs w:val="23"/>
        </w:rPr>
        <w:t xml:space="preserve">“No expert evidence” → answered (landlord’s written admission; visible mould; no testing required).</w:t>
      </w:r>
    </w:p>
    <w:p>
      <w:pPr>
        <w:tabs>
          <w:tab w:val="left" w:pos="720"/>
        </w:tabs>
        <w:spacing w:after="90" w:line="276"/>
        <w:ind w:left="720" w:hanging="360"/>
      </w:pPr>
      <w:r>
        <w:rPr>
          <w:rFonts w:ascii="Times New Roman" w:cs="Times New Roman" w:eastAsia="Times New Roman" w:hAnsi="Times New Roman"/>
          <w:sz w:val="23"/>
          <w:szCs w:val="23"/>
        </w:rPr>
        <w:t xml:space="preserve">•	</w:t>
      </w:r>
      <w:r>
        <w:rPr>
          <w:rFonts w:ascii="Times New Roman" w:cs="Times New Roman" w:eastAsia="Times New Roman" w:hAnsi="Times New Roman"/>
          <w:sz w:val="23"/>
          <w:szCs w:val="23"/>
        </w:rPr>
        <w:t xml:space="preserve">“N11 was voluntary” → answered (Section XII: consensual form does not obscure cause).</w:t>
      </w:r>
    </w:p>
    <w:p>
      <w:pPr>
        <w:tabs>
          <w:tab w:val="left" w:pos="720"/>
        </w:tabs>
        <w:spacing w:after="90" w:line="276"/>
        <w:ind w:left="720" w:hanging="360"/>
      </w:pPr>
      <w:r>
        <w:rPr>
          <w:rFonts w:ascii="Times New Roman" w:cs="Times New Roman" w:eastAsia="Times New Roman" w:hAnsi="Times New Roman"/>
          <w:sz w:val="23"/>
          <w:szCs w:val="23"/>
        </w:rPr>
        <w:t xml:space="preserve">•	</w:t>
      </w:r>
      <w:r>
        <w:rPr>
          <w:rFonts w:ascii="Times New Roman" w:cs="Times New Roman" w:eastAsia="Times New Roman" w:hAnsi="Times New Roman"/>
          <w:sz w:val="23"/>
          <w:szCs w:val="23"/>
        </w:rPr>
        <w:t xml:space="preserve">“No proof condition existed until April” → same as the gap — testimony + any December–March photo.</w:t>
      </w:r>
    </w:p>
    <w:sectPr>
      <w:footerReference w:type="default" r:id="rId7"/>
      <w:pgSz w:w="12240" w:h="15840" w:orient="portrait"/>
      <w:pgMar w:top="1280" w:right="1440" w:bottom="12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444444"/>
        <w:sz w:val="16"/>
        <w:szCs w:val="16"/>
      </w:rPr>
      <w:t xml:space="preserve">Privileged hearing-preparation memo — internal — Page </w:t>
    </w:r>
    <w:r>
      <w:rPr>
        <w:rFonts w:ascii="Times New Roman" w:cs="Times New Roman" w:eastAsia="Times New Roman" w:hAnsi="Times New Roman"/>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2026-06-06T23:27:59.449Z</dcterms:created>
  <dcterms:modified xsi:type="dcterms:W3CDTF">2026-06-06T23:27:59.449Z</dcterms:modified>
</cp:coreProperties>
</file>

<file path=docProps/custom.xml><?xml version="1.0" encoding="utf-8"?>
<Properties xmlns="http://schemas.openxmlformats.org/officeDocument/2006/custom-properties" xmlns:vt="http://schemas.openxmlformats.org/officeDocument/2006/docPropsVTypes"/>
</file>