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966A" w14:textId="77777777" w:rsidR="003607B7" w:rsidRDefault="00877CD8">
      <w:pPr>
        <w:pStyle w:val="Title"/>
      </w:pPr>
      <w:r>
        <w:t>Pure Ecoverse Play — Riskiest Assumptions</w:t>
      </w:r>
    </w:p>
    <w:p w14:paraId="04301F4A" w14:textId="19ADBE51" w:rsidR="003607B7" w:rsidRDefault="00877CD8">
      <w:r w:rsidRPr="3095A54D">
        <w:rPr>
          <w:b/>
          <w:bCs/>
          <w:color w:val="6B7785"/>
        </w:rPr>
        <w:t>Elizabeth Connor  |  Updated 23 September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3E615C19" w14:paraId="698CCE15" w14:textId="77777777" w:rsidTr="3E615C19">
        <w:tc>
          <w:tcPr>
            <w:tcW w:w="10166" w:type="dxa"/>
            <w:shd w:val="clear" w:color="auto" w:fill="EAF6F4"/>
          </w:tcPr>
          <w:p w14:paraId="3C0166F8" w14:textId="744ACAC7" w:rsidR="3E615C19" w:rsidRDefault="3E615C19" w:rsidP="3E615C19">
            <w:r w:rsidRPr="3E615C19">
              <w:rPr>
                <w:b/>
                <w:bCs/>
                <w:color w:val="006C68"/>
              </w:rPr>
              <w:t>WHAT CHANGED SINCE 09 SEPTEMBER</w:t>
            </w:r>
          </w:p>
          <w:p w14:paraId="3392C0DD" w14:textId="23F47888" w:rsidR="3E615C19" w:rsidRDefault="3E615C19" w:rsidP="3E615C19">
            <w:pPr>
              <w:pStyle w:val="ListBullet"/>
            </w:pPr>
            <w:r>
              <w:t>The interviews strengthen the target-customer and problem evidence: small, generalist-heavy IT teams consistently value simpler operations, patching, vulnerability management, visibility, compliance and reduced manual effort.</w:t>
            </w:r>
          </w:p>
          <w:p w14:paraId="7F557D89" w14:textId="16BF1152" w:rsidR="3E615C19" w:rsidRDefault="3E615C19" w:rsidP="3E615C19">
            <w:pPr>
              <w:pStyle w:val="ListBullet"/>
            </w:pPr>
            <w:r>
              <w:t>They weaken the original platform-first premise: some IT departments enter the market shopping for one capability, and Microsoft-centric estates may prefer an add-on that integrates with Intune rather than replacing their UEM.</w:t>
            </w:r>
          </w:p>
          <w:p w14:paraId="54472D27" w14:textId="0438963D" w:rsidR="3E615C19" w:rsidRDefault="3E615C19" w:rsidP="3E615C19">
            <w:pPr>
              <w:pStyle w:val="ListBullet"/>
            </w:pPr>
            <w:r>
              <w:t>AI remains promising, but the better assumption is not “AI is the reason to buy.” It is “guided, governed automation makes a valuable job easier and more trustworthy.”</w:t>
            </w:r>
          </w:p>
        </w:tc>
      </w:tr>
    </w:tbl>
    <w:p w14:paraId="672A6659" w14:textId="77777777" w:rsidR="003607B7" w:rsidRDefault="003607B7"/>
    <w:p w14:paraId="1F9F0BDC" w14:textId="7C44FFC3" w:rsidR="003607B7" w:rsidRDefault="00877CD8">
      <w:pPr>
        <w:pStyle w:val="Heading1"/>
      </w:pPr>
      <w:r>
        <w:t>Updated risk picture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0"/>
        <w:gridCol w:w="4265"/>
        <w:gridCol w:w="1422"/>
        <w:gridCol w:w="3859"/>
      </w:tblGrid>
      <w:tr w:rsidR="3E615C19" w14:paraId="244DE9D8" w14:textId="77777777" w:rsidTr="3E615C19">
        <w:tc>
          <w:tcPr>
            <w:tcW w:w="610" w:type="dxa"/>
            <w:shd w:val="clear" w:color="auto" w:fill="18384A"/>
          </w:tcPr>
          <w:p w14:paraId="320934B0" w14:textId="014D15B6" w:rsidR="3E615C19" w:rsidRDefault="3E615C19" w:rsidP="3E615C19">
            <w:pPr>
              <w:jc w:val="center"/>
            </w:pPr>
            <w:r w:rsidRPr="3E615C19">
              <w:rPr>
                <w:b/>
                <w:bCs/>
                <w:color w:val="FFFFFF" w:themeColor="background1"/>
                <w:sz w:val="16"/>
                <w:szCs w:val="16"/>
              </w:rPr>
              <w:t>#</w:t>
            </w:r>
          </w:p>
        </w:tc>
        <w:tc>
          <w:tcPr>
            <w:tcW w:w="4270" w:type="dxa"/>
            <w:shd w:val="clear" w:color="auto" w:fill="18384A"/>
          </w:tcPr>
          <w:p w14:paraId="767A9E36" w14:textId="4FA9A2CD" w:rsidR="3E615C19" w:rsidRDefault="3E615C19" w:rsidP="3E615C19">
            <w:r w:rsidRPr="3E615C19">
              <w:rPr>
                <w:b/>
                <w:bCs/>
                <w:color w:val="FFFFFF" w:themeColor="background1"/>
                <w:sz w:val="16"/>
                <w:szCs w:val="16"/>
              </w:rPr>
              <w:t>Revised assumption</w:t>
            </w:r>
          </w:p>
        </w:tc>
        <w:tc>
          <w:tcPr>
            <w:tcW w:w="1423" w:type="dxa"/>
            <w:shd w:val="clear" w:color="auto" w:fill="18384A"/>
          </w:tcPr>
          <w:p w14:paraId="3FBE4C2B" w14:textId="0A1C44E2" w:rsidR="3E615C19" w:rsidRDefault="3E615C19" w:rsidP="3E615C19">
            <w:pPr>
              <w:jc w:val="center"/>
            </w:pPr>
            <w:r w:rsidRPr="3E615C19">
              <w:rPr>
                <w:b/>
                <w:bCs/>
                <w:color w:val="FFFFFF" w:themeColor="background1"/>
                <w:sz w:val="16"/>
                <w:szCs w:val="16"/>
              </w:rPr>
              <w:t>Status</w:t>
            </w:r>
          </w:p>
        </w:tc>
        <w:tc>
          <w:tcPr>
            <w:tcW w:w="3863" w:type="dxa"/>
            <w:shd w:val="clear" w:color="auto" w:fill="18384A"/>
          </w:tcPr>
          <w:p w14:paraId="20D6757A" w14:textId="675DC976" w:rsidR="3E615C19" w:rsidRDefault="3E615C19" w:rsidP="3E615C19">
            <w:r w:rsidRPr="3E615C19">
              <w:rPr>
                <w:b/>
                <w:bCs/>
                <w:color w:val="FFFFFF" w:themeColor="background1"/>
                <w:sz w:val="16"/>
                <w:szCs w:val="16"/>
              </w:rPr>
              <w:t>Interview effect</w:t>
            </w:r>
          </w:p>
        </w:tc>
      </w:tr>
      <w:tr w:rsidR="3E615C19" w14:paraId="1DF0E793" w14:textId="77777777" w:rsidTr="3E615C19">
        <w:tc>
          <w:tcPr>
            <w:tcW w:w="610" w:type="dxa"/>
          </w:tcPr>
          <w:p w14:paraId="41CD83E8" w14:textId="205B1D8B" w:rsidR="3E615C19" w:rsidRDefault="3E615C19" w:rsidP="3E615C19">
            <w:pPr>
              <w:jc w:val="center"/>
            </w:pPr>
            <w:r w:rsidRPr="3E615C19">
              <w:rPr>
                <w:sz w:val="16"/>
                <w:szCs w:val="16"/>
              </w:rPr>
              <w:t>1</w:t>
            </w:r>
          </w:p>
        </w:tc>
        <w:tc>
          <w:tcPr>
            <w:tcW w:w="4270" w:type="dxa"/>
          </w:tcPr>
          <w:p w14:paraId="2B7D8344" w14:textId="51349198" w:rsidR="3E615C19" w:rsidRDefault="3E615C19" w:rsidP="3E615C19">
            <w:r w:rsidRPr="3E615C19">
              <w:rPr>
                <w:sz w:val="16"/>
                <w:szCs w:val="16"/>
              </w:rPr>
              <w:t>A focused wedge creates enough value to earn adoption, with broader value proven through expansion.</w:t>
            </w:r>
          </w:p>
        </w:tc>
        <w:tc>
          <w:tcPr>
            <w:tcW w:w="1423" w:type="dxa"/>
            <w:shd w:val="clear" w:color="auto" w:fill="FFF2CC"/>
          </w:tcPr>
          <w:p w14:paraId="452ACD1E" w14:textId="20B860FB" w:rsidR="3E615C19" w:rsidRDefault="3E615C19" w:rsidP="3E615C19">
            <w:pPr>
              <w:jc w:val="center"/>
            </w:pPr>
            <w:r w:rsidRPr="3E615C19">
              <w:rPr>
                <w:b/>
                <w:bCs/>
                <w:color w:val="9C4234"/>
                <w:sz w:val="16"/>
                <w:szCs w:val="16"/>
              </w:rPr>
              <w:t>HIGH</w:t>
            </w:r>
          </w:p>
        </w:tc>
        <w:tc>
          <w:tcPr>
            <w:tcW w:w="3863" w:type="dxa"/>
          </w:tcPr>
          <w:p w14:paraId="4C970295" w14:textId="3661AE51" w:rsidR="3E615C19" w:rsidRDefault="3E615C19" w:rsidP="3E615C19">
            <w:r w:rsidRPr="3E615C19">
              <w:rPr>
                <w:sz w:val="16"/>
                <w:szCs w:val="16"/>
              </w:rPr>
              <w:t>Platform-first value is less certain; focused problem-solving is better supported.</w:t>
            </w:r>
          </w:p>
        </w:tc>
      </w:tr>
      <w:tr w:rsidR="3E615C19" w14:paraId="6293CB0A" w14:textId="77777777" w:rsidTr="3E615C19">
        <w:tc>
          <w:tcPr>
            <w:tcW w:w="610" w:type="dxa"/>
          </w:tcPr>
          <w:p w14:paraId="734BFBC4" w14:textId="75C5F63A" w:rsidR="3E615C19" w:rsidRDefault="3E615C19" w:rsidP="3E615C19">
            <w:pPr>
              <w:jc w:val="center"/>
            </w:pPr>
            <w:r w:rsidRPr="3E615C19">
              <w:rPr>
                <w:sz w:val="16"/>
                <w:szCs w:val="16"/>
              </w:rPr>
              <w:t>2</w:t>
            </w:r>
          </w:p>
        </w:tc>
        <w:tc>
          <w:tcPr>
            <w:tcW w:w="4270" w:type="dxa"/>
          </w:tcPr>
          <w:p w14:paraId="2549D441" w14:textId="510482E6" w:rsidR="3E615C19" w:rsidRDefault="3E615C19" w:rsidP="3E615C19">
            <w:r w:rsidRPr="3E615C19">
              <w:rPr>
                <w:sz w:val="16"/>
                <w:szCs w:val="16"/>
              </w:rPr>
              <w:t>A repeatable trigger will make IT teams trial, adopt or switch.</w:t>
            </w:r>
          </w:p>
        </w:tc>
        <w:tc>
          <w:tcPr>
            <w:tcW w:w="1423" w:type="dxa"/>
            <w:shd w:val="clear" w:color="auto" w:fill="FFF2CC"/>
          </w:tcPr>
          <w:p w14:paraId="6AD53445" w14:textId="16540BB9" w:rsidR="3E615C19" w:rsidRDefault="3E615C19" w:rsidP="3E615C19">
            <w:pPr>
              <w:jc w:val="center"/>
            </w:pPr>
            <w:r w:rsidRPr="3E615C19">
              <w:rPr>
                <w:b/>
                <w:bCs/>
                <w:color w:val="9C4234"/>
                <w:sz w:val="16"/>
                <w:szCs w:val="16"/>
              </w:rPr>
              <w:t>HIGH</w:t>
            </w:r>
          </w:p>
        </w:tc>
        <w:tc>
          <w:tcPr>
            <w:tcW w:w="3863" w:type="dxa"/>
          </w:tcPr>
          <w:p w14:paraId="5ED5D487" w14:textId="2BEFC0D8" w:rsidR="3E615C19" w:rsidRDefault="3E615C19" w:rsidP="3E615C19">
            <w:r w:rsidRPr="3E615C19">
              <w:rPr>
                <w:sz w:val="16"/>
                <w:szCs w:val="16"/>
              </w:rPr>
              <w:t>Pain is clearer, but the trigger and displacement path remain unproven.</w:t>
            </w:r>
          </w:p>
        </w:tc>
      </w:tr>
      <w:tr w:rsidR="3E615C19" w14:paraId="1DAB075B" w14:textId="77777777" w:rsidTr="3E615C19">
        <w:tc>
          <w:tcPr>
            <w:tcW w:w="610" w:type="dxa"/>
          </w:tcPr>
          <w:p w14:paraId="11C6D791" w14:textId="1986B2BF" w:rsidR="3E615C19" w:rsidRDefault="3E615C19" w:rsidP="3E615C19">
            <w:pPr>
              <w:jc w:val="center"/>
            </w:pPr>
            <w:r w:rsidRPr="3E615C19">
              <w:rPr>
                <w:sz w:val="16"/>
                <w:szCs w:val="16"/>
              </w:rPr>
              <w:t>3</w:t>
            </w:r>
          </w:p>
        </w:tc>
        <w:tc>
          <w:tcPr>
            <w:tcW w:w="4270" w:type="dxa"/>
          </w:tcPr>
          <w:p w14:paraId="501ACB03" w14:textId="5A1D8BD9" w:rsidR="3E615C19" w:rsidRDefault="3E615C19" w:rsidP="3E615C19">
            <w:r w:rsidRPr="3E615C19">
              <w:rPr>
                <w:sz w:val="16"/>
                <w:szCs w:val="16"/>
              </w:rPr>
              <w:t>We can deliver reliable guided automation for bounded endpoint jobs.</w:t>
            </w:r>
          </w:p>
        </w:tc>
        <w:tc>
          <w:tcPr>
            <w:tcW w:w="1423" w:type="dxa"/>
            <w:shd w:val="clear" w:color="auto" w:fill="FFF2CC"/>
          </w:tcPr>
          <w:p w14:paraId="09B9D3C6" w14:textId="1BF390D4" w:rsidR="3E615C19" w:rsidRDefault="3E615C19" w:rsidP="3E615C19">
            <w:pPr>
              <w:jc w:val="center"/>
            </w:pPr>
            <w:r w:rsidRPr="3E615C19">
              <w:rPr>
                <w:b/>
                <w:bCs/>
                <w:color w:val="9C4234"/>
                <w:sz w:val="16"/>
                <w:szCs w:val="16"/>
              </w:rPr>
              <w:t>HIGH</w:t>
            </w:r>
          </w:p>
        </w:tc>
        <w:tc>
          <w:tcPr>
            <w:tcW w:w="3863" w:type="dxa"/>
          </w:tcPr>
          <w:p w14:paraId="77CDE095" w14:textId="35E198A2" w:rsidR="3E615C19" w:rsidRDefault="3E615C19" w:rsidP="3E615C19">
            <w:r w:rsidRPr="3E615C19">
              <w:rPr>
                <w:sz w:val="16"/>
                <w:szCs w:val="16"/>
              </w:rPr>
              <w:t>AI value was described, but only with trustworthy execution and clear outcomes.</w:t>
            </w:r>
          </w:p>
        </w:tc>
      </w:tr>
      <w:tr w:rsidR="3E615C19" w14:paraId="548893DB" w14:textId="77777777" w:rsidTr="3E615C19">
        <w:tc>
          <w:tcPr>
            <w:tcW w:w="610" w:type="dxa"/>
          </w:tcPr>
          <w:p w14:paraId="7CE4C8A1" w14:textId="78BE93F2" w:rsidR="3E615C19" w:rsidRDefault="3E615C19" w:rsidP="3E615C19">
            <w:pPr>
              <w:jc w:val="center"/>
            </w:pPr>
            <w:r w:rsidRPr="3E615C19">
              <w:rPr>
                <w:sz w:val="16"/>
                <w:szCs w:val="16"/>
              </w:rPr>
              <w:t>4</w:t>
            </w:r>
          </w:p>
        </w:tc>
        <w:tc>
          <w:tcPr>
            <w:tcW w:w="4270" w:type="dxa"/>
          </w:tcPr>
          <w:p w14:paraId="2C510A71" w14:textId="2128EE28" w:rsidR="3E615C19" w:rsidRDefault="3E615C19" w:rsidP="3E615C19">
            <w:r w:rsidRPr="3E615C19">
              <w:rPr>
                <w:sz w:val="16"/>
                <w:szCs w:val="16"/>
              </w:rPr>
              <w:t>Technicians will trust governed automation with the right controls and feedback.</w:t>
            </w:r>
          </w:p>
        </w:tc>
        <w:tc>
          <w:tcPr>
            <w:tcW w:w="1423" w:type="dxa"/>
            <w:shd w:val="clear" w:color="auto" w:fill="FFF2CC"/>
          </w:tcPr>
          <w:p w14:paraId="3E07475C" w14:textId="0ED753A2" w:rsidR="3E615C19" w:rsidRDefault="3E615C19" w:rsidP="3E615C19">
            <w:pPr>
              <w:jc w:val="center"/>
            </w:pPr>
            <w:r w:rsidRPr="3E615C19">
              <w:rPr>
                <w:b/>
                <w:bCs/>
                <w:color w:val="9C4234"/>
                <w:sz w:val="16"/>
                <w:szCs w:val="16"/>
              </w:rPr>
              <w:t>HIGH</w:t>
            </w:r>
          </w:p>
        </w:tc>
        <w:tc>
          <w:tcPr>
            <w:tcW w:w="3863" w:type="dxa"/>
          </w:tcPr>
          <w:p w14:paraId="7D70B8C8" w14:textId="21786E0E" w:rsidR="3E615C19" w:rsidRDefault="3E615C19" w:rsidP="3E615C19">
            <w:r w:rsidRPr="3E615C19">
              <w:rPr>
                <w:sz w:val="16"/>
                <w:szCs w:val="16"/>
              </w:rPr>
              <w:t>Trust, governance, accuracy and auditability surfaced repeatedly.</w:t>
            </w:r>
          </w:p>
        </w:tc>
      </w:tr>
      <w:tr w:rsidR="3E615C19" w14:paraId="38F49E08" w14:textId="77777777" w:rsidTr="3E615C19">
        <w:tc>
          <w:tcPr>
            <w:tcW w:w="610" w:type="dxa"/>
          </w:tcPr>
          <w:p w14:paraId="0000C91C" w14:textId="571D810E" w:rsidR="3E615C19" w:rsidRDefault="3E615C19" w:rsidP="3E615C19">
            <w:pPr>
              <w:jc w:val="center"/>
            </w:pPr>
            <w:r w:rsidRPr="3E615C19">
              <w:rPr>
                <w:sz w:val="16"/>
                <w:szCs w:val="16"/>
              </w:rPr>
              <w:t>5</w:t>
            </w:r>
          </w:p>
        </w:tc>
        <w:tc>
          <w:tcPr>
            <w:tcW w:w="4270" w:type="dxa"/>
          </w:tcPr>
          <w:p w14:paraId="09596255" w14:textId="79F83A07" w:rsidR="3E615C19" w:rsidRDefault="3E615C19" w:rsidP="3E615C19">
            <w:r w:rsidRPr="3E615C19">
              <w:rPr>
                <w:sz w:val="16"/>
                <w:szCs w:val="16"/>
              </w:rPr>
              <w:t>The strongest unmet need is payable at viable price and margin.</w:t>
            </w:r>
          </w:p>
        </w:tc>
        <w:tc>
          <w:tcPr>
            <w:tcW w:w="1423" w:type="dxa"/>
            <w:shd w:val="clear" w:color="auto" w:fill="FCE8E6"/>
          </w:tcPr>
          <w:p w14:paraId="3A5A3BAC" w14:textId="41F7E162" w:rsidR="3E615C19" w:rsidRDefault="3E615C19" w:rsidP="3E615C19">
            <w:pPr>
              <w:jc w:val="center"/>
            </w:pPr>
            <w:r w:rsidRPr="3E615C19">
              <w:rPr>
                <w:b/>
                <w:bCs/>
                <w:color w:val="9C4234"/>
                <w:sz w:val="16"/>
                <w:szCs w:val="16"/>
              </w:rPr>
              <w:t>CRITICAL</w:t>
            </w:r>
          </w:p>
        </w:tc>
        <w:tc>
          <w:tcPr>
            <w:tcW w:w="3863" w:type="dxa"/>
          </w:tcPr>
          <w:p w14:paraId="35903C51" w14:textId="65758ABC" w:rsidR="3E615C19" w:rsidRDefault="3E615C19" w:rsidP="3E615C19">
            <w:r w:rsidRPr="3E615C19">
              <w:rPr>
                <w:sz w:val="16"/>
                <w:szCs w:val="16"/>
              </w:rPr>
              <w:t>Need evidence improved; willingness-to-pay evidence did not.</w:t>
            </w:r>
          </w:p>
        </w:tc>
      </w:tr>
      <w:tr w:rsidR="3E615C19" w14:paraId="5C60EA38" w14:textId="77777777" w:rsidTr="3E615C19">
        <w:tc>
          <w:tcPr>
            <w:tcW w:w="610" w:type="dxa"/>
          </w:tcPr>
          <w:p w14:paraId="56FC17AE" w14:textId="13389817" w:rsidR="3E615C19" w:rsidRDefault="3E615C19" w:rsidP="3E615C19">
            <w:pPr>
              <w:jc w:val="center"/>
            </w:pPr>
            <w:r w:rsidRPr="3E615C19">
              <w:rPr>
                <w:sz w:val="16"/>
                <w:szCs w:val="16"/>
              </w:rPr>
              <w:t>6</w:t>
            </w:r>
          </w:p>
        </w:tc>
        <w:tc>
          <w:tcPr>
            <w:tcW w:w="4270" w:type="dxa"/>
          </w:tcPr>
          <w:p w14:paraId="64D48774" w14:textId="0C5F26FF" w:rsidR="3E615C19" w:rsidRDefault="3E615C19" w:rsidP="3E615C19">
            <w:r w:rsidRPr="3E615C19">
              <w:rPr>
                <w:sz w:val="16"/>
                <w:szCs w:val="16"/>
              </w:rPr>
              <w:t>Our advantage is durable enough to win versus incumbents and add-ons.</w:t>
            </w:r>
          </w:p>
        </w:tc>
        <w:tc>
          <w:tcPr>
            <w:tcW w:w="1423" w:type="dxa"/>
            <w:shd w:val="clear" w:color="auto" w:fill="FFF2CC"/>
          </w:tcPr>
          <w:p w14:paraId="65050629" w14:textId="5901ED91" w:rsidR="3E615C19" w:rsidRDefault="3E615C19" w:rsidP="3E615C19">
            <w:pPr>
              <w:jc w:val="center"/>
            </w:pPr>
            <w:r w:rsidRPr="3E615C19">
              <w:rPr>
                <w:b/>
                <w:bCs/>
                <w:color w:val="9C4234"/>
                <w:sz w:val="16"/>
                <w:szCs w:val="16"/>
              </w:rPr>
              <w:t>HIGH</w:t>
            </w:r>
          </w:p>
        </w:tc>
        <w:tc>
          <w:tcPr>
            <w:tcW w:w="3863" w:type="dxa"/>
          </w:tcPr>
          <w:p w14:paraId="31BEF951" w14:textId="12964CDD" w:rsidR="3E615C19" w:rsidRDefault="3E615C19" w:rsidP="3E615C19">
            <w:r w:rsidRPr="3E615C19">
              <w:rPr>
                <w:sz w:val="16"/>
                <w:szCs w:val="16"/>
              </w:rPr>
              <w:t>Intune integration and specialist competitors make defensibility more specific and demanding.</w:t>
            </w:r>
          </w:p>
        </w:tc>
      </w:tr>
    </w:tbl>
    <w:p w14:paraId="0175F543" w14:textId="77777777" w:rsidR="003607B7" w:rsidRDefault="00877CD8">
      <w:pPr>
        <w:pStyle w:val="Heading1"/>
      </w:pPr>
      <w:r>
        <w:t>Assumption 1: A focused wedge creates enough value to earn adoption, with broader value proven through expansion</w:t>
      </w:r>
    </w:p>
    <w:p w14:paraId="7489F7C2" w14:textId="77777777" w:rsidR="003607B7" w:rsidRDefault="00877CD8">
      <w:r>
        <w:rPr>
          <w:b/>
          <w:color w:val="7A52B5"/>
        </w:rPr>
        <w:t>REVISED — platform-first value is less certain</w:t>
      </w:r>
    </w:p>
    <w:p w14:paraId="187AA2D4" w14:textId="77777777" w:rsidR="003607B7" w:rsidRDefault="00877CD8">
      <w:pPr>
        <w:pStyle w:val="Heading2"/>
      </w:pPr>
      <w:r>
        <w:t>What the newer evidence tells us</w:t>
      </w:r>
    </w:p>
    <w:p w14:paraId="45ED3797" w14:textId="77777777" w:rsidR="003607B7" w:rsidRDefault="00877CD8">
      <w:pPr>
        <w:pStyle w:val="ListBullet"/>
      </w:pPr>
      <w:r>
        <w:t>Interview evidence repeatedly identifies patching, vulnerability management, inventory/intelligence, compliance, remote access, simplicity and reduced operational effort as meaningful jobs.</w:t>
      </w:r>
    </w:p>
    <w:p w14:paraId="296F93D8" w14:textId="77777777" w:rsidR="003607B7" w:rsidRDefault="00877CD8">
      <w:pPr>
        <w:pStyle w:val="ListBullet"/>
      </w:pPr>
      <w:r>
        <w:t>Some evidence supports consolidation, but other evidence says IT departments often enter looking to solve one problem at a time.</w:t>
      </w:r>
    </w:p>
    <w:p w14:paraId="23D651E3" w14:textId="77777777" w:rsidR="003607B7" w:rsidRDefault="00877CD8">
      <w:pPr>
        <w:pStyle w:val="ListBullet"/>
      </w:pPr>
      <w:r>
        <w:t>The viable proposition may be a broad product platform sold through a narrow, outcome-led entry point.</w:t>
      </w:r>
    </w:p>
    <w:p w14:paraId="7909208A" w14:textId="77777777" w:rsidR="003607B7" w:rsidRDefault="00877CD8">
      <w:pPr>
        <w:pStyle w:val="Heading2"/>
      </w:pPr>
      <w:r>
        <w:t>What remains unproven</w:t>
      </w:r>
    </w:p>
    <w:p w14:paraId="07DB1371" w14:textId="77777777" w:rsidR="003607B7" w:rsidRDefault="00877CD8">
      <w:pPr>
        <w:pStyle w:val="ListBullet"/>
      </w:pPr>
      <w:r>
        <w:t>Which initial job is valuable and urgent enough to trigger trial or purchase.</w:t>
      </w:r>
    </w:p>
    <w:p w14:paraId="62404ABA" w14:textId="77777777" w:rsidR="003607B7" w:rsidRDefault="00877CD8">
      <w:pPr>
        <w:pStyle w:val="ListBullet"/>
      </w:pPr>
      <w:r>
        <w:lastRenderedPageBreak/>
        <w:t>Whether connecting patch, vulnerability, configuration, inventory and compliance produces additional value beyond a strong point solution.</w:t>
      </w:r>
    </w:p>
    <w:p w14:paraId="525C1404" w14:textId="77777777" w:rsidR="003607B7" w:rsidRDefault="00877CD8">
      <w:pPr>
        <w:pStyle w:val="ListBullet"/>
      </w:pPr>
      <w:r>
        <w:t>Whether expansion into adjacent jobs occurs after the first wedge is adopted.</w:t>
      </w:r>
    </w:p>
    <w:p w14:paraId="036907DB" w14:textId="77777777" w:rsidR="003607B7" w:rsidRDefault="00877CD8">
      <w:pPr>
        <w:pStyle w:val="Heading2"/>
      </w:pPr>
      <w:r>
        <w:t>Primary test</w:t>
      </w:r>
    </w:p>
    <w:p w14:paraId="01BF4892" w14:textId="77777777" w:rsidR="003607B7" w:rsidRDefault="00877CD8">
      <w:r>
        <w:t>Run a comparative concept test with the same participants: A) best-in-class patching, B) patching + vulnerability remediation, C) endpoint compliance/resilience outcome. Include a realistic current-state alternative such as “keep existing tools.”</w:t>
      </w:r>
    </w:p>
    <w:p w14:paraId="627576E9" w14:textId="77777777" w:rsidR="003607B7" w:rsidRDefault="00877CD8">
      <w:pPr>
        <w:spacing w:after="80"/>
      </w:pPr>
      <w:r>
        <w:rPr>
          <w:b/>
          <w:color w:val="007F7A"/>
        </w:rPr>
        <w:t xml:space="preserve">Evidence that raises confidence: </w:t>
      </w:r>
      <w:r>
        <w:t>Participants select one concept as the job they would act on now, explain the current workaround or incumbent it would replace/add to, and describe a credible next step such as trial, evaluation or budget discussion.</w:t>
      </w:r>
    </w:p>
    <w:p w14:paraId="55DB9087" w14:textId="77777777" w:rsidR="003607B7" w:rsidRDefault="00877CD8">
      <w:pPr>
        <w:spacing w:after="80"/>
      </w:pPr>
      <w:r>
        <w:rPr>
          <w:b/>
          <w:color w:val="007F7A"/>
        </w:rPr>
        <w:t xml:space="preserve">Evidence that changes our mind: </w:t>
      </w:r>
      <w:r>
        <w:t>Interest remains generic, no current workflow or consequence is identified, or the combined proposition adds no meaningful value over the focused option.</w:t>
      </w:r>
    </w:p>
    <w:p w14:paraId="0DCC9119" w14:textId="77777777" w:rsidR="003607B7" w:rsidRDefault="00877CD8">
      <w:pPr>
        <w:pStyle w:val="Heading1"/>
      </w:pPr>
      <w:r>
        <w:t>Assumption 2: A repeatable trigger will make IT teams trial, adopt or switch</w:t>
      </w:r>
    </w:p>
    <w:p w14:paraId="7294164A" w14:textId="77777777" w:rsidR="003607B7" w:rsidRDefault="00877CD8">
      <w:r>
        <w:rPr>
          <w:b/>
          <w:color w:val="7A52B5"/>
        </w:rPr>
        <w:t>REFRAMED — from generic pull/cannibalisation to a concrete buying trigger</w:t>
      </w:r>
    </w:p>
    <w:p w14:paraId="672B72E2" w14:textId="77777777" w:rsidR="003607B7" w:rsidRDefault="00877CD8">
      <w:pPr>
        <w:pStyle w:val="Heading2"/>
      </w:pPr>
      <w:r>
        <w:t>What the newer evidence tells us</w:t>
      </w:r>
    </w:p>
    <w:p w14:paraId="0E323580" w14:textId="77777777" w:rsidR="003607B7" w:rsidRDefault="00877CD8">
      <w:pPr>
        <w:pStyle w:val="ListBullet"/>
      </w:pPr>
      <w:r>
        <w:t>Reported triggers include difficult or noisy tools, high cost, compliance requirements, operational effort and tool sprawl.</w:t>
      </w:r>
    </w:p>
    <w:p w14:paraId="5449A099" w14:textId="77777777" w:rsidR="003607B7" w:rsidRDefault="00877CD8">
      <w:pPr>
        <w:pStyle w:val="ListBullet"/>
      </w:pPr>
      <w:r>
        <w:t>Microsoft-centric customers may be difficult to displace; an integrated add-on may be more plausible than a UEM replacement.</w:t>
      </w:r>
    </w:p>
    <w:p w14:paraId="2774D20B" w14:textId="77777777" w:rsidR="003607B7" w:rsidRDefault="00877CD8">
      <w:pPr>
        <w:pStyle w:val="ListBullet"/>
      </w:pPr>
      <w:r>
        <w:t>Customers already have tools, so Pure Ecoverse must displace, complement or consolidate something specific.</w:t>
      </w:r>
    </w:p>
    <w:p w14:paraId="5CCF9631" w14:textId="77777777" w:rsidR="003607B7" w:rsidRDefault="00877CD8">
      <w:pPr>
        <w:pStyle w:val="Heading2"/>
      </w:pPr>
      <w:r>
        <w:t>What remains unproven</w:t>
      </w:r>
    </w:p>
    <w:p w14:paraId="1BC270D7" w14:textId="77777777" w:rsidR="003607B7" w:rsidRDefault="00877CD8">
      <w:pPr>
        <w:pStyle w:val="ListBullet"/>
      </w:pPr>
      <w:r>
        <w:t>Which trigger is common enough to support repeatable acquisition.</w:t>
      </w:r>
    </w:p>
    <w:p w14:paraId="1046CFA3" w14:textId="77777777" w:rsidR="003607B7" w:rsidRDefault="00877CD8">
      <w:pPr>
        <w:pStyle w:val="ListBullet"/>
      </w:pPr>
      <w:r>
        <w:t>Whether the first motion is replacement, coexistence or attach to Intune.</w:t>
      </w:r>
    </w:p>
    <w:p w14:paraId="508B4D9F" w14:textId="77777777" w:rsidR="003607B7" w:rsidRDefault="00877CD8">
      <w:pPr>
        <w:pStyle w:val="ListBullet"/>
      </w:pPr>
      <w:r>
        <w:t>Which incumbent, budget line and buying event are involved.</w:t>
      </w:r>
    </w:p>
    <w:p w14:paraId="1D84147E" w14:textId="77777777" w:rsidR="003607B7" w:rsidRDefault="00877CD8">
      <w:pPr>
        <w:pStyle w:val="Heading2"/>
      </w:pPr>
      <w:r>
        <w:t>Primary test</w:t>
      </w:r>
    </w:p>
    <w:p w14:paraId="0273DA18" w14:textId="77777777" w:rsidR="003607B7" w:rsidRDefault="00877CD8">
      <w:r>
        <w:t>Use recent win/loss evidence, RFPs and structured interviews to map the buying event: what changed, why now, what budget funded it, what was evaluated, what was retained, and what was replaced. Test Intune replacement and Intune-integrated add-on concepts separately.</w:t>
      </w:r>
    </w:p>
    <w:p w14:paraId="43707F4D" w14:textId="77777777" w:rsidR="003607B7" w:rsidRDefault="00877CD8">
      <w:pPr>
        <w:spacing w:after="80"/>
      </w:pPr>
      <w:r>
        <w:rPr>
          <w:b/>
          <w:color w:val="007F7A"/>
        </w:rPr>
        <w:t xml:space="preserve">Evidence that raises confidence: </w:t>
      </w:r>
      <w:r>
        <w:t>A named trigger recurs across a defined ICP, with a consistent incumbent/current workaround and a believable route into evaluation.</w:t>
      </w:r>
    </w:p>
    <w:p w14:paraId="2228E9EF" w14:textId="77777777" w:rsidR="003607B7" w:rsidRDefault="00877CD8">
      <w:pPr>
        <w:spacing w:after="80"/>
      </w:pPr>
      <w:r>
        <w:rPr>
          <w:b/>
          <w:color w:val="007F7A"/>
        </w:rPr>
        <w:t xml:space="preserve">Evidence that changes our mind: </w:t>
      </w:r>
      <w:r>
        <w:t>Triggers remain fragmented by customer, or the concept requires replacing a deeply embedded stack without a compelling reason.</w:t>
      </w:r>
    </w:p>
    <w:p w14:paraId="44E51616" w14:textId="77777777" w:rsidR="003607B7" w:rsidRDefault="00877CD8">
      <w:pPr>
        <w:pStyle w:val="Heading1"/>
      </w:pPr>
      <w:r>
        <w:t>Assumption 3: We can deliver reliable guided automation for bounded endpoint jobs</w:t>
      </w:r>
    </w:p>
    <w:p w14:paraId="320242B9" w14:textId="77777777" w:rsidR="003607B7" w:rsidRDefault="00877CD8">
      <w:r>
        <w:rPr>
          <w:b/>
          <w:color w:val="7A52B5"/>
        </w:rPr>
        <w:t>NARROWED — prove one job before cross-signal autonomy</w:t>
      </w:r>
    </w:p>
    <w:p w14:paraId="1E251770" w14:textId="77777777" w:rsidR="003607B7" w:rsidRDefault="00877CD8">
      <w:pPr>
        <w:pStyle w:val="Heading2"/>
      </w:pPr>
      <w:r>
        <w:t>What the newer evidence tells us</w:t>
      </w:r>
    </w:p>
    <w:p w14:paraId="1D0A263F" w14:textId="77777777" w:rsidR="003607B7" w:rsidRDefault="00877CD8">
      <w:pPr>
        <w:pStyle w:val="ListBullet"/>
      </w:pPr>
      <w:r>
        <w:t>The current evidence values automation when it removes concrete effort, such as patch remediation, software deployment or configuration work.</w:t>
      </w:r>
    </w:p>
    <w:p w14:paraId="3C3F6D99" w14:textId="77777777" w:rsidR="003607B7" w:rsidRDefault="00877CD8">
      <w:pPr>
        <w:pStyle w:val="ListBullet"/>
      </w:pPr>
      <w:r>
        <w:t>The original three-signal judgement remains a larger technical leap than the bounded jobs now emerging from interviews.</w:t>
      </w:r>
    </w:p>
    <w:p w14:paraId="42FD8663" w14:textId="77777777" w:rsidR="003607B7" w:rsidRDefault="00877CD8">
      <w:pPr>
        <w:pStyle w:val="ListBullet"/>
      </w:pPr>
      <w:r>
        <w:t>Progress, completion, accurate state and auditability remain essential.</w:t>
      </w:r>
    </w:p>
    <w:p w14:paraId="770B871E" w14:textId="77777777" w:rsidR="003607B7" w:rsidRDefault="00877CD8">
      <w:pPr>
        <w:pStyle w:val="Heading2"/>
      </w:pPr>
      <w:r>
        <w:t>What remains unproven</w:t>
      </w:r>
    </w:p>
    <w:p w14:paraId="68E369B2" w14:textId="77777777" w:rsidR="003607B7" w:rsidRDefault="00877CD8">
      <w:pPr>
        <w:pStyle w:val="ListBullet"/>
      </w:pPr>
      <w:r>
        <w:t>Whether one bounded workflow can meet agreed reliability and observability thresholds.</w:t>
      </w:r>
    </w:p>
    <w:p w14:paraId="606F05A6" w14:textId="77777777" w:rsidR="003607B7" w:rsidRDefault="00877CD8">
      <w:pPr>
        <w:pStyle w:val="ListBullet"/>
      </w:pPr>
      <w:r>
        <w:t>Whether endpoint data is complete and current enough to support the selected job.</w:t>
      </w:r>
    </w:p>
    <w:p w14:paraId="002BD6DF" w14:textId="77777777" w:rsidR="003607B7" w:rsidRDefault="00877CD8">
      <w:pPr>
        <w:pStyle w:val="ListBullet"/>
      </w:pPr>
      <w:r>
        <w:t>Whether failure modes are recoverable and understandable.</w:t>
      </w:r>
    </w:p>
    <w:p w14:paraId="4819EA44" w14:textId="77777777" w:rsidR="003607B7" w:rsidRDefault="00877CD8">
      <w:pPr>
        <w:pStyle w:val="Heading2"/>
      </w:pPr>
      <w:r>
        <w:t>Primary test</w:t>
      </w:r>
    </w:p>
    <w:p w14:paraId="1D912A06" w14:textId="77777777" w:rsidR="003607B7" w:rsidRDefault="00877CD8">
      <w:r>
        <w:t>Prototype one bounded workflow end to end, preferably patch/vulnerability remediation or a compliance configuration action. Define pre-checks, approval, execution, completion state, exception handling, rollback/escalation and audit trail before testing.</w:t>
      </w:r>
    </w:p>
    <w:p w14:paraId="6534D112" w14:textId="77777777" w:rsidR="003607B7" w:rsidRDefault="00877CD8">
      <w:pPr>
        <w:spacing w:after="80"/>
      </w:pPr>
      <w:r>
        <w:rPr>
          <w:b/>
          <w:color w:val="007F7A"/>
        </w:rPr>
        <w:t xml:space="preserve">Evidence that raises confidence: </w:t>
      </w:r>
      <w:r>
        <w:t>The workflow completes accurately across representative cases, reports state correctly, exposes failures clearly and produces usable evidence of outcome.</w:t>
      </w:r>
    </w:p>
    <w:p w14:paraId="4A8D2EEC" w14:textId="77777777" w:rsidR="003607B7" w:rsidRDefault="00877CD8">
      <w:pPr>
        <w:spacing w:after="80"/>
      </w:pPr>
      <w:r>
        <w:rPr>
          <w:b/>
          <w:color w:val="007F7A"/>
        </w:rPr>
        <w:t xml:space="preserve">Evidence that changes our mind: </w:t>
      </w:r>
      <w:r>
        <w:t>The system cannot reliably determine eligibility/state, completion is ambiguous, or recovery requires specialist intervention too often.</w:t>
      </w:r>
    </w:p>
    <w:p w14:paraId="793BDEA2" w14:textId="77777777" w:rsidR="003607B7" w:rsidRDefault="00877CD8">
      <w:pPr>
        <w:pStyle w:val="Heading1"/>
      </w:pPr>
      <w:r>
        <w:t>Assumption 4: Technicians will trust governed automation with the right controls and feedback</w:t>
      </w:r>
    </w:p>
    <w:p w14:paraId="63E170C1" w14:textId="77777777" w:rsidR="003607B7" w:rsidRDefault="00877CD8">
      <w:r>
        <w:rPr>
          <w:b/>
          <w:color w:val="7A52B5"/>
        </w:rPr>
        <w:t>STRENGTHENED AS A RISK — trust conditions are clearer, not solved</w:t>
      </w:r>
    </w:p>
    <w:p w14:paraId="5D04A8D0" w14:textId="77777777" w:rsidR="003607B7" w:rsidRDefault="00877CD8">
      <w:pPr>
        <w:pStyle w:val="Heading2"/>
      </w:pPr>
      <w:r>
        <w:t>What the newer evidence tells us</w:t>
      </w:r>
    </w:p>
    <w:p w14:paraId="531A0257" w14:textId="77777777" w:rsidR="003607B7" w:rsidRDefault="00877CD8">
      <w:pPr>
        <w:pStyle w:val="ListBullet"/>
      </w:pPr>
      <w:r>
        <w:t>Interview evidence explicitly raises trust, governance, accuracy, auditability and data handling.</w:t>
      </w:r>
    </w:p>
    <w:p w14:paraId="68C0EC7F" w14:textId="77777777" w:rsidR="003607B7" w:rsidRDefault="00877CD8">
      <w:pPr>
        <w:pStyle w:val="ListBullet"/>
      </w:pPr>
      <w:r>
        <w:t>Participants describe value in AI that monitors, prioritises or executes, but with constrained scope and approved knowledge/processes.</w:t>
      </w:r>
    </w:p>
    <w:p w14:paraId="62775B9B" w14:textId="77777777" w:rsidR="003607B7" w:rsidRDefault="00877CD8">
      <w:pPr>
        <w:pStyle w:val="ListBullet"/>
      </w:pPr>
      <w:r>
        <w:t>Simple on/off automation is likely more appropriate for early customers than asking them to create complex agentic workflows.</w:t>
      </w:r>
    </w:p>
    <w:p w14:paraId="1C0F18B4" w14:textId="77777777" w:rsidR="003607B7" w:rsidRDefault="00877CD8">
      <w:pPr>
        <w:pStyle w:val="Heading2"/>
      </w:pPr>
      <w:r>
        <w:t>What remains unproven</w:t>
      </w:r>
    </w:p>
    <w:p w14:paraId="01D32DAC" w14:textId="77777777" w:rsidR="003607B7" w:rsidRDefault="00877CD8">
      <w:pPr>
        <w:pStyle w:val="ListBullet"/>
      </w:pPr>
      <w:r>
        <w:t>Which actions can run automatically, which require approval and which are unacceptable.</w:t>
      </w:r>
    </w:p>
    <w:p w14:paraId="2D90D92A" w14:textId="77777777" w:rsidR="003607B7" w:rsidRDefault="00877CD8">
      <w:pPr>
        <w:pStyle w:val="ListBullet"/>
      </w:pPr>
      <w:r>
        <w:t>What explanation, evidence and recovery controls are needed at each risk level.</w:t>
      </w:r>
    </w:p>
    <w:p w14:paraId="158051EB" w14:textId="77777777" w:rsidR="003607B7" w:rsidRDefault="00877CD8">
      <w:pPr>
        <w:pStyle w:val="ListBullet"/>
      </w:pPr>
      <w:r>
        <w:t>Whether governed automation improves adoption versus deterministic UX alone.</w:t>
      </w:r>
    </w:p>
    <w:p w14:paraId="524E8C6B" w14:textId="77777777" w:rsidR="003607B7" w:rsidRDefault="00877CD8">
      <w:pPr>
        <w:pStyle w:val="Heading2"/>
      </w:pPr>
      <w:r>
        <w:t>Primary test</w:t>
      </w:r>
    </w:p>
    <w:p w14:paraId="26A43585" w14:textId="77777777" w:rsidR="003607B7" w:rsidRDefault="00877CD8">
      <w:r>
        <w:t>Test the same workflow at three autonomy levels: recommend only, approve-before-run, and automatic within policy. Capture task choice, confidence, intervention, comprehension of outcome and willingness to enable in production.</w:t>
      </w:r>
    </w:p>
    <w:p w14:paraId="3F149011" w14:textId="77777777" w:rsidR="003607B7" w:rsidRDefault="00877CD8">
      <w:pPr>
        <w:spacing w:after="80"/>
      </w:pPr>
      <w:r>
        <w:rPr>
          <w:b/>
          <w:color w:val="007F7A"/>
        </w:rPr>
        <w:t xml:space="preserve">Evidence that raises confidence: </w:t>
      </w:r>
      <w:r>
        <w:t>Users can correctly predict what will happen, choose a stable autonomy boundary, detect success/failure and are willing to enable the preferred mode for a real bounded task.</w:t>
      </w:r>
    </w:p>
    <w:p w14:paraId="7F63B15B" w14:textId="77777777" w:rsidR="003607B7" w:rsidRDefault="00877CD8">
      <w:pPr>
        <w:spacing w:after="80"/>
      </w:pPr>
      <w:r>
        <w:rPr>
          <w:b/>
          <w:color w:val="007F7A"/>
        </w:rPr>
        <w:t xml:space="preserve">Evidence that changes our mind: </w:t>
      </w:r>
      <w:r>
        <w:t>Users cannot understand or verify the action, require approval for everything, or prefer manual/deterministic execution because automation adds anxiety or effort.</w:t>
      </w:r>
    </w:p>
    <w:p w14:paraId="733B02FF" w14:textId="77777777" w:rsidR="003607B7" w:rsidRDefault="00877CD8">
      <w:pPr>
        <w:pStyle w:val="Heading1"/>
      </w:pPr>
      <w:r>
        <w:t>Assumption 5: The strongest unmet need is payable at viable price and margin</w:t>
      </w:r>
    </w:p>
    <w:p w14:paraId="29501D4E" w14:textId="77777777" w:rsidR="003607B7" w:rsidRDefault="00877CD8">
      <w:r>
        <w:rPr>
          <w:b/>
          <w:color w:val="7A52B5"/>
        </w:rPr>
        <w:t>STILL CRITICAL — problem evidence improved; commercial evidence did not</w:t>
      </w:r>
    </w:p>
    <w:p w14:paraId="10956DAA" w14:textId="77777777" w:rsidR="003607B7" w:rsidRDefault="00877CD8">
      <w:pPr>
        <w:pStyle w:val="Heading2"/>
      </w:pPr>
      <w:r>
        <w:t>What the newer evidence tells us</w:t>
      </w:r>
    </w:p>
    <w:p w14:paraId="3288E001" w14:textId="77777777" w:rsidR="003607B7" w:rsidRDefault="00877CD8">
      <w:pPr>
        <w:pStyle w:val="ListBullet"/>
      </w:pPr>
      <w:r>
        <w:t>The interviews give stronger evidence for operational pain, compliance pressure and manual effort.</w:t>
      </w:r>
    </w:p>
    <w:p w14:paraId="49309582" w14:textId="77777777" w:rsidR="003607B7" w:rsidRDefault="00877CD8">
      <w:pPr>
        <w:pStyle w:val="ListBullet"/>
      </w:pPr>
      <w:r>
        <w:t>No source reviewed provides direct willingness-to-pay, viable packaging or margin evidence for Pure Ecoverse.</w:t>
      </w:r>
    </w:p>
    <w:p w14:paraId="2C8BA5DF" w14:textId="77777777" w:rsidR="003607B7" w:rsidRDefault="00877CD8">
      <w:pPr>
        <w:pStyle w:val="ListBullet"/>
      </w:pPr>
      <w:r>
        <w:t>IT is treated as a cost centre, so value must be legible as avoided effort, reduced risk, compliance enablement or tool cost reduction.</w:t>
      </w:r>
    </w:p>
    <w:p w14:paraId="601B808D" w14:textId="77777777" w:rsidR="003607B7" w:rsidRDefault="00877CD8">
      <w:pPr>
        <w:pStyle w:val="Heading2"/>
      </w:pPr>
      <w:r>
        <w:t>What remains unproven</w:t>
      </w:r>
    </w:p>
    <w:p w14:paraId="39CD110D" w14:textId="77777777" w:rsidR="003607B7" w:rsidRDefault="00877CD8">
      <w:pPr>
        <w:pStyle w:val="ListBullet"/>
      </w:pPr>
      <w:r>
        <w:t>Who owns budget and which budget line pays.</w:t>
      </w:r>
    </w:p>
    <w:p w14:paraId="1AAD1191" w14:textId="77777777" w:rsidR="003607B7" w:rsidRDefault="00877CD8">
      <w:pPr>
        <w:pStyle w:val="ListBullet"/>
      </w:pPr>
      <w:r>
        <w:t>What minimum package is credible and what price is acceptable.</w:t>
      </w:r>
    </w:p>
    <w:p w14:paraId="1953F8E4" w14:textId="77777777" w:rsidR="003607B7" w:rsidRDefault="00877CD8">
      <w:pPr>
        <w:pStyle w:val="ListBullet"/>
      </w:pPr>
      <w:r>
        <w:t>Whether the economics work for the initial estate size and support model.</w:t>
      </w:r>
    </w:p>
    <w:p w14:paraId="4F1B1BFC" w14:textId="77777777" w:rsidR="003607B7" w:rsidRDefault="00877CD8">
      <w:pPr>
        <w:pStyle w:val="Heading2"/>
      </w:pPr>
      <w:r>
        <w:t>Primary test</w:t>
      </w:r>
    </w:p>
    <w:p w14:paraId="5824C403" w14:textId="77777777" w:rsidR="003607B7" w:rsidRDefault="00877CD8">
      <w:r>
        <w:t>Run a qualitative pricing study against 2–3 concrete packages and prices, anchored in a defined wedge. Use forced choice, current spend/workaround, budget owner, purchasing process and “too cheap / acceptable / expensive / too expensive” questions. Model margin using actual delivery and support assumptions.</w:t>
      </w:r>
    </w:p>
    <w:p w14:paraId="2CB1E12C" w14:textId="77777777" w:rsidR="003607B7" w:rsidRDefault="00877CD8">
      <w:pPr>
        <w:spacing w:after="80"/>
      </w:pPr>
      <w:r>
        <w:rPr>
          <w:b/>
          <w:color w:val="007F7A"/>
        </w:rPr>
        <w:t xml:space="preserve">Evidence that raises confidence: </w:t>
      </w:r>
      <w:r>
        <w:t>A defined segment identifies a budget owner, a credible budget source and an acceptable range that supports target margin and acquisition/support costs.</w:t>
      </w:r>
    </w:p>
    <w:p w14:paraId="6C176A74" w14:textId="77777777" w:rsidR="003607B7" w:rsidRDefault="00877CD8">
      <w:pPr>
        <w:spacing w:after="80"/>
      </w:pPr>
      <w:r>
        <w:rPr>
          <w:b/>
          <w:color w:val="007F7A"/>
        </w:rPr>
        <w:t xml:space="preserve">Evidence that changes our mind: </w:t>
      </w:r>
      <w:r>
        <w:t>Respondents value the problem but expect it free/included, cannot identify budget, or acceptable price fails the economic model.</w:t>
      </w:r>
    </w:p>
    <w:p w14:paraId="2BF93419" w14:textId="77777777" w:rsidR="003607B7" w:rsidRDefault="00877CD8">
      <w:pPr>
        <w:pStyle w:val="Heading1"/>
      </w:pPr>
      <w:r>
        <w:t>Assumption 6: Our advantage is durable enough to win versus incumbents and add-ons</w:t>
      </w:r>
    </w:p>
    <w:p w14:paraId="539740B8" w14:textId="77777777" w:rsidR="003607B7" w:rsidRDefault="00877CD8">
      <w:r>
        <w:rPr>
          <w:b/>
          <w:color w:val="7A52B5"/>
        </w:rPr>
        <w:t>REVISED — the moat must attach to the wedge, not the portfolio story</w:t>
      </w:r>
    </w:p>
    <w:p w14:paraId="6596AFDE" w14:textId="77777777" w:rsidR="003607B7" w:rsidRDefault="00877CD8">
      <w:pPr>
        <w:pStyle w:val="Heading2"/>
      </w:pPr>
      <w:r>
        <w:t>What the newer evidence tells us</w:t>
      </w:r>
    </w:p>
    <w:p w14:paraId="1C5AEB72" w14:textId="77777777" w:rsidR="003607B7" w:rsidRDefault="00877CD8">
      <w:pPr>
        <w:pStyle w:val="ListBullet"/>
      </w:pPr>
      <w:r>
        <w:t>Competitors already validate patching, automation, simplicity and endpoint operations.</w:t>
      </w:r>
    </w:p>
    <w:p w14:paraId="1F741730" w14:textId="77777777" w:rsidR="003607B7" w:rsidRDefault="00877CD8">
      <w:pPr>
        <w:pStyle w:val="ListBullet"/>
      </w:pPr>
      <w:r>
        <w:t>Intune-integrated specialists can solve painful gaps without replacing Microsoft.</w:t>
      </w:r>
    </w:p>
    <w:p w14:paraId="057365D9" w14:textId="77777777" w:rsidR="003607B7" w:rsidRDefault="00877CD8">
      <w:pPr>
        <w:pStyle w:val="ListBullet"/>
      </w:pPr>
      <w:r>
        <w:t>Potential differentiators remain deeper endpoint intelligence, governed action, proof of outcome, usability and the ability to serve IT and MSP operating models.</w:t>
      </w:r>
    </w:p>
    <w:p w14:paraId="109CCC91" w14:textId="77777777" w:rsidR="003607B7" w:rsidRDefault="00877CD8">
      <w:pPr>
        <w:pStyle w:val="Heading2"/>
      </w:pPr>
      <w:r>
        <w:t>What remains unproven</w:t>
      </w:r>
    </w:p>
    <w:p w14:paraId="67BEC0CA" w14:textId="77777777" w:rsidR="003607B7" w:rsidRDefault="00877CD8">
      <w:pPr>
        <w:pStyle w:val="ListBullet"/>
      </w:pPr>
      <w:r>
        <w:t>Which advantage customers notice and value in the first buying decision.</w:t>
      </w:r>
    </w:p>
    <w:p w14:paraId="5C025FF1" w14:textId="77777777" w:rsidR="003607B7" w:rsidRDefault="00877CD8">
      <w:pPr>
        <w:pStyle w:val="ListBullet"/>
      </w:pPr>
      <w:r>
        <w:t>Whether competitors can reproduce the outcome through integration, partnership or packaging.</w:t>
      </w:r>
    </w:p>
    <w:p w14:paraId="20CE01CE" w14:textId="77777777" w:rsidR="003607B7" w:rsidRDefault="00877CD8">
      <w:pPr>
        <w:pStyle w:val="ListBullet"/>
      </w:pPr>
      <w:r>
        <w:t>Whether N-able endpoint data produces a demonstrably better result rather than a stronger internal asset story.</w:t>
      </w:r>
    </w:p>
    <w:p w14:paraId="41613278" w14:textId="77777777" w:rsidR="003607B7" w:rsidRDefault="00877CD8">
      <w:pPr>
        <w:pStyle w:val="Heading2"/>
      </w:pPr>
      <w:r>
        <w:t>Primary test</w:t>
      </w:r>
    </w:p>
    <w:p w14:paraId="61BCFCC7" w14:textId="77777777" w:rsidR="003607B7" w:rsidRDefault="00877CD8">
      <w:r>
        <w:t>Run a competitive teardown around one customer scenario, not feature counts. Compare Ecoverse, Intune + specialist add-on, Action1/Automox and NinjaOne on time to value, manual steps, remediation coverage, evidence produced, governance and switching cost.</w:t>
      </w:r>
    </w:p>
    <w:p w14:paraId="47FD1445" w14:textId="77777777" w:rsidR="003607B7" w:rsidRDefault="00877CD8">
      <w:pPr>
        <w:spacing w:after="80"/>
      </w:pPr>
      <w:r>
        <w:rPr>
          <w:b/>
          <w:color w:val="007F7A"/>
        </w:rPr>
        <w:t xml:space="preserve">Evidence that raises confidence: </w:t>
      </w:r>
      <w:r>
        <w:t>Ecoverse creates a customer-visible advantage on the selected job that is hard to match without meaningful data, workflow or distribution changes.</w:t>
      </w:r>
    </w:p>
    <w:p w14:paraId="0DEB5834" w14:textId="77777777" w:rsidR="003607B7" w:rsidRDefault="00877CD8">
      <w:pPr>
        <w:spacing w:after="80"/>
      </w:pPr>
      <w:r>
        <w:rPr>
          <w:b/>
          <w:color w:val="007F7A"/>
        </w:rPr>
        <w:t xml:space="preserve">Evidence that changes our mind: </w:t>
      </w:r>
      <w:r>
        <w:t>The outcome can be matched through straightforward integration or packaging, or customers do not value the difference enough to switch/pay.</w:t>
      </w:r>
    </w:p>
    <w:p w14:paraId="0A37501D" w14:textId="77777777" w:rsidR="003607B7" w:rsidRDefault="00877CD8">
      <w:r>
        <w:br w:type="page"/>
      </w:r>
    </w:p>
    <w:p w14:paraId="6C9743DB" w14:textId="77777777" w:rsidR="003607B7" w:rsidRDefault="00877CD8">
      <w:pPr>
        <w:pStyle w:val="Title"/>
      </w:pPr>
      <w:r>
        <w:t>Recommended test plan</w:t>
      </w:r>
    </w:p>
    <w:p w14:paraId="628D4674" w14:textId="0DB572FB" w:rsidR="003607B7" w:rsidRDefault="00877CD8">
      <w:r>
        <w:t>A practical sequence that converts the latest interviews into decisions. Discovery continues, but each activity below has a defined assumption and decision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"/>
        <w:gridCol w:w="1828"/>
        <w:gridCol w:w="1220"/>
        <w:gridCol w:w="3657"/>
        <w:gridCol w:w="2842"/>
      </w:tblGrid>
      <w:tr w:rsidR="3E615C19" w14:paraId="378EB765" w14:textId="77777777" w:rsidTr="3E615C19">
        <w:tc>
          <w:tcPr>
            <w:tcW w:w="610" w:type="dxa"/>
            <w:shd w:val="clear" w:color="auto" w:fill="006C68"/>
          </w:tcPr>
          <w:p w14:paraId="5C11DEEC" w14:textId="45187A53" w:rsidR="3E615C19" w:rsidRDefault="3E615C19" w:rsidP="3E615C19">
            <w:r w:rsidRPr="3E615C19">
              <w:rPr>
                <w:b/>
                <w:bCs/>
                <w:color w:val="FFFFFF" w:themeColor="background1"/>
                <w:sz w:val="15"/>
                <w:szCs w:val="15"/>
              </w:rPr>
              <w:t>#</w:t>
            </w:r>
          </w:p>
        </w:tc>
        <w:tc>
          <w:tcPr>
            <w:tcW w:w="1830" w:type="dxa"/>
            <w:shd w:val="clear" w:color="auto" w:fill="006C68"/>
          </w:tcPr>
          <w:p w14:paraId="086140D9" w14:textId="2769465B" w:rsidR="3E615C19" w:rsidRDefault="3E615C19" w:rsidP="3E615C19">
            <w:r w:rsidRPr="3E615C19">
              <w:rPr>
                <w:b/>
                <w:bCs/>
                <w:color w:val="FFFFFF" w:themeColor="background1"/>
                <w:sz w:val="15"/>
                <w:szCs w:val="15"/>
              </w:rPr>
              <w:t>Workstream</w:t>
            </w:r>
          </w:p>
        </w:tc>
        <w:tc>
          <w:tcPr>
            <w:tcW w:w="1220" w:type="dxa"/>
            <w:shd w:val="clear" w:color="auto" w:fill="006C68"/>
          </w:tcPr>
          <w:p w14:paraId="022C3D59" w14:textId="46DFFD49" w:rsidR="3E615C19" w:rsidRDefault="3E615C19" w:rsidP="3E615C19">
            <w:r w:rsidRPr="3E615C19">
              <w:rPr>
                <w:b/>
                <w:bCs/>
                <w:color w:val="FFFFFF" w:themeColor="background1"/>
                <w:sz w:val="15"/>
                <w:szCs w:val="15"/>
              </w:rPr>
              <w:t>Assumptions</w:t>
            </w:r>
          </w:p>
        </w:tc>
        <w:tc>
          <w:tcPr>
            <w:tcW w:w="3660" w:type="dxa"/>
            <w:shd w:val="clear" w:color="auto" w:fill="006C68"/>
          </w:tcPr>
          <w:p w14:paraId="27275F99" w14:textId="08A0F228" w:rsidR="3E615C19" w:rsidRDefault="3E615C19" w:rsidP="3E615C19">
            <w:r w:rsidRPr="3E615C19">
              <w:rPr>
                <w:b/>
                <w:bCs/>
                <w:color w:val="FFFFFF" w:themeColor="background1"/>
                <w:sz w:val="15"/>
                <w:szCs w:val="15"/>
              </w:rPr>
              <w:t>Method</w:t>
            </w:r>
          </w:p>
        </w:tc>
        <w:tc>
          <w:tcPr>
            <w:tcW w:w="2846" w:type="dxa"/>
            <w:shd w:val="clear" w:color="auto" w:fill="006C68"/>
          </w:tcPr>
          <w:p w14:paraId="0F23B8FE" w14:textId="51BD696F" w:rsidR="3E615C19" w:rsidRDefault="3E615C19" w:rsidP="3E615C19">
            <w:r w:rsidRPr="3E615C19">
              <w:rPr>
                <w:b/>
                <w:bCs/>
                <w:color w:val="FFFFFF" w:themeColor="background1"/>
                <w:sz w:val="15"/>
                <w:szCs w:val="15"/>
              </w:rPr>
              <w:t>Decision output</w:t>
            </w:r>
          </w:p>
        </w:tc>
      </w:tr>
      <w:tr w:rsidR="3E615C19" w14:paraId="1772D21E" w14:textId="77777777" w:rsidTr="3E615C19">
        <w:tc>
          <w:tcPr>
            <w:tcW w:w="610" w:type="dxa"/>
          </w:tcPr>
          <w:p w14:paraId="5F56B871" w14:textId="55713C26" w:rsidR="3E615C19" w:rsidRDefault="3E615C19" w:rsidP="3E615C19">
            <w:pPr>
              <w:jc w:val="center"/>
            </w:pPr>
            <w:r w:rsidRPr="3E615C19">
              <w:rPr>
                <w:sz w:val="15"/>
                <w:szCs w:val="15"/>
              </w:rPr>
              <w:t>1</w:t>
            </w:r>
          </w:p>
        </w:tc>
        <w:tc>
          <w:tcPr>
            <w:tcW w:w="1830" w:type="dxa"/>
          </w:tcPr>
          <w:p w14:paraId="30DDFB84" w14:textId="07D5EB36" w:rsidR="3E615C19" w:rsidRDefault="3E615C19" w:rsidP="3E615C19">
            <w:r w:rsidRPr="3E615C19">
              <w:rPr>
                <w:sz w:val="15"/>
                <w:szCs w:val="15"/>
              </w:rPr>
              <w:t>Evidence inventory and coding</w:t>
            </w:r>
          </w:p>
        </w:tc>
        <w:tc>
          <w:tcPr>
            <w:tcW w:w="1220" w:type="dxa"/>
          </w:tcPr>
          <w:p w14:paraId="197D474F" w14:textId="2845C099" w:rsidR="3E615C19" w:rsidRDefault="3E615C19" w:rsidP="3E615C19">
            <w:pPr>
              <w:jc w:val="center"/>
            </w:pPr>
            <w:r w:rsidRPr="3E615C19">
              <w:rPr>
                <w:sz w:val="15"/>
                <w:szCs w:val="15"/>
              </w:rPr>
              <w:t>1, 2, 4, 5</w:t>
            </w:r>
          </w:p>
        </w:tc>
        <w:tc>
          <w:tcPr>
            <w:tcW w:w="3660" w:type="dxa"/>
          </w:tcPr>
          <w:p w14:paraId="39A8F1A8" w14:textId="5E2DD85B" w:rsidR="3E615C19" w:rsidRDefault="3E615C19" w:rsidP="3E615C19">
            <w:r w:rsidRPr="3E615C19">
              <w:rPr>
                <w:sz w:val="15"/>
                <w:szCs w:val="15"/>
              </w:rPr>
              <w:t>Code completed interviews, sales/SE evidence, RFPs and win/loss material against the six assumptions. Separate direct customer evidence, field observation and interpretation.</w:t>
            </w:r>
          </w:p>
        </w:tc>
        <w:tc>
          <w:tcPr>
            <w:tcW w:w="2846" w:type="dxa"/>
          </w:tcPr>
          <w:p w14:paraId="1123566E" w14:textId="6428A06E" w:rsidR="3E615C19" w:rsidRDefault="3E615C19" w:rsidP="3E615C19">
            <w:r w:rsidRPr="3E615C19">
              <w:rPr>
                <w:sz w:val="15"/>
                <w:szCs w:val="15"/>
              </w:rPr>
              <w:t>Evidence matrix; contradictory evidence log; gaps by segment.</w:t>
            </w:r>
          </w:p>
        </w:tc>
      </w:tr>
      <w:tr w:rsidR="3E615C19" w14:paraId="0F1E1AE9" w14:textId="77777777" w:rsidTr="3E615C19">
        <w:tc>
          <w:tcPr>
            <w:tcW w:w="610" w:type="dxa"/>
          </w:tcPr>
          <w:p w14:paraId="5BB5407B" w14:textId="116DD6A0" w:rsidR="3E615C19" w:rsidRDefault="3E615C19" w:rsidP="3E615C19">
            <w:pPr>
              <w:jc w:val="center"/>
            </w:pPr>
            <w:r w:rsidRPr="3E615C19">
              <w:rPr>
                <w:sz w:val="15"/>
                <w:szCs w:val="15"/>
              </w:rPr>
              <w:t>2</w:t>
            </w:r>
          </w:p>
        </w:tc>
        <w:tc>
          <w:tcPr>
            <w:tcW w:w="1830" w:type="dxa"/>
          </w:tcPr>
          <w:p w14:paraId="767E2F03" w14:textId="7633E342" w:rsidR="3E615C19" w:rsidRDefault="3E615C19" w:rsidP="3E615C19">
            <w:r w:rsidRPr="3E615C19">
              <w:rPr>
                <w:sz w:val="15"/>
                <w:szCs w:val="15"/>
              </w:rPr>
              <w:t>Wedge and proposition test</w:t>
            </w:r>
          </w:p>
        </w:tc>
        <w:tc>
          <w:tcPr>
            <w:tcW w:w="1220" w:type="dxa"/>
          </w:tcPr>
          <w:p w14:paraId="79BAFF5F" w14:textId="626415F0" w:rsidR="3E615C19" w:rsidRDefault="3E615C19" w:rsidP="3E615C19">
            <w:pPr>
              <w:jc w:val="center"/>
            </w:pPr>
            <w:r w:rsidRPr="3E615C19">
              <w:rPr>
                <w:sz w:val="15"/>
                <w:szCs w:val="15"/>
              </w:rPr>
              <w:t>1, 2, 6</w:t>
            </w:r>
          </w:p>
        </w:tc>
        <w:tc>
          <w:tcPr>
            <w:tcW w:w="3660" w:type="dxa"/>
          </w:tcPr>
          <w:p w14:paraId="18C4F703" w14:textId="2739D007" w:rsidR="3E615C19" w:rsidRDefault="3E615C19" w:rsidP="3E615C19">
            <w:r w:rsidRPr="3E615C19">
              <w:rPr>
                <w:sz w:val="15"/>
                <w:szCs w:val="15"/>
              </w:rPr>
              <w:t>Test three focused concepts with IT Pro participants, including a realistic current-state alternative. Start broad, then reveal concepts to avoid leading discovery.</w:t>
            </w:r>
          </w:p>
        </w:tc>
        <w:tc>
          <w:tcPr>
            <w:tcW w:w="2846" w:type="dxa"/>
          </w:tcPr>
          <w:p w14:paraId="0B4A579D" w14:textId="673D60C5" w:rsidR="3E615C19" w:rsidRDefault="3E615C19" w:rsidP="3E615C19">
            <w:r w:rsidRPr="3E615C19">
              <w:rPr>
                <w:sz w:val="15"/>
                <w:szCs w:val="15"/>
              </w:rPr>
              <w:t>Preferred job/outcome, trigger, incumbent/add-on path and differentiated value.</w:t>
            </w:r>
          </w:p>
        </w:tc>
      </w:tr>
      <w:tr w:rsidR="3E615C19" w14:paraId="44D0B2DF" w14:textId="77777777" w:rsidTr="3E615C19">
        <w:tc>
          <w:tcPr>
            <w:tcW w:w="610" w:type="dxa"/>
          </w:tcPr>
          <w:p w14:paraId="7E37B98C" w14:textId="384A58EF" w:rsidR="3E615C19" w:rsidRDefault="3E615C19" w:rsidP="3E615C19">
            <w:pPr>
              <w:jc w:val="center"/>
            </w:pPr>
            <w:r w:rsidRPr="3E615C19">
              <w:rPr>
                <w:sz w:val="15"/>
                <w:szCs w:val="15"/>
              </w:rPr>
              <w:t>3</w:t>
            </w:r>
          </w:p>
        </w:tc>
        <w:tc>
          <w:tcPr>
            <w:tcW w:w="1830" w:type="dxa"/>
          </w:tcPr>
          <w:p w14:paraId="03494977" w14:textId="5467581C" w:rsidR="3E615C19" w:rsidRDefault="3E615C19" w:rsidP="3E615C19">
            <w:r w:rsidRPr="3E615C19">
              <w:rPr>
                <w:sz w:val="15"/>
                <w:szCs w:val="15"/>
              </w:rPr>
              <w:t>Intune coexistence test</w:t>
            </w:r>
          </w:p>
        </w:tc>
        <w:tc>
          <w:tcPr>
            <w:tcW w:w="1220" w:type="dxa"/>
          </w:tcPr>
          <w:p w14:paraId="7C927EE6" w14:textId="31F5E655" w:rsidR="3E615C19" w:rsidRDefault="3E615C19" w:rsidP="3E615C19">
            <w:pPr>
              <w:jc w:val="center"/>
            </w:pPr>
            <w:r w:rsidRPr="3E615C19">
              <w:rPr>
                <w:sz w:val="15"/>
                <w:szCs w:val="15"/>
              </w:rPr>
              <w:t>2, 6</w:t>
            </w:r>
          </w:p>
        </w:tc>
        <w:tc>
          <w:tcPr>
            <w:tcW w:w="3660" w:type="dxa"/>
          </w:tcPr>
          <w:p w14:paraId="2773B6CE" w14:textId="3A60FBFC" w:rsidR="3E615C19" w:rsidRDefault="3E615C19" w:rsidP="3E615C19">
            <w:r w:rsidRPr="3E615C19">
              <w:rPr>
                <w:sz w:val="15"/>
                <w:szCs w:val="15"/>
              </w:rPr>
              <w:t>Compare replacement versus Intune-integrated add-on propositions with Microsoft-centric and non-Microsoft-centric environments.</w:t>
            </w:r>
          </w:p>
        </w:tc>
        <w:tc>
          <w:tcPr>
            <w:tcW w:w="2846" w:type="dxa"/>
          </w:tcPr>
          <w:p w14:paraId="2B6FA3D4" w14:textId="7180AA14" w:rsidR="3E615C19" w:rsidRDefault="3E615C19" w:rsidP="3E615C19">
            <w:r w:rsidRPr="3E615C19">
              <w:rPr>
                <w:sz w:val="15"/>
                <w:szCs w:val="15"/>
              </w:rPr>
              <w:t>Segmented rule for displace, coexist or de-prioritise.</w:t>
            </w:r>
          </w:p>
        </w:tc>
      </w:tr>
      <w:tr w:rsidR="3E615C19" w14:paraId="73993086" w14:textId="77777777" w:rsidTr="3E615C19">
        <w:tc>
          <w:tcPr>
            <w:tcW w:w="610" w:type="dxa"/>
          </w:tcPr>
          <w:p w14:paraId="176A580C" w14:textId="2CFD46B2" w:rsidR="3E615C19" w:rsidRDefault="3E615C19" w:rsidP="3E615C19">
            <w:pPr>
              <w:jc w:val="center"/>
            </w:pPr>
            <w:r w:rsidRPr="3E615C19">
              <w:rPr>
                <w:sz w:val="15"/>
                <w:szCs w:val="15"/>
              </w:rPr>
              <w:t>4</w:t>
            </w:r>
          </w:p>
        </w:tc>
        <w:tc>
          <w:tcPr>
            <w:tcW w:w="1830" w:type="dxa"/>
          </w:tcPr>
          <w:p w14:paraId="18142BD2" w14:textId="42471451" w:rsidR="3E615C19" w:rsidRDefault="3E615C19" w:rsidP="3E615C19">
            <w:r w:rsidRPr="3E615C19">
              <w:rPr>
                <w:sz w:val="15"/>
                <w:szCs w:val="15"/>
              </w:rPr>
              <w:t>Bounded workflow prototype</w:t>
            </w:r>
          </w:p>
        </w:tc>
        <w:tc>
          <w:tcPr>
            <w:tcW w:w="1220" w:type="dxa"/>
          </w:tcPr>
          <w:p w14:paraId="4369A906" w14:textId="580F0105" w:rsidR="3E615C19" w:rsidRDefault="3E615C19" w:rsidP="3E615C19">
            <w:pPr>
              <w:jc w:val="center"/>
            </w:pPr>
            <w:r w:rsidRPr="3E615C19">
              <w:rPr>
                <w:sz w:val="15"/>
                <w:szCs w:val="15"/>
              </w:rPr>
              <w:t>3, 4</w:t>
            </w:r>
          </w:p>
        </w:tc>
        <w:tc>
          <w:tcPr>
            <w:tcW w:w="3660" w:type="dxa"/>
          </w:tcPr>
          <w:p w14:paraId="20838CA6" w14:textId="46BD9565" w:rsidR="3E615C19" w:rsidRDefault="3E615C19" w:rsidP="3E615C19">
            <w:r w:rsidRPr="3E615C19">
              <w:rPr>
                <w:sz w:val="15"/>
                <w:szCs w:val="15"/>
              </w:rPr>
              <w:t>Prototype one end-to-end patch/vulnerability/compliance action with pre-check, approval, execution, result, exception handling and audit evidence.</w:t>
            </w:r>
          </w:p>
        </w:tc>
        <w:tc>
          <w:tcPr>
            <w:tcW w:w="2846" w:type="dxa"/>
          </w:tcPr>
          <w:p w14:paraId="388517D4" w14:textId="401EA4BC" w:rsidR="3E615C19" w:rsidRDefault="3E615C19" w:rsidP="3E615C19">
            <w:r w:rsidRPr="3E615C19">
              <w:rPr>
                <w:sz w:val="15"/>
                <w:szCs w:val="15"/>
              </w:rPr>
              <w:t>Reliability findings, trust boundary and product requirements.</w:t>
            </w:r>
          </w:p>
        </w:tc>
      </w:tr>
      <w:tr w:rsidR="3E615C19" w14:paraId="50B78EA9" w14:textId="77777777" w:rsidTr="3E615C19">
        <w:tc>
          <w:tcPr>
            <w:tcW w:w="610" w:type="dxa"/>
          </w:tcPr>
          <w:p w14:paraId="1DDD24B1" w14:textId="45041B69" w:rsidR="3E615C19" w:rsidRDefault="3E615C19" w:rsidP="3E615C19">
            <w:pPr>
              <w:jc w:val="center"/>
            </w:pPr>
            <w:r w:rsidRPr="3E615C19">
              <w:rPr>
                <w:sz w:val="15"/>
                <w:szCs w:val="15"/>
              </w:rPr>
              <w:t>5</w:t>
            </w:r>
          </w:p>
        </w:tc>
        <w:tc>
          <w:tcPr>
            <w:tcW w:w="1830" w:type="dxa"/>
          </w:tcPr>
          <w:p w14:paraId="4F0F42F5" w14:textId="5EF9E92D" w:rsidR="3E615C19" w:rsidRDefault="3E615C19" w:rsidP="3E615C19">
            <w:r w:rsidRPr="3E615C19">
              <w:rPr>
                <w:sz w:val="15"/>
                <w:szCs w:val="15"/>
              </w:rPr>
              <w:t>Commercial test</w:t>
            </w:r>
          </w:p>
        </w:tc>
        <w:tc>
          <w:tcPr>
            <w:tcW w:w="1220" w:type="dxa"/>
          </w:tcPr>
          <w:p w14:paraId="0990429E" w14:textId="28EFCC2E" w:rsidR="3E615C19" w:rsidRDefault="3E615C19" w:rsidP="3E615C19">
            <w:pPr>
              <w:jc w:val="center"/>
            </w:pPr>
            <w:r w:rsidRPr="3E615C19">
              <w:rPr>
                <w:sz w:val="15"/>
                <w:szCs w:val="15"/>
              </w:rPr>
              <w:t>2, 5</w:t>
            </w:r>
          </w:p>
        </w:tc>
        <w:tc>
          <w:tcPr>
            <w:tcW w:w="3660" w:type="dxa"/>
          </w:tcPr>
          <w:p w14:paraId="55B2C426" w14:textId="51E8B1C5" w:rsidR="3E615C19" w:rsidRDefault="3E615C19" w:rsidP="3E615C19">
            <w:r w:rsidRPr="3E615C19">
              <w:rPr>
                <w:sz w:val="15"/>
                <w:szCs w:val="15"/>
              </w:rPr>
              <w:t>Test package and price against the winning wedge, with current spend, budget source, buyer, procurement path and acceptable price range.</w:t>
            </w:r>
          </w:p>
        </w:tc>
        <w:tc>
          <w:tcPr>
            <w:tcW w:w="2846" w:type="dxa"/>
          </w:tcPr>
          <w:p w14:paraId="28D6E456" w14:textId="2248052C" w:rsidR="3E615C19" w:rsidRDefault="3E615C19" w:rsidP="3E615C19">
            <w:r w:rsidRPr="3E615C19">
              <w:rPr>
                <w:sz w:val="15"/>
                <w:szCs w:val="15"/>
              </w:rPr>
              <w:t>Preliminary willingness-to-pay and unit-economics case.</w:t>
            </w:r>
          </w:p>
        </w:tc>
      </w:tr>
      <w:tr w:rsidR="3E615C19" w14:paraId="35C6A6FE" w14:textId="77777777" w:rsidTr="3E615C19">
        <w:tc>
          <w:tcPr>
            <w:tcW w:w="610" w:type="dxa"/>
          </w:tcPr>
          <w:p w14:paraId="0642BA39" w14:textId="7B784E36" w:rsidR="3E615C19" w:rsidRDefault="3E615C19" w:rsidP="3E615C19">
            <w:pPr>
              <w:jc w:val="center"/>
            </w:pPr>
            <w:r w:rsidRPr="3E615C19">
              <w:rPr>
                <w:sz w:val="15"/>
                <w:szCs w:val="15"/>
              </w:rPr>
              <w:t>6</w:t>
            </w:r>
          </w:p>
        </w:tc>
        <w:tc>
          <w:tcPr>
            <w:tcW w:w="1830" w:type="dxa"/>
          </w:tcPr>
          <w:p w14:paraId="60A7A726" w14:textId="49A1A5B0" w:rsidR="3E615C19" w:rsidRDefault="3E615C19" w:rsidP="3E615C19">
            <w:r w:rsidRPr="3E615C19">
              <w:rPr>
                <w:sz w:val="15"/>
                <w:szCs w:val="15"/>
              </w:rPr>
              <w:t>Competitive scenario teardown</w:t>
            </w:r>
          </w:p>
        </w:tc>
        <w:tc>
          <w:tcPr>
            <w:tcW w:w="1220" w:type="dxa"/>
          </w:tcPr>
          <w:p w14:paraId="75919F1C" w14:textId="439A8E9F" w:rsidR="3E615C19" w:rsidRDefault="3E615C19" w:rsidP="3E615C19">
            <w:pPr>
              <w:jc w:val="center"/>
            </w:pPr>
            <w:r w:rsidRPr="3E615C19">
              <w:rPr>
                <w:sz w:val="15"/>
                <w:szCs w:val="15"/>
              </w:rPr>
              <w:t>6</w:t>
            </w:r>
          </w:p>
        </w:tc>
        <w:tc>
          <w:tcPr>
            <w:tcW w:w="3660" w:type="dxa"/>
          </w:tcPr>
          <w:p w14:paraId="1F18279C" w14:textId="4D0C56AC" w:rsidR="3E615C19" w:rsidRDefault="3E615C19" w:rsidP="3E615C19">
            <w:r w:rsidRPr="3E615C19">
              <w:rPr>
                <w:sz w:val="15"/>
                <w:szCs w:val="15"/>
              </w:rPr>
              <w:t>Benchmark the winning job against Intune + add-on, Action1/Automox and NinjaOne using customer-visible outcomes.</w:t>
            </w:r>
          </w:p>
        </w:tc>
        <w:tc>
          <w:tcPr>
            <w:tcW w:w="2846" w:type="dxa"/>
          </w:tcPr>
          <w:p w14:paraId="59A8C291" w14:textId="29AD3717" w:rsidR="3E615C19" w:rsidRDefault="3E615C19" w:rsidP="3E615C19">
            <w:r w:rsidRPr="3E615C19">
              <w:rPr>
                <w:sz w:val="15"/>
                <w:szCs w:val="15"/>
              </w:rPr>
              <w:t>Defensible advantage statement or explicit decision that the advantage is only a head start.</w:t>
            </w:r>
          </w:p>
        </w:tc>
      </w:tr>
    </w:tbl>
    <w:p w14:paraId="42FD588A" w14:textId="77777777" w:rsidR="003607B7" w:rsidRDefault="00877CD8">
      <w:pPr>
        <w:pStyle w:val="Heading1"/>
      </w:pPr>
      <w:r>
        <w:t>Core interview questions to standardise</w:t>
      </w:r>
    </w:p>
    <w:p w14:paraId="65CDF1AC" w14:textId="77777777" w:rsidR="003607B7" w:rsidRDefault="00877CD8">
      <w:pPr>
        <w:pStyle w:val="ListBullet"/>
      </w:pPr>
      <w:r>
        <w:t>Tell me about the last time you bought or replaced an endpoint-management, patching, vulnerability or compliance tool. What changed?</w:t>
      </w:r>
    </w:p>
    <w:p w14:paraId="7CCCD796" w14:textId="77777777" w:rsidR="003607B7" w:rsidRDefault="00877CD8">
      <w:pPr>
        <w:pStyle w:val="ListBullet"/>
      </w:pPr>
      <w:r>
        <w:t>What job were you trying to solve first? What did you keep, replace or integrate?</w:t>
      </w:r>
    </w:p>
    <w:p w14:paraId="7D858712" w14:textId="77777777" w:rsidR="003607B7" w:rsidRDefault="00877CD8">
      <w:pPr>
        <w:pStyle w:val="ListBullet"/>
      </w:pPr>
      <w:r>
        <w:t>Which parts of the current workflow consume the most manual effort or specialist time?</w:t>
      </w:r>
    </w:p>
    <w:p w14:paraId="1869E578" w14:textId="77777777" w:rsidR="003607B7" w:rsidRDefault="00877CD8">
      <w:pPr>
        <w:pStyle w:val="ListBullet"/>
      </w:pPr>
      <w:r>
        <w:t>What happens if the problem is not solved? Who notices and who owns the consequence?</w:t>
      </w:r>
    </w:p>
    <w:p w14:paraId="703A13E0" w14:textId="77777777" w:rsidR="003607B7" w:rsidRDefault="00877CD8">
      <w:pPr>
        <w:pStyle w:val="ListBullet"/>
      </w:pPr>
      <w:r>
        <w:t>How do Intune, other UEM/RMM tools and specialist products fit together today?</w:t>
      </w:r>
    </w:p>
    <w:p w14:paraId="4A17F3A1" w14:textId="77777777" w:rsidR="003607B7" w:rsidRDefault="00877CD8">
      <w:pPr>
        <w:pStyle w:val="ListBullet"/>
      </w:pPr>
      <w:r>
        <w:t>Which actions could be automated safely? Which require approval? Which should never be automated?</w:t>
      </w:r>
    </w:p>
    <w:p w14:paraId="222509A0" w14:textId="77777777" w:rsidR="003607B7" w:rsidRDefault="00877CD8">
      <w:pPr>
        <w:pStyle w:val="ListBullet"/>
      </w:pPr>
      <w:r>
        <w:t>What proof do you need after an action: status, audit trail, compliance evidence, rollback or reporting?</w:t>
      </w:r>
    </w:p>
    <w:p w14:paraId="2E613EB2" w14:textId="77777777" w:rsidR="003607B7" w:rsidRDefault="00877CD8">
      <w:pPr>
        <w:pStyle w:val="ListBullet"/>
      </w:pPr>
      <w:r>
        <w:t>Who owns the budget, what budget would fund this and what else would compete for that spend?</w:t>
      </w:r>
    </w:p>
    <w:p w14:paraId="1D30AB02" w14:textId="77777777" w:rsidR="003607B7" w:rsidRDefault="00877CD8">
      <w:pPr>
        <w:pStyle w:val="ListBullet"/>
      </w:pPr>
      <w:r>
        <w:t>Which concept would you evaluate first, and what would the next real step be?</w:t>
      </w:r>
    </w:p>
    <w:p w14:paraId="76C6BD50" w14:textId="77777777" w:rsidR="003607B7" w:rsidRDefault="00877CD8">
      <w:pPr>
        <w:pStyle w:val="ListBullet"/>
      </w:pPr>
      <w:r>
        <w:t>What would make the proposition not worth changing from the current setup?</w:t>
      </w:r>
    </w:p>
    <w:p w14:paraId="36CCD24D" w14:textId="77777777" w:rsidR="003607B7" w:rsidRDefault="00877CD8">
      <w:pPr>
        <w:pStyle w:val="Heading1"/>
      </w:pPr>
      <w:r>
        <w:t>Evidence rules</w:t>
      </w:r>
    </w:p>
    <w:p w14:paraId="10C192EE" w14:textId="77777777" w:rsidR="003607B7" w:rsidRDefault="00877CD8">
      <w:pPr>
        <w:pStyle w:val="ListBullet"/>
      </w:pPr>
      <w:r>
        <w:t>Keep direct participant statements separate from field-team interpretation and internal synthesis.</w:t>
      </w:r>
    </w:p>
    <w:p w14:paraId="4E3A1BBB" w14:textId="77777777" w:rsidR="003607B7" w:rsidRDefault="00877CD8">
      <w:pPr>
        <w:pStyle w:val="ListBullet"/>
      </w:pPr>
      <w:r>
        <w:t>Do not count positive reactions as purchase evidence. Look for a current job, consequence, incumbent/workaround, budget path and next action.</w:t>
      </w:r>
    </w:p>
    <w:p w14:paraId="7906DCFB" w14:textId="77777777" w:rsidR="003607B7" w:rsidRDefault="00877CD8">
      <w:pPr>
        <w:pStyle w:val="ListBullet"/>
      </w:pPr>
      <w:r>
        <w:t>Capture disconfirming evidence explicitly. A failed assumption is a useful decision, not a research failure.</w:t>
      </w:r>
    </w:p>
    <w:p w14:paraId="6FCAC6C5" w14:textId="77777777" w:rsidR="003607B7" w:rsidRDefault="00877CD8">
      <w:pPr>
        <w:pStyle w:val="ListBullet"/>
      </w:pPr>
      <w:r>
        <w:t>Segment findings by estate size, IT-team size, Microsoft dependence, regulated/non-regulated context and current tool model.</w:t>
      </w:r>
    </w:p>
    <w:p w14:paraId="5B3AAB20" w14:textId="77777777" w:rsidR="003607B7" w:rsidRDefault="00877CD8">
      <w:pPr>
        <w:pStyle w:val="ListBullet"/>
      </w:pPr>
      <w:r>
        <w:t>Use the same concept stimuli and core questions across participants so patterns can be compared.</w:t>
      </w:r>
    </w:p>
    <w:p w14:paraId="19F1A3C5" w14:textId="77777777" w:rsidR="003607B7" w:rsidRDefault="00877CD8">
      <w:pPr>
        <w:pStyle w:val="Heading1"/>
      </w:pPr>
      <w:r>
        <w:t>Updated overall conclusion</w:t>
      </w:r>
    </w:p>
    <w:p w14:paraId="2199614C" w14:textId="77777777" w:rsidR="003607B7" w:rsidRDefault="00877CD8">
      <w:r>
        <w:t>The current evidence supports continued testing of an IT Pro proposition, but not a broad platform-first commitment. The best-supported direction is a focused entry job around patching, vulnerability remediation, endpoint intelligence and compliance, delivered through a simple guided experience. The highest remaining risks are a repeatable buying trigger, Intune coexistence, reliable and trusted execution, willingness to pay and a customer-visible advantage competitors cannot easily match.</w:t>
      </w:r>
    </w:p>
    <w:p w14:paraId="72684411" w14:textId="77777777" w:rsidR="003607B7" w:rsidRDefault="00877CD8">
      <w:pPr>
        <w:pStyle w:val="Heading1"/>
      </w:pPr>
      <w:r>
        <w:t>Internal evidence reviewed for this update</w:t>
      </w:r>
    </w:p>
    <w:p w14:paraId="4E46B1E6" w14:textId="77777777" w:rsidR="003607B7" w:rsidRDefault="00877CD8">
      <w:pPr>
        <w:pStyle w:val="ListBullet"/>
      </w:pPr>
      <w:r>
        <w:t>Ecoverse_Riskiest_Assumptions 1.docx, 09 September 2026.</w:t>
      </w:r>
    </w:p>
    <w:p w14:paraId="7A85A20D" w14:textId="77777777" w:rsidR="003607B7" w:rsidRDefault="00877CD8">
      <w:pPr>
        <w:pStyle w:val="ListBullet"/>
      </w:pPr>
      <w:r>
        <w:t>MSP Market Segments Research Request 1.docx, including summaries of interviews and field conversations with Tarik Hafid, Paul Killins, Hauke VonJuergensonn and Connor Herman.</w:t>
      </w:r>
    </w:p>
    <w:p w14:paraId="29BCBC41" w14:textId="77777777" w:rsidR="003607B7" w:rsidRDefault="00877CD8">
      <w:pPr>
        <w:pStyle w:val="ListBullet"/>
      </w:pPr>
      <w:r>
        <w:t>internal IT Department tools and jobs, transcribed discussion with TJ Hardwick, Brian Mackie, Taha Doueidar and Meaghan Reinecke.</w:t>
      </w:r>
    </w:p>
    <w:p w14:paraId="3CCF5774" w14:textId="77777777" w:rsidR="003607B7" w:rsidRDefault="00877CD8">
      <w:pPr>
        <w:pStyle w:val="ListBullet"/>
      </w:pPr>
      <w:r>
        <w:t>Ecoverse Product &amp; GTM Strategy – Working Draft.pptx, current working strategy and validation slides.</w:t>
      </w:r>
    </w:p>
    <w:sectPr w:rsidR="003607B7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E3009" w14:textId="77777777" w:rsidR="00756C03" w:rsidRDefault="00756C03">
      <w:pPr>
        <w:spacing w:after="0" w:line="240" w:lineRule="auto"/>
      </w:pPr>
      <w:r>
        <w:separator/>
      </w:r>
    </w:p>
  </w:endnote>
  <w:endnote w:type="continuationSeparator" w:id="0">
    <w:p w14:paraId="0F370D36" w14:textId="77777777" w:rsidR="00756C03" w:rsidRDefault="00756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323FC" w14:textId="77777777" w:rsidR="003607B7" w:rsidRDefault="00877CD8">
    <w:pPr>
      <w:pStyle w:val="Footer"/>
      <w:jc w:val="center"/>
    </w:pPr>
    <w:r>
      <w:rPr>
        <w:color w:val="6B7785"/>
        <w:sz w:val="16"/>
      </w:rPr>
      <w:t>Internal working document  •  Updated 23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DAC2F" w14:textId="77777777" w:rsidR="00756C03" w:rsidRDefault="00756C03">
      <w:pPr>
        <w:spacing w:after="0" w:line="240" w:lineRule="auto"/>
      </w:pPr>
      <w:r>
        <w:separator/>
      </w:r>
    </w:p>
  </w:footnote>
  <w:footnote w:type="continuationSeparator" w:id="0">
    <w:p w14:paraId="13EC8BEC" w14:textId="77777777" w:rsidR="00756C03" w:rsidRDefault="00756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BD3DE" w14:textId="77777777" w:rsidR="003607B7" w:rsidRDefault="00877CD8">
    <w:r>
      <w:rPr>
        <w:b/>
        <w:color w:val="007F7A"/>
        <w:sz w:val="16"/>
      </w:rPr>
      <w:t>ECOVERSE  /  RISKIEST ASSUMPTIONS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142518">
    <w:abstractNumId w:val="8"/>
  </w:num>
  <w:num w:numId="2" w16cid:durableId="1427264859">
    <w:abstractNumId w:val="6"/>
  </w:num>
  <w:num w:numId="3" w16cid:durableId="1265920142">
    <w:abstractNumId w:val="5"/>
  </w:num>
  <w:num w:numId="4" w16cid:durableId="951088021">
    <w:abstractNumId w:val="4"/>
  </w:num>
  <w:num w:numId="5" w16cid:durableId="592011841">
    <w:abstractNumId w:val="7"/>
  </w:num>
  <w:num w:numId="6" w16cid:durableId="1255630716">
    <w:abstractNumId w:val="3"/>
  </w:num>
  <w:num w:numId="7" w16cid:durableId="1262034218">
    <w:abstractNumId w:val="2"/>
  </w:num>
  <w:num w:numId="8" w16cid:durableId="2093966500">
    <w:abstractNumId w:val="1"/>
  </w:num>
  <w:num w:numId="9" w16cid:durableId="159451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7B7"/>
    <w:rsid w:val="00424C8F"/>
    <w:rsid w:val="00756C03"/>
    <w:rsid w:val="00877CD8"/>
    <w:rsid w:val="00AA1D8D"/>
    <w:rsid w:val="00B278BA"/>
    <w:rsid w:val="00B47730"/>
    <w:rsid w:val="00CB0664"/>
    <w:rsid w:val="00FC693F"/>
    <w:rsid w:val="3095A54D"/>
    <w:rsid w:val="3E61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3FAD5B-BB8E-4875-B253-0A353257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6C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82A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7F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2A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8852733-97dc-4e8b-a968-ee5ffa6f993d}" enabled="1" method="Standard" siteId="{6324f4fb-86ee-4493-ba16-c819a916b48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2197</Words>
  <Characters>12528</Characters>
  <Application>Microsoft Office Word</Application>
  <DocSecurity>0</DocSecurity>
  <Lines>104</Lines>
  <Paragraphs>29</Paragraphs>
  <ScaleCrop>false</ScaleCrop>
  <Manager/>
  <Company/>
  <LinksUpToDate>false</LinksUpToDate>
  <CharactersWithSpaces>14696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Connor</dc:creator>
  <cp:keywords/>
  <dc:description>generated by python-docx</dc:description>
  <cp:lastModifiedBy>Elizabeth Connor</cp:lastModifiedBy>
  <cp:revision>4</cp:revision>
  <dcterms:created xsi:type="dcterms:W3CDTF">2026-09-23T08:20:00Z</dcterms:created>
  <dcterms:modified xsi:type="dcterms:W3CDTF">2026-09-23T08:20:00Z</dcterms:modified>
  <cp:category/>
</cp:coreProperties>
</file>