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/>
          <w:b/>
          <w:color w:val="1F3C70"/>
          <w:sz w:val="32"/>
        </w:rPr>
        <w:t>Strategic Prototyping Protocol  ·  /prototype</w:t>
      </w:r>
    </w:p>
    <w:p>
      <w:pPr>
        <w:spacing w:after="80"/>
      </w:pPr>
      <w:r>
        <w:rPr>
          <w:rFonts w:ascii="Arial" w:hAnsi="Arial"/>
          <w:i/>
          <w:color w:val="555555"/>
          <w:sz w:val="19"/>
        </w:rPr>
        <w:t>A Claude Code skill for design-thinking prototyping — turn a rough idea into a working prototype, a readiness call, an expert-panel read, and a teammate-ready handoff. Build something to react to, then iterate.</w:t>
      </w:r>
    </w:p>
    <w:p>
      <w:pPr>
        <w:spacing w:before="120" w:after="60"/>
        <w:pBdr>
          <w:bottom w:val="single" w:sz="6" w:space="2" w:color="1F3C70"/>
        </w:pBdr>
      </w:pPr>
      <w:r>
        <w:rPr>
          <w:rFonts w:ascii="Arial" w:hAnsi="Arial"/>
          <w:b/>
          <w:color w:val="1F3C70"/>
          <w:sz w:val="22"/>
        </w:rPr>
        <w:t>5-minute demo</w:t>
      </w:r>
    </w:p>
    <w:p>
      <w:pPr>
        <w:pStyle w:val="ListNumber"/>
        <w:spacing w:after="40" w:before="0"/>
      </w:pPr>
      <w:r>
        <w:rPr>
          <w:rFonts w:ascii="Arial" w:hAnsi="Arial"/>
          <w:sz w:val="18"/>
        </w:rPr>
        <w:t xml:space="preserve">In Claude Code, type </w:t>
      </w:r>
      <w:r>
        <w:rPr>
          <w:rFonts w:ascii="Consolas" w:hAnsi="Consolas"/>
          <w:sz w:val="18"/>
        </w:rPr>
        <w:t>/prototype Trust Score panel</w:t>
      </w:r>
      <w:r>
        <w:rPr>
          <w:rFonts w:ascii="Arial" w:hAnsi="Arial"/>
          <w:sz w:val="18"/>
        </w:rPr>
        <w:t>.</w:t>
      </w:r>
    </w:p>
    <w:p>
      <w:pPr>
        <w:pStyle w:val="ListNumber"/>
        <w:spacing w:after="40" w:before="0"/>
      </w:pPr>
      <w:r>
        <w:rPr>
          <w:rFonts w:ascii="Arial" w:hAnsi="Arial"/>
          <w:sz w:val="18"/>
        </w:rPr>
        <w:t xml:space="preserve">Answer intake: </w:t>
      </w:r>
      <w:r>
        <w:rPr>
          <w:rFonts w:ascii="Arial" w:hAnsi="Arial"/>
          <w:b/>
          <w:sz w:val="18"/>
        </w:rPr>
        <w:t>Lo-fi</w:t>
      </w:r>
      <w:r>
        <w:rPr>
          <w:rFonts w:ascii="Arial" w:hAnsi="Arial"/>
          <w:sz w:val="18"/>
        </w:rPr>
        <w:t xml:space="preserve"> · a source link/file or </w:t>
      </w:r>
      <w:r>
        <w:rPr>
          <w:rFonts w:ascii="Arial" w:hAnsi="Arial"/>
          <w:b/>
          <w:sz w:val="18"/>
        </w:rPr>
        <w:t>"no sources — exploratory"</w:t>
      </w:r>
      <w:r>
        <w:rPr>
          <w:rFonts w:ascii="Arial" w:hAnsi="Arial"/>
          <w:sz w:val="18"/>
        </w:rPr>
        <w:t xml:space="preserve"> · </w:t>
      </w:r>
      <w:r>
        <w:rPr>
          <w:rFonts w:ascii="Arial" w:hAnsi="Arial"/>
          <w:b/>
          <w:sz w:val="18"/>
        </w:rPr>
        <w:t>Fast Mode</w:t>
      </w:r>
      <w:r>
        <w:rPr>
          <w:rFonts w:ascii="Arial" w:hAnsi="Arial"/>
          <w:sz w:val="18"/>
        </w:rPr>
        <w:t>.</w:t>
      </w:r>
    </w:p>
    <w:p>
      <w:pPr>
        <w:pStyle w:val="ListNumber"/>
        <w:spacing w:after="40" w:before="0"/>
      </w:pPr>
      <w:r>
        <w:rPr>
          <w:rFonts w:ascii="Arial" w:hAnsi="Arial"/>
          <w:sz w:val="18"/>
        </w:rPr>
        <w:t>Pipeline runs: scout → spec → critic → build → critic → council → handoff (each a specialist agent).</w:t>
      </w:r>
    </w:p>
    <w:p>
      <w:pPr>
        <w:pStyle w:val="ListNumber"/>
        <w:spacing w:after="40" w:before="0"/>
      </w:pPr>
      <w:r>
        <w:rPr>
          <w:rFonts w:ascii="Arial" w:hAnsi="Arial"/>
          <w:sz w:val="18"/>
        </w:rPr>
        <w:t xml:space="preserve">Show the prototype in our product look (Apex / Adlumin) + the </w:t>
      </w:r>
      <w:r>
        <w:rPr>
          <w:rFonts w:ascii="Arial" w:hAnsi="Arial"/>
          <w:b/>
          <w:sz w:val="18"/>
        </w:rPr>
        <w:t>review rail</w:t>
      </w:r>
      <w:r>
        <w:rPr>
          <w:rFonts w:ascii="Arial" w:hAnsi="Arial"/>
          <w:sz w:val="18"/>
        </w:rPr>
        <w:t>: what you nailed, what’ll hurt you, routed cards (Product/Design/Research/Eng).</w:t>
      </w:r>
    </w:p>
    <w:p>
      <w:pPr>
        <w:pStyle w:val="ListNumber"/>
        <w:spacing w:after="40" w:before="0"/>
      </w:pPr>
      <w:r>
        <w:rPr>
          <w:rFonts w:ascii="Arial" w:hAnsi="Arial"/>
          <w:sz w:val="18"/>
        </w:rPr>
        <w:t xml:space="preserve">Click </w:t>
      </w:r>
      <w:r>
        <w:rPr>
          <w:rFonts w:ascii="Arial" w:hAnsi="Arial"/>
          <w:b/>
          <w:sz w:val="18"/>
        </w:rPr>
        <w:t>"Hear the council"</w:t>
      </w:r>
      <w:r>
        <w:rPr>
          <w:rFonts w:ascii="Arial" w:hAnsi="Arial"/>
          <w:sz w:val="18"/>
        </w:rPr>
        <w:t xml:space="preserve"> → surfaced tensions. Toggle </w:t>
      </w:r>
      <w:r>
        <w:rPr>
          <w:rFonts w:ascii="Arial" w:hAnsi="Arial"/>
          <w:b/>
          <w:sz w:val="18"/>
        </w:rPr>
        <w:t>Hard Mode</w:t>
      </w:r>
      <w:r>
        <w:rPr>
          <w:rFonts w:ascii="Arial" w:hAnsi="Arial"/>
          <w:sz w:val="18"/>
        </w:rPr>
        <w:t xml:space="preserve"> → the full 44-voice expert panel and where traditions disagree.</w:t>
      </w:r>
    </w:p>
    <w:p>
      <w:pPr>
        <w:pStyle w:val="ListNumber"/>
        <w:spacing w:after="40" w:before="0"/>
      </w:pPr>
      <w:r>
        <w:rPr>
          <w:rFonts w:ascii="Arial" w:hAnsi="Arial"/>
          <w:sz w:val="18"/>
        </w:rPr>
        <w:t xml:space="preserve">Open the </w:t>
      </w:r>
      <w:r>
        <w:rPr>
          <w:rFonts w:ascii="Arial" w:hAnsi="Arial"/>
          <w:b/>
          <w:sz w:val="18"/>
        </w:rPr>
        <w:t>handoff packet</w:t>
      </w:r>
      <w:r>
        <w:rPr>
          <w:rFonts w:ascii="Arial" w:hAnsi="Arial"/>
          <w:sz w:val="18"/>
        </w:rPr>
        <w:t xml:space="preserve"> — a folder a teammate can open cold.</w:t>
      </w:r>
    </w:p>
    <w:p>
      <w:pPr>
        <w:pStyle w:val="ListNumber"/>
        <w:spacing w:after="40" w:before="0"/>
      </w:pPr>
      <w:r>
        <w:rPr>
          <w:rFonts w:ascii="Arial" w:hAnsi="Arial"/>
          <w:sz w:val="18"/>
        </w:rPr>
        <w:t>Land the trust point: every claim is confidence-tagged, the readiness score reflects what’s assumed, and unknowns are named — not invented.</w:t>
      </w:r>
    </w:p>
    <w:p>
      <w:pPr>
        <w:spacing w:before="120" w:after="60"/>
        <w:pBdr>
          <w:bottom w:val="single" w:sz="6" w:space="2" w:color="1F3C70"/>
        </w:pBdr>
      </w:pPr>
      <w:r>
        <w:rPr>
          <w:rFonts w:ascii="Arial" w:hAnsi="Arial"/>
          <w:b/>
          <w:color w:val="1F3C70"/>
          <w:sz w:val="22"/>
        </w:rPr>
        <w:t>What you can do  (main task → sub-tasks)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5256"/>
        <w:gridCol w:w="5256"/>
      </w:tblGrid>
      <w:tr>
        <w:tc>
          <w:tcPr>
            <w:tcW w:type="dxa" w:w="2880"/>
            <w:shd w:val="clear" w:fill="1F3C70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>Main task</w:t>
            </w:r>
          </w:p>
        </w:tc>
        <w:tc>
          <w:tcPr>
            <w:tcW w:type="dxa" w:w="7632"/>
            <w:shd w:val="clear" w:fill="1F3C70"/>
          </w:tcPr>
          <w:p>
            <w:pPr>
              <w:spacing w:after="20"/>
            </w:pPr>
            <w:r>
              <w:rPr>
                <w:rFonts w:ascii="Arial" w:hAnsi="Arial"/>
                <w:b/>
                <w:color w:val="FFFFFF"/>
                <w:sz w:val="17"/>
              </w:rPr>
              <w:t>Sub-tasks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Prototype a screen or flow</w:t>
            </w:r>
          </w:p>
        </w:tc>
        <w:tc>
          <w:tcPr>
            <w:tcW w:type="dxa" w:w="763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Lo-fi concept · hi-fi clickable multi-page · embed as an Apex Bridge overlay in a host product · readiness tier (Concept/Direction/Spec-ready) · iterate &amp; re-run</w:t>
            </w:r>
          </w:p>
        </w:tc>
      </w:tr>
      <w:tr>
        <w:tc>
          <w:tcPr>
            <w:tcW w:type="dxa" w:w="2880"/>
            <w:shd w:val="clear" w:fill="EEF2F8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Run a design-thinking workshop</w:t>
            </w:r>
          </w:p>
        </w:tc>
        <w:tc>
          <w:tcPr>
            <w:tcW w:type="dxa" w:w="7632"/>
            <w:shd w:val="clear" w:fill="EEF2F8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Frame via three gates (real problem? right thing? built right?) · surface hidden assumptions · separate researched from assumed · produce ingredients to react to as a group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Stress-test with the expert panel</w:t>
            </w:r>
          </w:p>
        </w:tc>
        <w:tc>
          <w:tcPr>
            <w:tcW w:type="dxa" w:w="763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Fast read (~12 priority voices → top tensions, ~2 min) · deep read (44 voices, 14 traditions, cross-talk) · find where frameworks contradict = your real risks · route each call to a human</w:t>
            </w:r>
          </w:p>
        </w:tc>
      </w:tr>
      <w:tr>
        <w:tc>
          <w:tcPr>
            <w:tcW w:type="dxa" w:w="2880"/>
            <w:shd w:val="clear" w:fill="EEF2F8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Gather &amp; ground research</w:t>
            </w:r>
          </w:p>
        </w:tc>
        <w:tc>
          <w:tcPr>
            <w:tcW w:type="dxa" w:w="7632"/>
            <w:shd w:val="clear" w:fill="EEF2F8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Pull real sources (Confluence/Jira/web/local) · secondary-literature scan (name camps, stakes, strongest dissent) · confidence-tag every claim · flag thin or one-sided sourcing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Write the spec / brief</w:t>
            </w:r>
          </w:p>
        </w:tc>
        <w:tc>
          <w:tcPr>
            <w:tcW w:type="dxa" w:w="763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Three-gate brief with [R]/[D]/[A]/[?] evidence tags · readiness ratio · names what’s missing instead of filling it</w:t>
            </w:r>
          </w:p>
        </w:tc>
      </w:tr>
      <w:tr>
        <w:tc>
          <w:tcPr>
            <w:tcW w:type="dxa" w:w="2880"/>
            <w:shd w:val="clear" w:fill="EEF2F8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Critique a build</w:t>
            </w:r>
          </w:p>
        </w:tc>
        <w:tc>
          <w:tcPr>
            <w:tcW w:type="dxa" w:w="7632"/>
            <w:shd w:val="clear" w:fill="EEF2F8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6-dimension scorecard · before/after delta · punch list of fixes</w:t>
            </w:r>
          </w:p>
        </w:tc>
      </w:tr>
      <w:tr>
        <w:tc>
          <w:tcPr>
            <w:tcW w:type="dxa" w:w="2880"/>
          </w:tcPr>
          <w:p>
            <w:pPr>
              <w:spacing w:after="20"/>
            </w:pPr>
            <w:r>
              <w:rPr>
                <w:rFonts w:ascii="Arial" w:hAnsi="Arial"/>
                <w:b/>
                <w:sz w:val="17"/>
              </w:rPr>
              <w:t>Produce a handoff</w:t>
            </w:r>
          </w:p>
        </w:tc>
        <w:tc>
          <w:tcPr>
            <w:tcW w:type="dxa" w:w="7632"/>
          </w:tcPr>
          <w:p>
            <w:pPr>
              <w:spacing w:after="20"/>
            </w:pPr>
            <w:r>
              <w:rPr>
                <w:rFonts w:ascii="Arial" w:hAnsi="Arial"/>
                <w:sz w:val="17"/>
              </w:rPr>
              <w:t>Drop-in packet: brief, critic scorecards, council testimony, routed cards, ownership attribution — openable by any teammate or new session</w:t>
            </w:r>
          </w:p>
        </w:tc>
      </w:tr>
    </w:tbl>
    <w:p>
      <w:pPr>
        <w:spacing w:before="120" w:after="60"/>
        <w:pBdr>
          <w:bottom w:val="single" w:sz="6" w:space="2" w:color="1F3C70"/>
        </w:pBdr>
      </w:pPr>
      <w:r>
        <w:rPr>
          <w:rFonts w:ascii="Arial" w:hAnsi="Arial"/>
          <w:b/>
          <w:color w:val="1F3C70"/>
          <w:sz w:val="22"/>
        </w:rPr>
        <w:t>Why you can trust its research more than a raw chatbot</w:t>
      </w:r>
    </w:p>
    <w:p>
      <w:pPr>
        <w:spacing w:after="40" w:before="0"/>
      </w:pPr>
      <w:r>
        <w:rPr>
          <w:rFonts w:ascii="Arial" w:hAnsi="Arial"/>
          <w:sz w:val="18"/>
        </w:rPr>
        <w:t xml:space="preserve">Same model underneath — the difference is </w:t>
      </w:r>
      <w:r>
        <w:rPr>
          <w:rFonts w:ascii="Arial" w:hAnsi="Arial"/>
          <w:b/>
          <w:sz w:val="18"/>
        </w:rPr>
        <w:t>discipline that forces uncertainty into the open</w:t>
      </w:r>
      <w:r>
        <w:rPr>
          <w:rFonts w:ascii="Arial" w:hAnsi="Arial"/>
          <w:sz w:val="18"/>
        </w:rPr>
        <w:t xml:space="preserve"> instead of hiding it behind fluent prose:</w:t>
      </w:r>
    </w:p>
    <w:p>
      <w:pPr>
        <w:pStyle w:val="ListBullet"/>
        <w:spacing w:after="40" w:before="0"/>
      </w:pPr>
      <w:r>
        <w:rPr>
          <w:rFonts w:ascii="Arial" w:hAnsi="Arial"/>
          <w:b/>
          <w:sz w:val="18"/>
        </w:rPr>
        <w:t>Confidence tags on every claim</w:t>
      </w:r>
      <w:r>
        <w:rPr>
          <w:rFonts w:ascii="Arial" w:hAnsi="Arial"/>
          <w:sz w:val="18"/>
        </w:rPr>
        <w:t xml:space="preserve"> (VERIFIED / HIGH / MEDIUM / LOW / FABRICATION RISK / UNKNOWN). Fluency ≠ accuracy — and it says so per claim.</w:t>
      </w:r>
    </w:p>
    <w:p>
      <w:pPr>
        <w:pStyle w:val="ListBullet"/>
        <w:spacing w:after="40" w:before="0"/>
      </w:pPr>
      <w:r>
        <w:rPr>
          <w:rFonts w:ascii="Arial" w:hAnsi="Arial"/>
          <w:b/>
          <w:sz w:val="18"/>
        </w:rPr>
        <w:t>Evidence gating</w:t>
      </w:r>
      <w:r>
        <w:rPr>
          <w:rFonts w:ascii="Arial" w:hAnsi="Arial"/>
          <w:sz w:val="18"/>
        </w:rPr>
        <w:t xml:space="preserve"> — claims marked [R] researched, [D] data, [A] assumed, [?] unknown. Too much assumed → flagged not ready, not dressed up with a confident score.</w:t>
      </w:r>
    </w:p>
    <w:p>
      <w:pPr>
        <w:pStyle w:val="ListBullet"/>
        <w:spacing w:after="40" w:before="0"/>
      </w:pPr>
      <w:r>
        <w:rPr>
          <w:rFonts w:ascii="Arial" w:hAnsi="Arial"/>
          <w:b/>
          <w:sz w:val="18"/>
        </w:rPr>
        <w:t>Sources, not vibes</w:t>
      </w:r>
      <w:r>
        <w:rPr>
          <w:rFonts w:ascii="Arial" w:hAnsi="Arial"/>
          <w:sz w:val="18"/>
        </w:rPr>
        <w:t xml:space="preserve"> — scout pulls your actual docs/tickets/web; a sourceless answer lowers the readiness score honestly.</w:t>
      </w:r>
    </w:p>
    <w:p>
      <w:pPr>
        <w:pStyle w:val="ListBullet"/>
        <w:spacing w:after="40" w:before="0"/>
      </w:pPr>
      <w:r>
        <w:rPr>
          <w:rFonts w:ascii="Arial" w:hAnsi="Arial"/>
          <w:b/>
          <w:sz w:val="18"/>
        </w:rPr>
        <w:t>Verify-every-stat rule</w:t>
      </w:r>
      <w:r>
        <w:rPr>
          <w:rFonts w:ascii="Arial" w:hAnsi="Arial"/>
          <w:sz w:val="18"/>
        </w:rPr>
        <w:t xml:space="preserve"> — every number in a handoff is re-checked against its source before it ships.</w:t>
      </w:r>
    </w:p>
    <w:p>
      <w:pPr>
        <w:pStyle w:val="ListBullet"/>
        <w:spacing w:after="40" w:before="0"/>
      </w:pPr>
      <w:r>
        <w:rPr>
          <w:rFonts w:ascii="Arial" w:hAnsi="Arial"/>
          <w:b/>
          <w:sz w:val="18"/>
        </w:rPr>
        <w:t>Named unknowns</w:t>
      </w:r>
      <w:r>
        <w:rPr>
          <w:rFonts w:ascii="Arial" w:hAnsi="Arial"/>
          <w:sz w:val="18"/>
        </w:rPr>
        <w:t xml:space="preserve"> — where there’s no data it writes "Unknown: gap" and turns it into a research question, instead of fabricating a number.</w:t>
      </w:r>
    </w:p>
    <w:p>
      <w:pPr>
        <w:pStyle w:val="ListBullet"/>
        <w:spacing w:after="40" w:before="0"/>
      </w:pPr>
      <w:r>
        <w:rPr>
          <w:rFonts w:ascii="Arial" w:hAnsi="Arial"/>
          <w:b/>
          <w:sz w:val="18"/>
        </w:rPr>
        <w:t>Expert-panel clash detection</w:t>
      </w:r>
      <w:r>
        <w:rPr>
          <w:rFonts w:ascii="Arial" w:hAnsi="Arial"/>
          <w:sz w:val="18"/>
        </w:rPr>
        <w:t xml:space="preserve"> — 44 traditions read the same idea; contradictions are surfaced and routed to a human, never auto-resolved.</w:t>
      </w:r>
    </w:p>
    <w:p>
      <w:pPr>
        <w:spacing w:before="60"/>
      </w:pPr>
      <w:r>
        <w:rPr>
          <w:rFonts w:ascii="Arial" w:hAnsi="Arial"/>
          <w:b/>
          <w:color w:val="1F3C70"/>
          <w:sz w:val="18"/>
        </w:rPr>
        <w:t>The honest version: it’s not "smarter" — it’s accountable. It shows its sources, marks its confidence, and tells you what it doesn’t know.</w:t>
      </w:r>
    </w:p>
    <w:p>
      <w:pPr>
        <w:spacing w:before="120"/>
      </w:pPr>
      <w:r>
        <w:rPr>
          <w:rFonts w:ascii="Arial" w:hAnsi="Arial"/>
          <w:i/>
          <w:color w:val="555555"/>
          <w:sz w:val="16"/>
        </w:rPr>
        <w:t>Install: download the ZIP, read README.md, copy .claude/, briefs/, and CLAUDE.md into your Claude Code project, then type /prototype. Full steps in INSTALL.md.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