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ns1="http://schemas.openxmlformats.org/markup-compatibility/2006" xmlns:ns2="http://schemas.microsoft.com/office/word/2010/wordml" xmlns:r="http://schemas.openxmlformats.org/officeDocument/2006/relationships" xmlns:w="http://schemas.openxmlformats.org/wordprocessingml/2006/main" ns1:Ignorable="w14 w15 w16se w16cid w16 w16cex w16sdtdh w16sdtfl w16du wp14">
  <w:body>
    <w:p ns2:paraId="2FF3966A" ns2:textId="77777777" w:rsidR="003607B7" w:rsidRDefault="00877CD8">
      <w:pPr>
        <w:pStyle w:val="Title"/>
      </w:pPr>
      <w:r>
        <w:t>Pure Ecoverse Play — Riskiest Assumptions</w:t>
      </w:r>
    </w:p>
    <w:p ns2:paraId="04301F4A" ns2:textId="19ADBE51" w:rsidR="003607B7" w:rsidRDefault="00877CD8">
      <w:r w:rsidRPr="3095A54D">
        <w:rPr>
          <w:b/>
          <w:bCs/>
          <w:color w:val="6B7785"/>
        </w:rPr>
        <w:t>Elizabeth Connor  |  Updated 23 September 2026</w:t>
      </w:r>
    </w:p>
    <w:tbl>
      <w:tblPr>
        <w:tblStyle w:val="TableGrid"/>
        <w:tblW w:w="0" w:type="auto"/>
        <w:tblLook w:val="04A0" w:firstRow="1" w:lastRow="0" w:firstColumn="1" w:lastColumn="0" w:noHBand="0" w:noVBand="1"/>
      </w:tblPr>
      <w:tblGrid>
        <w:gridCol w:w="10156"/>
      </w:tblGrid>
      <w:tr w:rsidR="3E615C19" ns2:paraId="698CCE15" ns2:textId="77777777" w:rsidTr="3E615C19">
        <w:tc>
          <w:tcPr>
            <w:tcW w:w="10166" w:type="dxa"/>
            <w:shd w:val="clear" w:color="auto" w:fill="EAF6F4"/>
          </w:tcPr>
          <w:p ns2:paraId="3C0166F8" ns2:textId="744ACAC7" w:rsidR="3E615C19" w:rsidRDefault="3E615C19" w:rsidP="3E615C19">
            <w:r w:rsidRPr="3E615C19">
              <w:rPr>
                <w:b/>
                <w:bCs/>
                <w:color w:val="006C68"/>
              </w:rPr>
              <w:t>WHAT CHANGED SINCE 09 SEPTEMBER</w:t>
            </w:r>
          </w:p>
          <w:p ns2:paraId="3392C0DD" ns2:textId="23F47888" w:rsidR="3E615C19" w:rsidRDefault="3E615C19" w:rsidP="3E615C19">
            <w:pPr>
              <w:pStyle w:val="ListBullet"/>
            </w:pPr>
            <w:r>
              <w:t>The interviews strengthen the target-customer and problem evidence: small, generalist-heavy IT teams consistently value simpler operations, patching, vulnerability management, visibility, compliance and reduced manual effort.</w:t>
            </w:r>
          </w:p>
          <w:p ns2:paraId="7F557D89" ns2:textId="16BF1152" w:rsidR="3E615C19" w:rsidRDefault="3E615C19" w:rsidP="3E615C19">
            <w:pPr>
              <w:pStyle w:val="ListBullet"/>
            </w:pPr>
            <w:r>
              <w:t>They weaken the original platform-first premise: some IT departments enter the market shopping for one capability, and Microsoft-centric estates may prefer an add-on that integrates with Intune rather than replacing their UEM.</w:t>
            </w:r>
          </w:p>
          <w:p ns2:paraId="54472D27" ns2:textId="0438963D" w:rsidR="3E615C19" w:rsidRDefault="3E615C19" w:rsidP="3E615C19">
            <w:pPr>
              <w:pStyle w:val="ListBullet"/>
            </w:pPr>
            <w:r>
              <w:t>AI remains promising, but the better assumption is not “AI is the reason to buy.” It is “guided, governed automation makes a valuable job easier and more trustworthy.”</w:t>
            </w:r>
          </w:p>
        </w:tc>
      </w:tr>
    </w:tbl>
    <w:p ns2:paraId="672A6659" ns2:textId="77777777" w:rsidR="003607B7" w:rsidRDefault="003607B7"/>
    <w:p ns2:paraId="1F9F0BDC" ns2:textId="7C44FFC3" w:rsidR="003607B7" w:rsidRDefault="00877CD8">
      <w:pPr>
        <w:pStyle w:val="Heading1"/>
      </w:pPr>
      <w:r>
        <w:t>Updated risk picture</w:t>
      </w:r>
    </w:p>
    <w:tbl>
      <w:tblPr>
        <w:tblStyle w:val="TableGrid"/>
        <w:tblW w:w="0" w:type="auto"/>
        <w:tblLook w:val="04A0" w:firstRow="1" w:lastRow="0" w:firstColumn="1" w:lastColumn="0" w:noHBand="0" w:noVBand="1"/>
      </w:tblPr>
      <w:tblGrid>
        <w:gridCol w:w="610"/>
        <w:gridCol w:w="4265"/>
        <w:gridCol w:w="1422"/>
        <w:gridCol w:w="3859"/>
      </w:tblGrid>
      <w:tr w:rsidR="3E615C19" ns2:paraId="244DE9D8" ns2:textId="77777777" w:rsidTr="3E615C19">
        <w:tc>
          <w:tcPr>
            <w:tcW w:w="610" w:type="dxa"/>
            <w:shd w:val="clear" w:color="auto" w:fill="18384A"/>
          </w:tcPr>
          <w:p ns2:paraId="320934B0" ns2:textId="014D15B6" w:rsidR="3E615C19" w:rsidRDefault="3E615C19" w:rsidP="3E615C19">
            <w:pPr>
              <w:jc w:val="center"/>
            </w:pPr>
            <w:r w:rsidRPr="3E615C19">
              <w:rPr>
                <w:b/>
                <w:bCs/>
                <w:color w:val="FFFFFF" w:themeColor="background1"/>
                <w:sz w:val="16"/>
                <w:szCs w:val="16"/>
              </w:rPr>
              <w:t>#</w:t>
            </w:r>
          </w:p>
        </w:tc>
        <w:tc>
          <w:tcPr>
            <w:tcW w:w="4270" w:type="dxa"/>
            <w:shd w:val="clear" w:color="auto" w:fill="18384A"/>
          </w:tcPr>
          <w:p ns2:paraId="767A9E36" ns2:textId="4FA9A2CD" w:rsidR="3E615C19" w:rsidRDefault="3E615C19" w:rsidP="3E615C19">
            <w:r w:rsidRPr="3E615C19">
              <w:rPr>
                <w:b/>
                <w:bCs/>
                <w:color w:val="FFFFFF" w:themeColor="background1"/>
                <w:sz w:val="16"/>
                <w:szCs w:val="16"/>
              </w:rPr>
              <w:t>Revised assumption</w:t>
            </w:r>
          </w:p>
        </w:tc>
        <w:tc>
          <w:tcPr>
            <w:tcW w:w="1423" w:type="dxa"/>
            <w:shd w:val="clear" w:color="auto" w:fill="18384A"/>
          </w:tcPr>
          <w:p ns2:paraId="3FBE4C2B" ns2:textId="0A1C44E2" w:rsidR="3E615C19" w:rsidRDefault="3E615C19" w:rsidP="3E615C19">
            <w:pPr>
              <w:jc w:val="center"/>
            </w:pPr>
            <w:r w:rsidRPr="3E615C19">
              <w:rPr>
                <w:b/>
                <w:bCs/>
                <w:color w:val="FFFFFF" w:themeColor="background1"/>
                <w:sz w:val="16"/>
                <w:szCs w:val="16"/>
              </w:rPr>
              <w:t>Status</w:t>
            </w:r>
          </w:p>
        </w:tc>
        <w:tc>
          <w:tcPr>
            <w:tcW w:w="3863" w:type="dxa"/>
            <w:shd w:val="clear" w:color="auto" w:fill="18384A"/>
          </w:tcPr>
          <w:p ns2:paraId="20D6757A" ns2:textId="675DC976" w:rsidR="3E615C19" w:rsidRDefault="3E615C19" w:rsidP="3E615C19">
            <w:r w:rsidRPr="3E615C19">
              <w:rPr>
                <w:b/>
                <w:bCs/>
                <w:color w:val="FFFFFF" w:themeColor="background1"/>
                <w:sz w:val="16"/>
                <w:szCs w:val="16"/>
              </w:rPr>
              <w:t>Interview effect</w:t>
            </w:r>
          </w:p>
        </w:tc>
      </w:tr>
      <w:tr w:rsidR="3E615C19" ns2:paraId="1DF0E793" ns2:textId="77777777" w:rsidTr="3E615C19">
        <w:tc>
          <w:tcPr>
            <w:tcW w:w="610" w:type="dxa"/>
          </w:tcPr>
          <w:p ns2:paraId="41CD83E8" ns2:textId="205B1D8B" w:rsidR="3E615C19" w:rsidRDefault="3E615C19" w:rsidP="3E615C19">
            <w:pPr>
              <w:jc w:val="center"/>
            </w:pPr>
            <w:r w:rsidRPr="3E615C19">
              <w:rPr>
                <w:sz w:val="16"/>
                <w:szCs w:val="16"/>
              </w:rPr>
              <w:t>1</w:t>
            </w:r>
          </w:p>
        </w:tc>
        <w:tc>
          <w:tcPr>
            <w:tcW w:w="4270" w:type="dxa"/>
          </w:tcPr>
          <w:p ns2:paraId="2B7D8344" ns2:textId="51349198" w:rsidR="3E615C19" w:rsidRDefault="3E615C19" w:rsidP="3E615C19">
            <w:r w:rsidRPr="3E615C19">
              <w:rPr>
                <w:sz w:val="16"/>
                <w:szCs w:val="16"/>
              </w:rPr>
              <w:t>A focused wedge creates enough value to earn adoption, with broader value proven through expansion.</w:t>
            </w:r>
          </w:p>
        </w:tc>
        <w:tc>
          <w:tcPr>
            <w:tcW w:w="1423" w:type="dxa"/>
            <w:shd w:val="clear" w:color="auto" w:fill="FFF2CC"/>
          </w:tcPr>
          <w:p ns2:paraId="452ACD1E" ns2:textId="20B860FB" w:rsidR="3E615C19" w:rsidRDefault="3E615C19" w:rsidP="3E615C19">
            <w:pPr>
              <w:jc w:val="center"/>
            </w:pPr>
            <w:r w:rsidRPr="3E615C19">
              <w:rPr>
                <w:b/>
                <w:bCs/>
                <w:color w:val="9C4234"/>
                <w:sz w:val="16"/>
                <w:szCs w:val="16"/>
              </w:rPr>
              <w:t>HIGH</w:t>
            </w:r>
          </w:p>
        </w:tc>
        <w:tc>
          <w:tcPr>
            <w:tcW w:w="3863" w:type="dxa"/>
          </w:tcPr>
          <w:p ns2:paraId="4C970295" ns2:textId="3661AE51" w:rsidR="3E615C19" w:rsidRDefault="3E615C19" w:rsidP="3E615C19">
            <w:r w:rsidRPr="3E615C19">
              <w:rPr>
                <w:sz w:val="16"/>
                <w:szCs w:val="16"/>
              </w:rPr>
              <w:t>Platform-first value is less certain; focused problem-solving is better supported.</w:t>
            </w:r>
          </w:p>
        </w:tc>
      </w:tr>
      <w:tr w:rsidR="3E615C19" ns2:paraId="6293CB0A" ns2:textId="77777777" w:rsidTr="3E615C19">
        <w:tc>
          <w:tcPr>
            <w:tcW w:w="610" w:type="dxa"/>
          </w:tcPr>
          <w:p ns2:paraId="734BFBC4" ns2:textId="75C5F63A" w:rsidR="3E615C19" w:rsidRDefault="3E615C19" w:rsidP="3E615C19">
            <w:pPr>
              <w:jc w:val="center"/>
            </w:pPr>
            <w:r w:rsidRPr="3E615C19">
              <w:rPr>
                <w:sz w:val="16"/>
                <w:szCs w:val="16"/>
              </w:rPr>
              <w:t>2</w:t>
            </w:r>
          </w:p>
        </w:tc>
        <w:tc>
          <w:tcPr>
            <w:tcW w:w="4270" w:type="dxa"/>
          </w:tcPr>
          <w:p ns2:paraId="2549D441" ns2:textId="510482E6" w:rsidR="3E615C19" w:rsidRDefault="3E615C19" w:rsidP="3E615C19">
            <w:r w:rsidRPr="3E615C19">
              <w:rPr>
                <w:sz w:val="16"/>
                <w:szCs w:val="16"/>
              </w:rPr>
              <w:t>A repeatable trigger will make IT teams trial, adopt or switch.</w:t>
            </w:r>
          </w:p>
        </w:tc>
        <w:tc>
          <w:tcPr>
            <w:tcW w:w="1423" w:type="dxa"/>
            <w:shd w:val="clear" w:color="auto" w:fill="FFF2CC"/>
          </w:tcPr>
          <w:p ns2:paraId="6AD53445" ns2:textId="16540BB9" w:rsidR="3E615C19" w:rsidRDefault="3E615C19" w:rsidP="3E615C19">
            <w:pPr>
              <w:jc w:val="center"/>
            </w:pPr>
            <w:r w:rsidRPr="3E615C19">
              <w:rPr>
                <w:b/>
                <w:bCs/>
                <w:color w:val="9C4234"/>
                <w:sz w:val="16"/>
                <w:szCs w:val="16"/>
              </w:rPr>
              <w:t>HIGH</w:t>
            </w:r>
          </w:p>
        </w:tc>
        <w:tc>
          <w:tcPr>
            <w:tcW w:w="3863" w:type="dxa"/>
          </w:tcPr>
          <w:p ns2:paraId="5ED5D487" ns2:textId="2BEFC0D8" w:rsidR="3E615C19" w:rsidRDefault="3E615C19" w:rsidP="3E615C19">
            <w:r w:rsidRPr="3E615C19">
              <w:rPr>
                <w:sz w:val="16"/>
                <w:szCs w:val="16"/>
              </w:rPr>
              <w:t>Pain is clearer, but the trigger and displacement path remain unproven.</w:t>
            </w:r>
          </w:p>
        </w:tc>
      </w:tr>
      <w:tr w:rsidR="3E615C19" ns2:paraId="1DAB075B" ns2:textId="77777777" w:rsidTr="3E615C19">
        <w:tc>
          <w:tcPr>
            <w:tcW w:w="610" w:type="dxa"/>
          </w:tcPr>
          <w:p ns2:paraId="11C6D791" ns2:textId="1986B2BF" w:rsidR="3E615C19" w:rsidRDefault="3E615C19" w:rsidP="3E615C19">
            <w:pPr>
              <w:jc w:val="center"/>
            </w:pPr>
            <w:r w:rsidRPr="3E615C19">
              <w:rPr>
                <w:sz w:val="16"/>
                <w:szCs w:val="16"/>
              </w:rPr>
              <w:t>3</w:t>
            </w:r>
          </w:p>
        </w:tc>
        <w:tc>
          <w:tcPr>
            <w:tcW w:w="4270" w:type="dxa"/>
          </w:tcPr>
          <w:p ns2:paraId="501ACB03" ns2:textId="5A1D8BD9" w:rsidR="3E615C19" w:rsidRDefault="3E615C19" w:rsidP="3E615C19">
            <w:r w:rsidRPr="3E615C19">
              <w:rPr>
                <w:sz w:val="16"/>
                <w:szCs w:val="16"/>
              </w:rPr>
              <w:t>We can deliver reliable guided automation for bounded endpoint jobs.</w:t>
            </w:r>
          </w:p>
        </w:tc>
        <w:tc>
          <w:tcPr>
            <w:tcW w:w="1423" w:type="dxa"/>
            <w:shd w:val="clear" w:color="auto" w:fill="FFF2CC"/>
          </w:tcPr>
          <w:p ns2:paraId="09B9D3C6" ns2:textId="1BF390D4" w:rsidR="3E615C19" w:rsidRDefault="3E615C19" w:rsidP="3E615C19">
            <w:pPr>
              <w:jc w:val="center"/>
            </w:pPr>
            <w:r w:rsidRPr="3E615C19">
              <w:rPr>
                <w:b/>
                <w:bCs/>
                <w:color w:val="9C4234"/>
                <w:sz w:val="16"/>
                <w:szCs w:val="16"/>
              </w:rPr>
              <w:t>HIGH</w:t>
            </w:r>
          </w:p>
        </w:tc>
        <w:tc>
          <w:tcPr>
            <w:tcW w:w="3863" w:type="dxa"/>
          </w:tcPr>
          <w:p ns2:paraId="77CDE095" ns2:textId="35E198A2" w:rsidR="3E615C19" w:rsidRDefault="3E615C19" w:rsidP="3E615C19">
            <w:r w:rsidRPr="3E615C19">
              <w:rPr>
                <w:sz w:val="16"/>
                <w:szCs w:val="16"/>
              </w:rPr>
              <w:t>AI value was described, but only with trustworthy execution and clear outcomes.</w:t>
            </w:r>
          </w:p>
        </w:tc>
      </w:tr>
      <w:tr w:rsidR="3E615C19" ns2:paraId="548893DB" ns2:textId="77777777" w:rsidTr="3E615C19">
        <w:tc>
          <w:tcPr>
            <w:tcW w:w="610" w:type="dxa"/>
          </w:tcPr>
          <w:p ns2:paraId="7CE4C8A1" ns2:textId="78BE93F2" w:rsidR="3E615C19" w:rsidRDefault="3E615C19" w:rsidP="3E615C19">
            <w:pPr>
              <w:jc w:val="center"/>
            </w:pPr>
            <w:r w:rsidRPr="3E615C19">
              <w:rPr>
                <w:sz w:val="16"/>
                <w:szCs w:val="16"/>
              </w:rPr>
              <w:t>4</w:t>
            </w:r>
          </w:p>
        </w:tc>
        <w:tc>
          <w:tcPr>
            <w:tcW w:w="4270" w:type="dxa"/>
          </w:tcPr>
          <w:p ns2:paraId="2C510A71" ns2:textId="2128EE28" w:rsidR="3E615C19" w:rsidRDefault="3E615C19" w:rsidP="3E615C19">
            <w:r w:rsidRPr="3E615C19">
              <w:rPr>
                <w:sz w:val="16"/>
                <w:szCs w:val="16"/>
              </w:rPr>
              <w:t>Technicians will trust governed automation with the right controls and feedback.</w:t>
            </w:r>
          </w:p>
        </w:tc>
        <w:tc>
          <w:tcPr>
            <w:tcW w:w="1423" w:type="dxa"/>
            <w:shd w:val="clear" w:color="auto" w:fill="FFF2CC"/>
          </w:tcPr>
          <w:p ns2:paraId="3E07475C" ns2:textId="0ED753A2" w:rsidR="3E615C19" w:rsidRDefault="3E615C19" w:rsidP="3E615C19">
            <w:pPr>
              <w:jc w:val="center"/>
            </w:pPr>
            <w:r w:rsidRPr="3E615C19">
              <w:rPr>
                <w:b/>
                <w:bCs/>
                <w:color w:val="9C4234"/>
                <w:sz w:val="16"/>
                <w:szCs w:val="16"/>
              </w:rPr>
              <w:t>HIGH</w:t>
            </w:r>
          </w:p>
        </w:tc>
        <w:tc>
          <w:tcPr>
            <w:tcW w:w="3863" w:type="dxa"/>
          </w:tcPr>
          <w:p ns2:paraId="7D70B8C8" ns2:textId="21786E0E" w:rsidR="3E615C19" w:rsidRDefault="3E615C19" w:rsidP="3E615C19">
            <w:r w:rsidRPr="3E615C19">
              <w:rPr>
                <w:sz w:val="16"/>
                <w:szCs w:val="16"/>
              </w:rPr>
              <w:t>Trust, governance, accuracy and auditability surfaced repeatedly.</w:t>
            </w:r>
          </w:p>
        </w:tc>
      </w:tr>
      <w:tr w:rsidR="3E615C19" ns2:paraId="38F49E08" ns2:textId="77777777" w:rsidTr="3E615C19">
        <w:tc>
          <w:tcPr>
            <w:tcW w:w="610" w:type="dxa"/>
          </w:tcPr>
          <w:p ns2:paraId="0000C91C" ns2:textId="571D810E" w:rsidR="3E615C19" w:rsidRDefault="3E615C19" w:rsidP="3E615C19">
            <w:pPr>
              <w:jc w:val="center"/>
            </w:pPr>
            <w:r w:rsidRPr="3E615C19">
              <w:rPr>
                <w:sz w:val="16"/>
                <w:szCs w:val="16"/>
              </w:rPr>
              <w:t>5</w:t>
            </w:r>
          </w:p>
        </w:tc>
        <w:tc>
          <w:tcPr>
            <w:tcW w:w="4270" w:type="dxa"/>
          </w:tcPr>
          <w:p ns2:paraId="09596255" ns2:textId="79F83A07" w:rsidR="3E615C19" w:rsidRDefault="3E615C19" w:rsidP="3E615C19">
            <w:r w:rsidRPr="3E615C19">
              <w:rPr>
                <w:sz w:val="16"/>
                <w:szCs w:val="16"/>
              </w:rPr>
              <w:t>The strongest unmet need is payable at viable price and margin.</w:t>
            </w:r>
          </w:p>
        </w:tc>
        <w:tc>
          <w:tcPr>
            <w:tcW w:w="1423" w:type="dxa"/>
            <w:shd w:val="clear" w:color="auto" w:fill="FCE8E6"/>
          </w:tcPr>
          <w:p ns2:paraId="3A5A3BAC" ns2:textId="41F7E162" w:rsidR="3E615C19" w:rsidRDefault="3E615C19" w:rsidP="3E615C19">
            <w:pPr>
              <w:jc w:val="center"/>
            </w:pPr>
            <w:r w:rsidRPr="3E615C19">
              <w:rPr>
                <w:b/>
                <w:bCs/>
                <w:color w:val="9C4234"/>
                <w:sz w:val="16"/>
                <w:szCs w:val="16"/>
              </w:rPr>
              <w:t>CRITICAL</w:t>
            </w:r>
          </w:p>
        </w:tc>
        <w:tc>
          <w:tcPr>
            <w:tcW w:w="3863" w:type="dxa"/>
          </w:tcPr>
          <w:p ns2:paraId="35903C51" ns2:textId="65758ABC" w:rsidR="3E615C19" w:rsidRDefault="3E615C19" w:rsidP="3E615C19">
            <w:r w:rsidRPr="3E615C19">
              <w:rPr>
                <w:sz w:val="16"/>
                <w:szCs w:val="16"/>
              </w:rPr>
              <w:t>Need evidence improved; willingness-to-pay evidence did not.</w:t>
            </w:r>
          </w:p>
        </w:tc>
      </w:tr>
      <w:tr w:rsidR="3E615C19" ns2:paraId="5C60EA38" ns2:textId="77777777" w:rsidTr="3E615C19">
        <w:tc>
          <w:tcPr>
            <w:tcW w:w="610" w:type="dxa"/>
          </w:tcPr>
          <w:p ns2:paraId="56FC17AE" ns2:textId="13389817" w:rsidR="3E615C19" w:rsidRDefault="3E615C19" w:rsidP="3E615C19">
            <w:pPr>
              <w:jc w:val="center"/>
            </w:pPr>
            <w:r w:rsidRPr="3E615C19">
              <w:rPr>
                <w:sz w:val="16"/>
                <w:szCs w:val="16"/>
              </w:rPr>
              <w:t>6</w:t>
            </w:r>
          </w:p>
        </w:tc>
        <w:tc>
          <w:tcPr>
            <w:tcW w:w="4270" w:type="dxa"/>
          </w:tcPr>
          <w:p ns2:paraId="64D48774" ns2:textId="0C5F26FF" w:rsidR="3E615C19" w:rsidRDefault="3E615C19" w:rsidP="3E615C19">
            <w:r w:rsidRPr="3E615C19">
              <w:rPr>
                <w:sz w:val="16"/>
                <w:szCs w:val="16"/>
              </w:rPr>
              <w:t>Our advantage is durable enough to win versus incumbents and add-ons.</w:t>
            </w:r>
          </w:p>
        </w:tc>
        <w:tc>
          <w:tcPr>
            <w:tcW w:w="1423" w:type="dxa"/>
            <w:shd w:val="clear" w:color="auto" w:fill="FFF2CC"/>
          </w:tcPr>
          <w:p ns2:paraId="65050629" ns2:textId="5901ED91" w:rsidR="3E615C19" w:rsidRDefault="3E615C19" w:rsidP="3E615C19">
            <w:pPr>
              <w:jc w:val="center"/>
            </w:pPr>
            <w:r w:rsidRPr="3E615C19">
              <w:rPr>
                <w:b/>
                <w:bCs/>
                <w:color w:val="9C4234"/>
                <w:sz w:val="16"/>
                <w:szCs w:val="16"/>
              </w:rPr>
              <w:t>HIGH</w:t>
            </w:r>
          </w:p>
        </w:tc>
        <w:tc>
          <w:tcPr>
            <w:tcW w:w="3863" w:type="dxa"/>
          </w:tcPr>
          <w:p ns2:paraId="31BEF951" ns2:textId="12964CDD" w:rsidR="3E615C19" w:rsidRDefault="3E615C19" w:rsidP="3E615C19">
            <w:r w:rsidRPr="3E615C19">
              <w:rPr>
                <w:sz w:val="16"/>
                <w:szCs w:val="16"/>
              </w:rPr>
              <w:t>Intune integration and specialist competitors make defensibility more specific and demanding.</w:t>
            </w:r>
          </w:p>
        </w:tc>
      </w:tr>
      <w:tr w:rsidR="3E615C19" ns2:paraId="1DF0E793" ns2:textId="77777777" w:rsidTr="3E615C19">
        <w:tc>
          <w:tcPr>
            <w:tcW w:w="610" w:type="dxa"/>
          </w:tcPr>
          <w:p ns2:paraId="41CD83E8" ns2:textId="205B1D8B" w:rsidR="3E615C19" w:rsidRDefault="3E615C19" w:rsidP="3E615C19">
            <w:pPr>
              <w:jc w:val="center"/>
            </w:pPr>
            <w:r w:rsidRPr="3E615C19">
              <w:rPr>
                <w:sz w:val="16"/>
                <w:szCs w:val="16"/>
              </w:rPr>
              <w:t xml:space="preserve">7</w:t>
            </w:r>
          </w:p>
        </w:tc>
        <w:tc>
          <w:tcPr>
            <w:tcW w:w="4270" w:type="dxa"/>
          </w:tcPr>
          <w:p ns2:paraId="2B7D8344" ns2:textId="51349198" w:rsidR="3E615C19" w:rsidRDefault="3E615C19" w:rsidP="3E615C19">
            <w:r w:rsidRPr="3E615C19">
              <w:rPr>
                <w:sz w:val="16"/>
                <w:szCs w:val="16"/>
              </w:rPr>
              <w:t xml:space="preserve">We know who this is for — internal IT, not the MSP proposition repositioned.</w:t>
            </w:r>
          </w:p>
        </w:tc>
        <w:tc>
          <w:tcPr>
            <w:tcW w:w="1423" w:type="dxa"/>
            <w:shd w:val="clear" w:color="auto" w:fill="FFF2CC"/>
          </w:tcPr>
          <w:p ns2:paraId="452ACD1E" ns2:textId="20B860FB" w:rsidR="3E615C19" w:rsidRDefault="3E615C19" w:rsidP="3E615C19">
            <w:pPr>
              <w:jc w:val="center"/>
            </w:pPr>
            <w:r w:rsidRPr="3E615C19">
              <w:rPr>
                <w:b/>
                <w:bCs/>
                <w:color w:val="9C4234"/>
                <w:sz w:val="16"/>
                <w:szCs w:val="16"/>
              </w:rPr>
              <w:t xml:space="preserve">HIGH</w:t>
            </w:r>
          </w:p>
        </w:tc>
        <w:tc>
          <w:tcPr>
            <w:tcW w:w="3863" w:type="dxa"/>
          </w:tcPr>
          <w:p ns2:paraId="4C970295" ns2:textId="3661AE51" w:rsidR="3E615C19" w:rsidRDefault="3E615C19" w:rsidP="3E615C19">
            <w:r w:rsidRPr="3E615C19">
              <w:rPr>
                <w:sz w:val="16"/>
                <w:szCs w:val="16"/>
              </w:rPr>
              <w:t xml:space="preserve">Named in the deck for the first time; Gartner's automation anti-qualifier may exclude the compliance-driven buyer.</w:t>
            </w:r>
          </w:p>
        </w:tc>
      </w:tr>
      <w:tr w:rsidR="3E615C19" ns2:paraId="1DF0E793" ns2:textId="77777777" w:rsidTr="3E615C19">
        <w:tc>
          <w:tcPr>
            <w:tcW w:w="610" w:type="dxa"/>
          </w:tcPr>
          <w:p ns2:paraId="41CD83E8" ns2:textId="205B1D8B" w:rsidR="3E615C19" w:rsidRDefault="3E615C19" w:rsidP="3E615C19">
            <w:pPr>
              <w:jc w:val="center"/>
            </w:pPr>
            <w:r w:rsidRPr="3E615C19">
              <w:rPr>
                <w:sz w:val="16"/>
                <w:szCs w:val="16"/>
              </w:rPr>
              <w:t xml:space="preserve">8</w:t>
            </w:r>
          </w:p>
        </w:tc>
        <w:tc>
          <w:tcPr>
            <w:tcW w:w="4270" w:type="dxa"/>
          </w:tcPr>
          <w:p ns2:paraId="2B7D8344" ns2:textId="51349198" w:rsidR="3E615C19" w:rsidRDefault="3E615C19" w:rsidP="3E615C19">
            <w:r w:rsidRPr="3E615C19">
              <w:rPr>
                <w:sz w:val="16"/>
                <w:szCs w:val="16"/>
              </w:rPr>
              <w:t xml:space="preserve">We can ship an onboarding experience good enough to carry a self-serve trial in Phase 1.</w:t>
            </w:r>
          </w:p>
        </w:tc>
        <w:tc>
          <w:tcPr>
            <w:tcW w:w="1423" w:type="dxa"/>
            <w:shd w:val="clear" w:color="auto" w:fill="FCE8E6"/>
          </w:tcPr>
          <w:p ns2:paraId="452ACD1E" ns2:textId="20B860FB" w:rsidR="3E615C19" w:rsidRDefault="3E615C19" w:rsidP="3E615C19">
            <w:pPr>
              <w:jc w:val="center"/>
            </w:pPr>
            <w:r w:rsidRPr="3E615C19">
              <w:rPr>
                <w:b/>
                <w:bCs/>
                <w:color w:val="9C4234"/>
                <w:sz w:val="16"/>
                <w:szCs w:val="16"/>
              </w:rPr>
              <w:t xml:space="preserve">CRITICAL</w:t>
            </w:r>
          </w:p>
        </w:tc>
        <w:tc>
          <w:tcPr>
            <w:tcW w:w="3863" w:type="dxa"/>
          </w:tcPr>
          <w:p ns2:paraId="4C970295" ns2:textId="3661AE51" w:rsidR="3E615C19" w:rsidRDefault="3E615C19" w:rsidP="3E615C19">
            <w:r w:rsidRPr="3E615C19">
              <w:rPr>
                <w:sz w:val="16"/>
                <w:szCs w:val="16"/>
              </w:rPr>
              <w:t xml:space="preserve">Nine of eleven trial-experience items are Not started, and simplicity is the named differentiator.</w:t>
            </w:r>
          </w:p>
        </w:tc>
      </w:tr>
      <w:tr w:rsidR="3E615C19" ns2:paraId="1DF0E793" ns2:textId="77777777" w:rsidTr="3E615C19">
        <w:tc>
          <w:tcPr>
            <w:tcW w:w="610" w:type="dxa"/>
          </w:tcPr>
          <w:p ns2:paraId="41CD83E8" ns2:textId="205B1D8B" w:rsidR="3E615C19" w:rsidRDefault="3E615C19" w:rsidP="3E615C19">
            <w:pPr>
              <w:jc w:val="center"/>
            </w:pPr>
            <w:r w:rsidRPr="3E615C19">
              <w:rPr>
                <w:sz w:val="16"/>
                <w:szCs w:val="16"/>
              </w:rPr>
              <w:t xml:space="preserve">9</w:t>
            </w:r>
          </w:p>
        </w:tc>
        <w:tc>
          <w:tcPr>
            <w:tcW w:w="4270" w:type="dxa"/>
          </w:tcPr>
          <w:p ns2:paraId="2B7D8344" ns2:textId="51349198" w:rsidR="3E615C19" w:rsidRDefault="3E615C19" w:rsidP="3E615C19">
            <w:r w:rsidRPr="3E615C19">
              <w:rPr>
                <w:sz w:val="16"/>
                <w:szCs w:val="16"/>
              </w:rPr>
              <w:t xml:space="preserve">We know the ICP unit — headcount converts to endpoints for our own band.</w:t>
            </w:r>
          </w:p>
        </w:tc>
        <w:tc>
          <w:tcPr>
            <w:tcW w:w="1423" w:type="dxa"/>
            <w:shd w:val="clear" w:color="auto" w:fill="E2EFDA"/>
          </w:tcPr>
          <w:p ns2:paraId="452ACD1E" ns2:textId="20B860FB" w:rsidR="3E615C19" w:rsidRDefault="3E615C19" w:rsidP="3E615C19">
            <w:pPr>
              <w:jc w:val="center"/>
            </w:pPr>
            <w:r w:rsidRPr="3E615C19">
              <w:rPr>
                <w:b/>
                <w:bCs/>
                <w:color w:val="9C4234"/>
                <w:sz w:val="16"/>
                <w:szCs w:val="16"/>
              </w:rPr>
              <w:t xml:space="preserve">MEDIUM</w:t>
            </w:r>
          </w:p>
        </w:tc>
        <w:tc>
          <w:tcPr>
            <w:tcW w:w="3863" w:type="dxa"/>
          </w:tcPr>
          <w:p ns2:paraId="4C970295" ns2:textId="3661AE51" w:rsidR="3E615C19" w:rsidRDefault="3E615C19" w:rsidP="3E615C19">
            <w:r w:rsidRPr="3E615C19">
              <w:rPr>
                <w:sz w:val="16"/>
                <w:szCs w:val="16"/>
              </w:rPr>
              <w:t xml:space="preserve">The deck uses three units; no free public benchmark exists; our install base has the answer.</w:t>
            </w:r>
          </w:p>
        </w:tc>
      </w:tr>
      <w:tr w:rsidR="3E615C19" ns2:paraId="1DF0E793" ns2:textId="77777777" w:rsidTr="3E615C19">
        <w:tc>
          <w:tcPr>
            <w:tcW w:w="610" w:type="dxa"/>
          </w:tcPr>
          <w:p ns2:paraId="41CD83E8" ns2:textId="205B1D8B" w:rsidR="3E615C19" w:rsidRDefault="3E615C19" w:rsidP="3E615C19">
            <w:pPr>
              <w:jc w:val="center"/>
            </w:pPr>
            <w:r w:rsidRPr="3E615C19">
              <w:rPr>
                <w:sz w:val="16"/>
                <w:szCs w:val="16"/>
              </w:rPr>
              <w:t xml:space="preserve">10</w:t>
            </w:r>
          </w:p>
        </w:tc>
        <w:tc>
          <w:tcPr>
            <w:tcW w:w="4270" w:type="dxa"/>
          </w:tcPr>
          <w:p ns2:paraId="2B7D8344" ns2:textId="51349198" w:rsidR="3E615C19" w:rsidRDefault="3E615C19" w:rsidP="3E615C19">
            <w:r w:rsidRPr="3E615C19">
              <w:rPr>
                <w:sz w:val="16"/>
                <w:szCs w:val="16"/>
              </w:rPr>
              <w:t xml:space="preserve">We can reach this buyer, convince them, and prove it.</w:t>
            </w:r>
          </w:p>
        </w:tc>
        <w:tc>
          <w:tcPr>
            <w:tcW w:w="1423" w:type="dxa"/>
            <w:shd w:val="clear" w:color="auto" w:fill="FCE8E6"/>
          </w:tcPr>
          <w:p ns2:paraId="452ACD1E" ns2:textId="20B860FB" w:rsidR="3E615C19" w:rsidRDefault="3E615C19" w:rsidP="3E615C19">
            <w:pPr>
              <w:jc w:val="center"/>
            </w:pPr>
            <w:r w:rsidRPr="3E615C19">
              <w:rPr>
                <w:b/>
                <w:bCs/>
                <w:color w:val="9C4234"/>
                <w:sz w:val="16"/>
                <w:szCs w:val="16"/>
              </w:rPr>
              <w:t xml:space="preserve">CRITICAL</w:t>
            </w:r>
          </w:p>
        </w:tc>
        <w:tc>
          <w:tcPr>
            <w:tcW w:w="3863" w:type="dxa"/>
          </w:tcPr>
          <w:p ns2:paraId="4C970295" ns2:textId="3661AE51" w:rsidR="3E615C19" w:rsidRDefault="3E615C19" w:rsidP="3E615C19">
            <w:r w:rsidRPr="3E615C19">
              <w:rPr>
                <w:sz w:val="16"/>
                <w:szCs w:val="16"/>
              </w:rPr>
              <w:t xml:space="preserve">Gartner names low awareness and few published reference accounts; we lead NinjaOne only where we are already known.</w:t>
            </w:r>
          </w:p>
        </w:tc>
      </w:tr>
    </w:tbl>
    <w:p>
      <w:pPr>
        <w:pStyle w:val="Title"/>
      </w:pPr>
      <w:r>
        <w:t xml:space="preserve">Concept and how we could win</w:t>
      </w:r>
    </w:p>
    <w:p>
      <w:r>
        <w:t xml:space="preserve">This section sets out the concept the ten assumptions are testing, the case for it and the case against it. It is a working position, not a decision. Every external claim links to its source. Where a figure does not exist publicly, the section says so instead of estimating one.</w:t>
      </w:r>
    </w:p>
    <w:p>
      <w:pPr>
        <w:pStyle w:val="Heading1"/>
      </w:pPr>
      <w:r>
        <w:t xml:space="preserve">The problem we are solving</w:t>
      </w:r>
    </w:p>
    <w:p>
      <w:r>
        <w:rPr>
          <w:b/>
          <w:bCs/>
        </w:rPr>
        <w:t xml:space="preserve">Small, generalist IT teams — two to six people running a few hundred to around fifteen hundred standardised endpoints — are held to security and compliance obligations written for organisations with specialists, and they meet them with several disconnected tools and manual reconciliation. The obligations have dates. The teams do not have headcount.</w:t>
      </w:r>
    </w:p>
    <w:p>
      <w:r>
        <w:t xml:space="preserve">Each clause above has a source.</w:t>
      </w:r>
    </w:p>
    <w:p>
      <w:pPr>
        <w:pStyle w:val="ListBullet"/>
      </w:pPr>
      <w:r>
        <w:t xml:space="preserve">Only </w:t>
      </w:r>
      <w:r>
        <w:rPr>
          <w:b/>
          <w:bCs/>
        </w:rPr>
        <w:t xml:space="preserve">34%</w:t>
      </w:r>
      <w:r>
        <w:t xml:space="preserve"> of UK businesses have a policy to patch within 14 days (20% of charities), and the breach rate climbs with size: 42% micro, 46% small, 65% medium, 69% large. </w:t>
      </w:r>
      <w:hyperlink r:id="rId12">
        <w:r>
          <w:rPr>
            <w:rStyle w:val="Hyperlink"/>
          </w:rPr>
          <w:t xml:space="preserve">DSIT Cyber Security Breaches Survey 2025/2026</w:t>
        </w:r>
      </w:hyperlink>
      <w:r>
        <w:t xml:space="preserve">, n=2,112 businesses, published 30 April 2026.</w:t>
      </w:r>
    </w:p>
    <w:p>
      <w:pPr>
        <w:pStyle w:val="ListBullet"/>
      </w:pPr>
      <w:r>
        <w:t xml:space="preserve">The 14-day rule is not advisory. Cyber Essentials requires critical and high-risk updates, or CVSS v3 ≥ 7, to be applied within 14 days of release — </w:t>
      </w:r>
      <w:hyperlink r:id="rId13">
        <w:r>
          <w:rPr>
            <w:rStyle w:val="Hyperlink"/>
          </w:rPr>
          <w:t xml:space="preserve">NCSC Cyber Essentials Requirements for IT Infrastructure v3.2</w:t>
        </w:r>
      </w:hyperlink>
      <w:r>
        <w:t xml:space="preserve">, in force from 28 April 2025.</w:t>
      </w:r>
    </w:p>
    <w:p>
      <w:pPr>
        <w:pStyle w:val="ListBullet"/>
      </w:pPr>
      <w:r>
        <w:t xml:space="preserve">Patching is the single hardest NIS2 requirement to meet: </w:t>
      </w:r>
      <w:r>
        <w:rPr>
          <w:b/>
          <w:bCs/>
        </w:rPr>
        <w:t xml:space="preserve">50%</w:t>
      </w:r>
      <w:r>
        <w:t xml:space="preserve"> name it hardest, </w:t>
      </w:r>
      <w:r>
        <w:rPr>
          <w:b/>
          <w:bCs/>
        </w:rPr>
        <w:t xml:space="preserve">28%</w:t>
      </w:r>
      <w:r>
        <w:t xml:space="preserve"> take more than three months to patch critical vulnerabilities, rising to </w:t>
      </w:r>
      <w:r>
        <w:rPr>
          <w:b/>
          <w:bCs/>
        </w:rPr>
        <w:t xml:space="preserve">51% for SMEs</w:t>
      </w:r>
      <w:r>
        <w:t xml:space="preserve">. And compliance is the </w:t>
      </w:r>
      <w:r>
        <w:rPr>
          <w:b/>
          <w:bCs/>
        </w:rPr>
        <w:t xml:space="preserve">#1</w:t>
      </w:r>
      <w:r>
        <w:t xml:space="preserve"> investment driver at </w:t>
      </w:r>
      <w:r>
        <w:rPr>
          <w:b/>
          <w:bCs/>
        </w:rPr>
        <w:t xml:space="preserve">70%</w:t>
      </w:r>
      <w:r>
        <w:t xml:space="preserve">, with insurance last of nine at 5%. </w:t>
      </w:r>
      <w:hyperlink r:id="rId14">
        <w:r>
          <w:rPr>
            <w:rStyle w:val="Hyperlink"/>
          </w:rPr>
          <w:t xml:space="preserve">ENISA NIS Investments 2025</w:t>
        </w:r>
      </w:hyperlink>
      <w:r>
        <w:t xml:space="preserve"> (</w:t>
      </w:r>
      <w:hyperlink r:id="rId15">
        <w:r>
          <w:rPr>
            <w:rStyle w:val="Hyperlink"/>
          </w:rPr>
          <w:t xml:space="preserve">main report PDF</w:t>
        </w:r>
      </w:hyperlink>
      <w:r>
        <w:t xml:space="preserve">), n=1,080.</w:t>
      </w:r>
    </w:p>
    <w:p>
      <w:pPr>
        <w:pStyle w:val="ListBullet"/>
      </w:pPr>
      <w:r>
        <w:t xml:space="preserve">EU law sets no day count but does require a "complete, accurate, up-to-date and consistent inventory" — Annex 12.4 of </w:t>
      </w:r>
      <w:hyperlink r:id="rId16">
        <w:r>
          <w:rPr>
            <w:rStyle w:val="Hyperlink"/>
          </w:rPr>
          <w:t xml:space="preserve">Commission Implementing Regulation (EU) 2024/2690</w:t>
        </w:r>
      </w:hyperlink>
      <w:r>
        <w:t xml:space="preserve">. That is the clearest regulatory hook for endpoint intelligence anywhere in the two jurisdictions we sell into, and it binds MSPs and MSSPs directly. See also </w:t>
      </w:r>
      <w:hyperlink r:id="rId17">
        <w:r>
          <w:rPr>
            <w:rStyle w:val="Hyperlink"/>
          </w:rPr>
          <w:t xml:space="preserve">NIS2 transposition status</w:t>
        </w:r>
      </w:hyperlink>
      <w:r>
        <w:t xml:space="preserve"> and, for the UK, the </w:t>
      </w:r>
      <w:hyperlink r:id="rId18">
        <w:r>
          <w:rPr>
            <w:rStyle w:val="Hyperlink"/>
          </w:rPr>
          <w:t xml:space="preserve">Cyber Security and Resilience Bill factsheet on relevant managed service providers</w:t>
        </w:r>
      </w:hyperlink>
      <w:r>
        <w:t xml:space="preserve"> — commencement date still undated.</w:t>
      </w:r>
    </w:p>
    <w:p>
      <w:pPr>
        <w:pStyle w:val="ListBullet"/>
      </w:pPr>
      <w:r>
        <w:t xml:space="preserve">The threat data points at the same job. Vulnerability exploitation is now the leading initial-access vector at </w:t>
      </w:r>
      <w:r>
        <w:rPr>
          <w:b/>
          <w:bCs/>
        </w:rPr>
        <w:t xml:space="preserve">40% of incidents</w:t>
      </w:r>
      <w:r>
        <w:t xml:space="preserve">, and exploitation of public-facing applications is up </w:t>
      </w:r>
      <w:r>
        <w:rPr>
          <w:b/>
          <w:bCs/>
        </w:rPr>
        <w:t xml:space="preserve">44% year on year</w:t>
      </w:r>
      <w:r>
        <w:t xml:space="preserve">. </w:t>
      </w:r>
      <w:hyperlink r:id="rId19">
        <w:r>
          <w:rPr>
            <w:rStyle w:val="Hyperlink"/>
          </w:rPr>
          <w:t xml:space="preserve">IBM 2026 X-Force Threat Index</w:t>
        </w:r>
      </w:hyperlink>
      <w:r>
        <w:t xml:space="preserve">, 25 February 2026.</w:t>
      </w:r>
    </w:p>
    <w:p>
      <w:pPr>
        <w:pStyle w:val="ListBullet"/>
      </w:pPr>
      <w:r>
        <w:t xml:space="preserve">The interviews say the same thing in the buyer's own words. IT Pros are not looking for more capability, they are looking for less effort. And IT departments buy one problem at a time rather than a platform. Internal evidence, participant data, for this research purpose only.</w:t>
      </w:r>
    </w:p>
    <w:p>
      <w:pPr>
        <w:pStyle w:val="Heading1"/>
      </w:pPr>
      <w:r>
        <w:t xml:space="preserve">The concept, in one statement</w:t>
      </w:r>
    </w:p>
    <w:p>
      <w:r>
        <w:rPr>
          <w:b/>
          <w:bCs/>
        </w:rPr>
        <w:t xml:space="preserve">Primary. </w:t>
      </w:r>
      <w:r>
        <w:t xml:space="preserve">For internal IT teams of two to six people running a few hundred to about fifteen hundred standardised endpoints, who are held to patching and inventory obligations that carry legal deadlines and have no specialist headcount to meet them, Ecoverse is an autonomous endpoint management platform that closes a named compliance obligation with governed automation and produces the evidence of completion. Unlike Intune plus a specialist add-on, we make the obligation the unit of work rather than the device, and we prove the obligation was met.</w:t>
      </w:r>
    </w:p>
    <w:p>
      <w:r>
        <w:rPr>
          <w:b/>
          <w:bCs/>
        </w:rPr>
        <w:t xml:space="preserve">Alternate, the timing play. </w:t>
      </w:r>
      <w:r>
        <w:t xml:space="preserve">Same target and need. Unlike NinjaOne, we ship governed AI automation now rather than on a roadmap.</w:t>
      </w:r>
    </w:p>
    <w:p>
      <w:r>
        <w:rPr>
          <w:b/>
          <w:bCs/>
        </w:rPr>
        <w:t xml:space="preserve">On the category name. </w:t>
      </w:r>
      <w:r>
        <w:t xml:space="preserve">Gartner renamed this category from Unified Endpoint Management to Endpoint Management Tools, and defines Autonomous Endpoint Management alongside it — see the public </w:t>
      </w:r>
      <w:hyperlink r:id="rId20">
        <w:r>
          <w:rPr>
            <w:rStyle w:val="Hyperlink"/>
          </w:rPr>
          <w:t xml:space="preserve">Gartner Peer Insights category page</w:t>
        </w:r>
      </w:hyperlink>
      <w:r>
        <w:t xml:space="preserve"> and </w:t>
      </w:r>
      <w:hyperlink r:id="rId21">
        <w:r>
          <w:rPr>
            <w:rStyle w:val="Hyperlink"/>
          </w:rPr>
          <w:t xml:space="preserve">Innovation Insight: Autonomous Endpoint Management</w:t>
        </w:r>
      </w:hyperlink>
      <w:r>
        <w:t xml:space="preserve"> (paywalled). A public route to the Magic Quadrant itself is the </w:t>
      </w:r>
      <w:hyperlink r:id="rId22">
        <w:r>
          <w:rPr>
            <w:rStyle w:val="Hyperlink"/>
          </w:rPr>
          <w:t xml:space="preserve">NinjaOne reprint</w:t>
        </w:r>
      </w:hyperlink>
      <w:r>
        <w:t xml:space="preserve">. Our licensed copy is Gartner, Magic Quadrant for Endpoint Management Tools, G00825650, 5 January 2026 — licensed material, internal use only, not to be reproduced or circulated outside N-able. Claims drawn from it below are paraphrased, not quoted.</w:t>
      </w:r>
    </w:p>
    <w:p>
      <w:pPr>
        <w:pStyle w:val="Heading1"/>
      </w:pPr>
      <w:r>
        <w:t xml:space="preserve">Why it could win</w:t>
      </w:r>
    </w:p>
    <w:p>
      <w:r>
        <w:t xml:space="preserve">Five reasons, each tied to the assumption it depends on. None of them is proven. All of them are testable.</w:t>
      </w:r>
    </w:p>
    <w:p>
      <w:pPr>
        <w:pStyle w:val="ListBullet"/>
      </w:pPr>
      <w:r>
        <w:rPr>
          <w:b/>
          <w:bCs/>
        </w:rPr>
        <w:t xml:space="preserve">The obligation has a date and no product is organised around it. </w:t>
      </w:r>
      <w:r>
        <w:t xml:space="preserve">The Cyber Essentials 14 days and the CIR inventory requirement are the only hard, dated, auditable endpoint obligations in the two jurisdictions we sell into. Competitors sell device management and leave the customer to assemble the compliance evidence afterwards. Depends on Assumptions 5 and 10.</w:t>
      </w:r>
    </w:p>
    <w:p>
      <w:pPr>
        <w:pStyle w:val="ListBullet"/>
      </w:pPr>
      <w:r>
        <w:rPr>
          <w:b/>
          <w:bCs/>
        </w:rPr>
        <w:t xml:space="preserve">The fastest-growing segment of endpoint security is not the wedge the deck currently favours. </w:t>
      </w:r>
      <w:r>
        <w:t xml:space="preserve">Asset Discovery and Management is named the fastest-growing segment at </w:t>
      </w:r>
      <w:r>
        <w:rPr>
          <w:b/>
          <w:bCs/>
        </w:rPr>
        <w:t xml:space="preserve">12.8% CAGR</w:t>
      </w:r>
      <w:r>
        <w:t xml:space="preserve"> against a blended endpoint-security rate of 9.6%. </w:t>
      </w:r>
      <w:hyperlink r:id="rId23">
        <w:r>
          <w:rPr>
            <w:rStyle w:val="Hyperlink"/>
          </w:rPr>
          <w:t xml:space="preserve">MarketsandMarkets, Endpoint Security Market</w:t>
        </w:r>
      </w:hyperlink>
      <w:r>
        <w:t xml:space="preserve">, July 2026. Vulnerability management is the </w:t>
      </w:r>
      <w:r>
        <w:rPr>
          <w:b/>
          <w:bCs/>
        </w:rPr>
        <w:t xml:space="preserve">slowest</w:t>
      </w:r>
      <w:r>
        <w:t xml:space="preserve"> segment found anywhere in this research, at </w:t>
      </w:r>
      <w:r>
        <w:rPr>
          <w:b/>
          <w:bCs/>
        </w:rPr>
        <w:t xml:space="preserve">6.38% CAGR</w:t>
      </w:r>
      <w:r>
        <w:t xml:space="preserve">. </w:t>
      </w:r>
      <w:hyperlink r:id="rId24">
        <w:r>
          <w:rPr>
            <w:rStyle w:val="Hyperlink"/>
          </w:rPr>
          <w:t xml:space="preserve">Mordor Intelligence, Security and Vulnerability Management</w:t>
        </w:r>
      </w:hyperlink>
      <w:r>
        <w:t xml:space="preserve">, 23 July 2026. Patch management sits between them at roughly 8.3%, per </w:t>
      </w:r>
      <w:hyperlink r:id="rId25">
        <w:r>
          <w:rPr>
            <w:rStyle w:val="Hyperlink"/>
          </w:rPr>
          <w:t xml:space="preserve">IMARC</w:t>
        </w:r>
      </w:hyperlink>
      <w:r>
        <w:t xml:space="preserve">. On growth, then, endpoint intelligence and inventory outgrow vulnerability remediation. That is the opposite order to the one the deck uses. Depends on Assumption 1.</w:t>
      </w:r>
    </w:p>
    <w:p>
      <w:pPr>
        <w:pStyle w:val="ListBullet"/>
      </w:pPr>
      <w:r>
        <w:rPr>
          <w:b/>
          <w:bCs/>
        </w:rPr>
        <w:t xml:space="preserve">The category has a name, an analyst definition and no owner. </w:t>
      </w:r>
      <w:r>
        <w:t xml:space="preserve">Autonomous Endpoint Management is Gartner's category name and no market-research publisher has sized it. It appears in their UEM reports only as a driver narrative. That combination is unusual and it will not last long. Depends on Assumption 6.</w:t>
      </w:r>
    </w:p>
    <w:p>
      <w:pPr>
        <w:pStyle w:val="ListBullet"/>
      </w:pPr>
      <w:r>
        <w:rPr>
          <w:b/>
          <w:bCs/>
        </w:rPr>
        <w:t xml:space="preserve">We already lead NinjaOne in the market the Magic Quadrant does not measure. </w:t>
      </w:r>
      <w:r>
        <w:t xml:space="preserve">Canalys puts N-able at </w:t>
      </w:r>
      <w:r>
        <w:rPr>
          <w:b/>
          <w:bCs/>
        </w:rPr>
        <w:t xml:space="preserve">11.4%</w:t>
      </w:r>
      <w:r>
        <w:t xml:space="preserve"> and NinjaOne at </w:t>
      </w:r>
      <w:r>
        <w:rPr>
          <w:b/>
          <w:bCs/>
        </w:rPr>
        <w:t xml:space="preserve">9.4%</w:t>
      </w:r>
      <w:r>
        <w:t xml:space="preserve"> of a USD 388M software market for MSPs, behind ConnectWise at 24.3% and Kaseya at 22.7%, </w:t>
      </w:r>
      <w:hyperlink r:id="rId26">
        <w:r>
          <w:rPr>
            <w:rStyle w:val="Hyperlink"/>
          </w:rPr>
          <w:t xml:space="preserve">reported via ChannelE2E</w:t>
        </w:r>
      </w:hyperlink>
      <w:r>
        <w:t xml:space="preserve">. Treat this as directional rather than settled. The primary article returns HTTP 403 to automated retrieval, the period reads as Q2 2024 rather than annual, the fifth-placed vendor is reported inconsistently, and the four named shares add up to 67.8% against a stated "over two-thirds for the top five." Someone should open the article manually and confirm it. Depends on Assumption 10.</w:t>
      </w:r>
    </w:p>
    <w:p>
      <w:pPr>
        <w:pStyle w:val="ListBullet"/>
      </w:pPr>
      <w:r>
        <w:rPr>
          <w:b/>
          <w:bCs/>
        </w:rPr>
        <w:t xml:space="preserve">Microsoft's weakness is independently documented and NinjaOne's gap is dated. </w:t>
      </w:r>
      <w:r>
        <w:t xml:space="preserve">Gartner's cautions on Microsoft in the January 2026 Magic Quadrant name unpredictable latency, delayed reporting and policy synchronisation, and limited status visibility. That is the same complaint as the </w:t>
      </w:r>
      <w:hyperlink r:id="rId27">
        <w:r>
          <w:rPr>
            <w:rStyle w:val="Hyperlink"/>
          </w:rPr>
          <w:t xml:space="preserve">State of Intune 2026 survey</w:t>
        </w:r>
      </w:hyperlink>
      <w:r>
        <w:t xml:space="preserve"> (n=890, with 65% spending 6 to 15 hours a week on manual packaging, patching and reporting), but without the sponsor problem, because Recast Software sells Intune add-ons and Gartner does not. Coexistence rather than replacement is corroborated independently by </w:t>
      </w:r>
      <w:hyperlink r:id="rId28">
        <w:r>
          <w:rPr>
            <w:rStyle w:val="Hyperlink"/>
          </w:rPr>
          <w:t xml:space="preserve">Redmond Channel Partner</w:t>
        </w:r>
      </w:hyperlink>
      <w:r>
        <w:t xml:space="preserve">. On NinjaOne, Gartner's caution is that its generative AI capability is limited and roadmap-dependent, and it frames that as a long-term competitiveness risk. The gap is dated rather than permanent. A company that closed a Series C in February 2025 at a five billion dollar valuation will close it. Depends on Assumptions 2 and 6.</w:t>
      </w:r>
    </w:p>
    <w:p>
      <w:pPr>
        <w:pStyle w:val="Heading1"/>
      </w:pPr>
      <w:r>
        <w:t xml:space="preserve">Why it could lose</w:t>
      </w:r>
    </w:p>
    <w:p>
      <w:pPr>
        <w:pStyle w:val="ListBullet"/>
      </w:pPr>
      <w:r>
        <w:rPr>
          <w:b/>
          <w:bCs/>
        </w:rPr>
        <w:t xml:space="preserve">The price we are competing against is zero incremental, not eight dollars a user. </w:t>
      </w:r>
      <w:r>
        <w:t xml:space="preserve">Intune arrives inside a bundle the customer has already bought for email and Office, per </w:t>
      </w:r>
      <w:hyperlink r:id="rId29">
        <w:r>
          <w:rPr>
            <w:rStyle w:val="Hyperlink"/>
          </w:rPr>
          <w:t xml:space="preserve">Intune pricing</w:t>
        </w:r>
      </w:hyperlink>
      <w:r>
        <w:t xml:space="preserve">. On 1 July 2026 that bundle expanded to absorb capabilities that previously cost $10 a user standalone, at an increase of $3 a user, per </w:t>
      </w:r>
      <w:hyperlink r:id="rId30">
        <w:r>
          <w:rPr>
            <w:rStyle w:val="Hyperlink"/>
          </w:rPr>
          <w:t xml:space="preserve">Microsoft 365 packaging and pricing updates</w:t>
        </w:r>
      </w:hyperlink>
      <w:r>
        <w:t xml:space="preserve">. Assumption 5.</w:t>
      </w:r>
    </w:p>
    <w:p>
      <w:pPr>
        <w:pStyle w:val="ListBullet"/>
      </w:pPr>
      <w:r>
        <w:rPr>
          <w:b/>
          <w:bCs/>
        </w:rPr>
        <w:t xml:space="preserve">Reach is the constraint, not the product. </w:t>
      </w:r>
      <w:r>
        <w:t xml:space="preserve">Gartner places N-able as a Niche Player in the inaugural Endpoint Management Tools Magic Quadrant and names innovation as a strength, listing AI for monitoring, threat detection, forecasting and autonomous remediation, agentic frameworks and generative scripting. Its cautions are all commercial: a sales strategy not differentiated by vertical or role, low enterprise awareness, and few published reference accounts and case studies. We have more product than proof. Assumption 10.</w:t>
      </w:r>
    </w:p>
    <w:p>
      <w:pPr>
        <w:pStyle w:val="ListBullet"/>
      </w:pPr>
      <w:r>
        <w:rPr>
          <w:b/>
          <w:bCs/>
        </w:rPr>
        <w:t xml:space="preserve">Growth will have to come from competitors rather than from the market. </w:t>
      </w:r>
      <w:r>
        <w:t xml:space="preserve">Gartner calls the market very mature and expects moderate top-line growth. The published sizing disagrees with itself badly enough that no growth claim would survive a challenge in the room, which is covered below. Assumption 1.</w:t>
      </w:r>
    </w:p>
    <w:p>
      <w:pPr>
        <w:pStyle w:val="ListBullet"/>
      </w:pPr>
      <w:r>
        <w:rPr>
          <w:b/>
          <w:bCs/>
        </w:rPr>
        <w:t xml:space="preserve">Price and simplicity are NinjaOne's ground, and buyers say they do not decide there. </w:t>
      </w:r>
      <w:r>
        <w:t xml:space="preserve">Pricing ranks </w:t>
      </w:r>
      <w:r>
        <w:rPr>
          <w:b/>
          <w:bCs/>
        </w:rPr>
        <w:t xml:space="preserve">last of five</w:t>
      </w:r>
      <w:r>
        <w:t xml:space="preserve"> shortlisting factors at 47%, security detail ranks </w:t>
      </w:r>
      <w:r>
        <w:rPr>
          <w:b/>
          <w:bCs/>
        </w:rPr>
        <w:t xml:space="preserve">first at 58%</w:t>
      </w:r>
      <w:r>
        <w:t xml:space="preserve">, and security or compliance gaps eliminate </w:t>
      </w:r>
      <w:r>
        <w:rPr>
          <w:b/>
          <w:bCs/>
        </w:rPr>
        <w:t xml:space="preserve">55%</w:t>
      </w:r>
      <w:r>
        <w:t xml:space="preserve"> of shortlisted vendors. </w:t>
      </w:r>
      <w:hyperlink r:id="rId31">
        <w:r>
          <w:rPr>
            <w:rStyle w:val="Hyperlink"/>
          </w:rPr>
          <w:t xml:space="preserve">G2 Digital Markets, State of Software Buying 2026</w:t>
        </w:r>
      </w:hyperlink>
      <w:r>
        <w:t xml:space="preserve"> (PDF, n=3,385). Assumptions 5 and 6.</w:t>
      </w:r>
    </w:p>
    <w:p>
      <w:pPr>
        <w:pStyle w:val="ListBullet"/>
      </w:pPr>
      <w:r>
        <w:rPr>
          <w:b/>
          <w:bCs/>
        </w:rPr>
        <w:t xml:space="preserve">We can evidence the pressure but not the purchase. </w:t>
      </w:r>
      <w:r>
        <w:t xml:space="preserve">No deadline-indexed purchasing time series exists. Nobody publishes what organisations actually buy in the months around a compliance deadline. The compliance trigger is an inference, and the evidence that would confirm it is not public. Assumption 2.</w:t>
      </w:r>
    </w:p>
    <w:p>
      <w:pPr>
        <w:pStyle w:val="ListBullet"/>
      </w:pPr>
      <w:r>
        <w:rPr>
          <w:b/>
          <w:bCs/>
        </w:rPr>
        <w:t xml:space="preserve">The buyers the compliance message attracts may be the ones our automation suits least. </w:t>
      </w:r>
      <w:r>
        <w:t xml:space="preserve">Gartner names an anti-qualifier for this category. Organisations with rigid change control and very low tolerance for potential impact get less value from tools with advanced automation. Regulated, deadline-driven organisations are the ones most likely to have rigid change control. Nothing in our material resolves this. Assumptions 4 and 7.</w:t>
      </w:r>
    </w:p>
    <w:p>
      <w:pPr>
        <w:pStyle w:val="Heading1"/>
      </w:pPr>
      <w:r>
        <w:t xml:space="preserve">What we cannot size, and why there is no TAM in this document</w:t>
      </w:r>
    </w:p>
    <w:p>
      <w:pPr>
        <w:pStyle w:val="ListBullet"/>
      </w:pPr>
      <w:r>
        <w:t xml:space="preserve">Published UEM sizing spans </w:t>
      </w:r>
      <w:r>
        <w:rPr>
          <w:b/>
          <w:bCs/>
        </w:rPr>
        <w:t xml:space="preserve">2.4× on size and 3.1× on growth</w:t>
      </w:r>
      <w:r>
        <w:t xml:space="preserve"> across six publishers for the same market in the same year. Only </w:t>
      </w:r>
      <w:hyperlink r:id="rId32">
        <w:r>
          <w:rPr>
            <w:rStyle w:val="Hyperlink"/>
          </w:rPr>
          <w:t xml:space="preserve">Mordor Intelligence</w:t>
        </w:r>
      </w:hyperlink>
      <w:r>
        <w:t xml:space="preserve"> discloses a method: a top-down demand pool built from active workforce counts, average devices per employee and BYOD penetration, multiplied by prevailing subscription ASPs. The one publisher that states a formula also returns the </w:t>
      </w:r>
      <w:r>
        <w:rPr>
          <w:b/>
          <w:bCs/>
        </w:rPr>
        <w:t xml:space="preserve">highest</w:t>
      </w:r>
      <w:r>
        <w:t xml:space="preserve"> growth figure in the pool, at 25.38%, while the lowest figure in the pool comes from the publisher with the weakest provenance. So the spread does not resolve in favour of the conservative number either.</w:t>
      </w:r>
    </w:p>
    <w:p>
      <w:pPr>
        <w:pStyle w:val="ListBullet"/>
      </w:pPr>
      <w:r>
        <w:t xml:space="preserve">Autonomous Endpoint Management is sized by nobody. No market size, revenue figure, TAM or forecast exists publicly from any publisher.</w:t>
      </w:r>
    </w:p>
    <w:p>
      <w:pPr>
        <w:pStyle w:val="ListBullet"/>
      </w:pPr>
      <w:r>
        <w:t xml:space="preserve">No publisher scopes patch management or vulnerability management to the endpoint. An endpoint-only figure for either does not exist.</w:t>
      </w:r>
    </w:p>
    <w:p>
      <w:pPr>
        <w:pStyle w:val="ListBullet"/>
      </w:pPr>
      <w:r>
        <w:t xml:space="preserve">No UK or EU figure exists for any segment examined.</w:t>
      </w:r>
    </w:p>
    <w:p>
      <w:pPr>
        <w:pStyle w:val="ListBullet"/>
      </w:pPr>
      <w:r>
        <w:rPr>
          <w:b/>
          <w:bCs/>
        </w:rPr>
        <w:t xml:space="preserve">So this document gives no top-down market size. </w:t>
      </w:r>
      <w:r>
        <w:t xml:space="preserve">The bottom-up model in the companion working file has price per endpoint sourced as a defensible $1.00 to $3.75 band across five named competitors with published prices, and two cells still empty. The first is the number of organisations in the ICP band, which is publicly fillable from DBT business population estimates and Eurostat. The second is endpoints per organisation, for which no free benchmark exists at all, because </w:t>
      </w:r>
      <w:hyperlink r:id="rId33">
        <w:r>
          <w:rPr>
            <w:rStyle w:val="Hyperlink"/>
          </w:rPr>
          <w:t xml:space="preserve">Computer Economics IT Staffing Ratios</w:t>
        </w:r>
      </w:hyperlink>
      <w:r>
        <w:t xml:space="preserve"> is paywalled with no figures disclosed. Both cells are better answered from our own install base than bought, and the second one is the test under Assumption 9.</w:t>
      </w:r>
    </w:p>
    <w:p ns2:paraId="0175F543" ns2:textId="77777777" w:rsidR="003607B7" w:rsidRDefault="00877CD8">
      <w:pPr>
        <w:pStyle w:val="Heading1"/>
      </w:pPr>
      <w:r>
        <w:t>Assumption 1: A focused wedge creates enough value to earn adoption, with broader value proven through expansion</w:t>
      </w:r>
    </w:p>
    <w:p ns2:paraId="7489F7C2" ns2:textId="77777777" w:rsidR="003607B7" w:rsidRDefault="00877CD8">
      <w:r>
        <w:rPr>
          <w:b/>
          <w:color w:val="7A52B5"/>
        </w:rPr>
        <w:t>REVISED — platform-first value is less certain</w:t>
      </w:r>
    </w:p>
    <w:p ns2:paraId="187AA2D4" ns2:textId="77777777" w:rsidR="003607B7" w:rsidRDefault="00877CD8">
      <w:pPr>
        <w:pStyle w:val="Heading2"/>
      </w:pPr>
      <w:r>
        <w:t>What the newer evidence tells us</w:t>
      </w:r>
    </w:p>
    <w:p ns2:paraId="45ED3797" ns2:textId="77777777" w:rsidR="003607B7" w:rsidRDefault="00877CD8">
      <w:pPr>
        <w:pStyle w:val="ListBullet"/>
      </w:pPr>
      <w:r>
        <w:t>Interview evidence repeatedly identifies patching, vulnerability management, inventory/intelligence, compliance, remote access, simplicity and reduced operational effort as meaningful jobs.</w:t>
      </w:r>
    </w:p>
    <w:p ns2:paraId="296F93D8" ns2:textId="77777777" w:rsidR="003607B7" w:rsidRDefault="00877CD8">
      <w:pPr>
        <w:pStyle w:val="ListBullet"/>
      </w:pPr>
      <w:r>
        <w:t>Some evidence supports consolidation, but other evidence says IT departments often enter looking to solve one problem at a time.</w:t>
      </w:r>
    </w:p>
    <w:p ns2:paraId="23D651E3" ns2:textId="77777777" w:rsidR="003607B7" w:rsidRDefault="00877CD8">
      <w:pPr>
        <w:pStyle w:val="ListBullet"/>
      </w:pPr>
      <w:r>
        <w:t>The viable proposition may be a broad product platform sold through a narrow, outcome-led entry point.</w:t>
      </w:r>
    </w:p>
    <w:p ns2:paraId="7909208A" ns2:textId="77777777" w:rsidR="003607B7" w:rsidRDefault="00877CD8">
      <w:pPr>
        <w:pStyle w:val="Heading2"/>
      </w:pPr>
      <w:r>
        <w:t>What remains unproven</w:t>
      </w:r>
    </w:p>
    <w:p ns2:paraId="07DB1371" ns2:textId="77777777" w:rsidR="003607B7" w:rsidRDefault="00877CD8">
      <w:pPr>
        <w:pStyle w:val="ListBullet"/>
      </w:pPr>
      <w:r>
        <w:t>Which initial job is valuable and urgent enough to trigger trial or purchase.</w:t>
      </w:r>
    </w:p>
    <w:p ns2:paraId="62404ABA" ns2:textId="77777777" w:rsidR="003607B7" w:rsidRDefault="00877CD8">
      <w:pPr>
        <w:pStyle w:val="ListBullet"/>
      </w:pPr>
      <w:r>
        <w:lastRenderedPageBreak/>
        <w:t>Whether connecting patch, vulnerability, configuration, inventory and compliance produces additional value beyond a strong point solution.</w:t>
      </w:r>
    </w:p>
    <w:p ns2:paraId="525C1404" ns2:textId="77777777" w:rsidR="003607B7" w:rsidRDefault="00877CD8">
      <w:pPr>
        <w:pStyle w:val="ListBullet"/>
      </w:pPr>
      <w:r>
        <w:t>Whether expansion into adjacent jobs occurs after the first wedge is adopted.</w:t>
      </w:r>
    </w:p>
    <w:p ns2:paraId="036907DB" ns2:textId="77777777" w:rsidR="003607B7" w:rsidRDefault="00877CD8">
      <w:pPr>
        <w:pStyle w:val="Heading2"/>
      </w:pPr>
      <w:r>
        <w:t>Primary test</w:t>
      </w:r>
    </w:p>
    <w:p ns2:paraId="01BF4892" ns2:textId="77777777" w:rsidR="003607B7" w:rsidRDefault="00877CD8">
      <w:r>
        <w:t>Run a comparative concept test with the same participants: A) best-in-class patching, B) patching + vulnerability remediation, C) endpoint compliance/resilience outcome. Include a realistic current-state alternative such as “keep existing tools.”</w:t>
      </w:r>
    </w:p>
    <w:p ns2:paraId="627576E9" ns2:textId="77777777" w:rsidR="003607B7" w:rsidRDefault="00877CD8">
      <w:pPr>
        <w:spacing w:after="80"/>
      </w:pPr>
      <w:r>
        <w:rPr>
          <w:b/>
          <w:color w:val="007F7A"/>
        </w:rPr>
        <w:t xml:space="preserve">Evidence that raises confidence: </w:t>
      </w:r>
      <w:r>
        <w:t>Participants select one concept as the job they would act on now, explain the current workaround or incumbent it would replace/add to, and describe a credible next step such as trial, evaluation or budget discussion.</w:t>
      </w:r>
    </w:p>
    <w:p ns2:paraId="55DB9087" ns2:textId="77777777" w:rsidR="003607B7" w:rsidRDefault="00877CD8">
      <w:pPr>
        <w:spacing w:after="80"/>
      </w:pPr>
      <w:r>
        <w:rPr>
          <w:b/>
          <w:color w:val="007F7A"/>
        </w:rPr>
        <w:t xml:space="preserve">Evidence that changes our mind: </w:t>
      </w:r>
      <w:r>
        <w:t>Interest remains generic, no current workflow or consequence is identified, or the combined proposition adds no meaningful value over the focused option.</w:t>
      </w:r>
    </w:p>
    <w:p ns2:paraId="0DCC9119" ns2:textId="77777777" w:rsidR="003607B7" w:rsidRDefault="00877CD8">
      <w:pPr>
        <w:pStyle w:val="Heading1"/>
      </w:pPr>
      <w:r>
        <w:t>Assumption 2: A repeatable trigger will make IT teams trial, adopt or switch</w:t>
      </w:r>
    </w:p>
    <w:p ns2:paraId="7294164A" ns2:textId="77777777" w:rsidR="003607B7" w:rsidRDefault="00877CD8">
      <w:r>
        <w:rPr>
          <w:b/>
          <w:color w:val="7A52B5"/>
        </w:rPr>
        <w:t>REFRAMED — from generic pull/cannibalisation to a concrete buying trigger</w:t>
      </w:r>
    </w:p>
    <w:p ns2:paraId="672B72E2" ns2:textId="77777777" w:rsidR="003607B7" w:rsidRDefault="00877CD8">
      <w:pPr>
        <w:pStyle w:val="Heading2"/>
      </w:pPr>
      <w:r>
        <w:t>What the newer evidence tells us</w:t>
      </w:r>
    </w:p>
    <w:p ns2:paraId="0E323580" ns2:textId="77777777" w:rsidR="003607B7" w:rsidRDefault="00877CD8">
      <w:pPr>
        <w:pStyle w:val="ListBullet"/>
      </w:pPr>
      <w:r>
        <w:t>Reported triggers include difficult or noisy tools, high cost, compliance requirements, operational effort and tool sprawl.</w:t>
      </w:r>
    </w:p>
    <w:p ns2:paraId="5449A099" ns2:textId="77777777" w:rsidR="003607B7" w:rsidRDefault="00877CD8">
      <w:pPr>
        <w:pStyle w:val="ListBullet"/>
      </w:pPr>
      <w:r>
        <w:t>Microsoft-centric customers may be difficult to displace; an integrated add-on may be more plausible than a UEM replacement.</w:t>
      </w:r>
    </w:p>
    <w:p ns2:paraId="2774D20B" ns2:textId="77777777" w:rsidR="003607B7" w:rsidRDefault="00877CD8">
      <w:pPr>
        <w:pStyle w:val="ListBullet"/>
      </w:pPr>
      <w:r>
        <w:t>Customers already have tools, so Pure Ecoverse must displace, complement or consolidate something specific.</w:t>
      </w:r>
    </w:p>
    <w:p ns2:paraId="5CCF9631" ns2:textId="77777777" w:rsidR="003607B7" w:rsidRDefault="00877CD8">
      <w:pPr>
        <w:pStyle w:val="Heading2"/>
      </w:pPr>
      <w:r>
        <w:t>What remains unproven</w:t>
      </w:r>
    </w:p>
    <w:p ns2:paraId="1BC270D7" ns2:textId="77777777" w:rsidR="003607B7" w:rsidRDefault="00877CD8">
      <w:pPr>
        <w:pStyle w:val="ListBullet"/>
      </w:pPr>
      <w:r>
        <w:t>Which trigger is common enough to support repeatable acquisition.</w:t>
      </w:r>
    </w:p>
    <w:p ns2:paraId="1046CFA3" ns2:textId="77777777" w:rsidR="003607B7" w:rsidRDefault="00877CD8">
      <w:pPr>
        <w:pStyle w:val="ListBullet"/>
      </w:pPr>
      <w:r>
        <w:t>Whether the first motion is replacement, coexistence or attach to Intune.</w:t>
      </w:r>
    </w:p>
    <w:p ns2:paraId="508B4D9F" ns2:textId="77777777" w:rsidR="003607B7" w:rsidRDefault="00877CD8">
      <w:pPr>
        <w:pStyle w:val="ListBullet"/>
      </w:pPr>
      <w:r>
        <w:t>Which incumbent, budget line and buying event are involved.</w:t>
      </w:r>
    </w:p>
    <w:p ns2:paraId="1D84147E" ns2:textId="77777777" w:rsidR="003607B7" w:rsidRDefault="00877CD8">
      <w:pPr>
        <w:pStyle w:val="Heading2"/>
      </w:pPr>
      <w:r>
        <w:t>Primary test</w:t>
      </w:r>
    </w:p>
    <w:p ns2:paraId="0273DA18" ns2:textId="77777777" w:rsidR="003607B7" w:rsidRDefault="00877CD8">
      <w:r>
        <w:t>Use recent win/loss evidence, RFPs and structured interviews to map the buying event: what changed, why now, what budget funded it, what was evaluated, what was retained, and what was replaced. Test Intune replacement and Intune-integrated add-on concepts separately.</w:t>
      </w:r>
    </w:p>
    <w:p ns2:paraId="43707F4D" ns2:textId="77777777" w:rsidR="003607B7" w:rsidRDefault="00877CD8">
      <w:pPr>
        <w:spacing w:after="80"/>
      </w:pPr>
      <w:r>
        <w:rPr>
          <w:b/>
          <w:color w:val="007F7A"/>
        </w:rPr>
        <w:t xml:space="preserve">Evidence that raises confidence: </w:t>
      </w:r>
      <w:r>
        <w:t>A named trigger recurs across a defined ICP, with a consistent incumbent/current workaround and a believable route into evaluation.</w:t>
      </w:r>
    </w:p>
    <w:p ns2:paraId="2228E9EF" ns2:textId="77777777" w:rsidR="003607B7" w:rsidRDefault="00877CD8">
      <w:pPr>
        <w:spacing w:after="80"/>
      </w:pPr>
      <w:r>
        <w:rPr>
          <w:b/>
          <w:color w:val="007F7A"/>
        </w:rPr>
        <w:t xml:space="preserve">Evidence that changes our mind: </w:t>
      </w:r>
      <w:r>
        <w:t>Triggers remain fragmented by customer, or the concept requires replacing a deeply embedded stack without a compelling reason.</w:t>
      </w:r>
    </w:p>
    <w:p ns2:paraId="44E51616" ns2:textId="77777777" w:rsidR="003607B7" w:rsidRDefault="00877CD8">
      <w:pPr>
        <w:pStyle w:val="Heading1"/>
      </w:pPr>
      <w:r>
        <w:t>Assumption 3: We can deliver reliable guided automation for bounded endpoint jobs</w:t>
      </w:r>
    </w:p>
    <w:p ns2:paraId="320242B9" ns2:textId="77777777" w:rsidR="003607B7" w:rsidRDefault="00877CD8">
      <w:r>
        <w:rPr>
          <w:b/>
          <w:color w:val="7A52B5"/>
        </w:rPr>
        <w:t>NARROWED — prove one job before cross-signal autonomy</w:t>
      </w:r>
    </w:p>
    <w:p ns2:paraId="1E251770" ns2:textId="77777777" w:rsidR="003607B7" w:rsidRDefault="00877CD8">
      <w:pPr>
        <w:pStyle w:val="Heading2"/>
      </w:pPr>
      <w:r>
        <w:t>What the newer evidence tells us</w:t>
      </w:r>
    </w:p>
    <w:p ns2:paraId="1D0A263F" ns2:textId="77777777" w:rsidR="003607B7" w:rsidRDefault="00877CD8">
      <w:pPr>
        <w:pStyle w:val="ListBullet"/>
      </w:pPr>
      <w:r>
        <w:t>The current evidence values automation when it removes concrete effort, such as patch remediation, software deployment or configuration work.</w:t>
      </w:r>
    </w:p>
    <w:p ns2:paraId="3C3F6D99" ns2:textId="77777777" w:rsidR="003607B7" w:rsidRDefault="00877CD8">
      <w:pPr>
        <w:pStyle w:val="ListBullet"/>
      </w:pPr>
      <w:r>
        <w:t>The original three-signal judgement remains a larger technical leap than the bounded jobs now emerging from interviews.</w:t>
      </w:r>
    </w:p>
    <w:p ns2:paraId="42FD8663" ns2:textId="77777777" w:rsidR="003607B7" w:rsidRDefault="00877CD8">
      <w:pPr>
        <w:pStyle w:val="ListBullet"/>
      </w:pPr>
      <w:r>
        <w:t>Progress, completion, accurate state and auditability remain essential.</w:t>
      </w:r>
    </w:p>
    <w:p ns2:paraId="770B871E" ns2:textId="77777777" w:rsidR="003607B7" w:rsidRDefault="00877CD8">
      <w:pPr>
        <w:pStyle w:val="Heading2"/>
      </w:pPr>
      <w:r>
        <w:t>What remains unproven</w:t>
      </w:r>
    </w:p>
    <w:p ns2:paraId="68E369B2" ns2:textId="77777777" w:rsidR="003607B7" w:rsidRDefault="00877CD8">
      <w:pPr>
        <w:pStyle w:val="ListBullet"/>
      </w:pPr>
      <w:r>
        <w:t>Whether one bounded workflow can meet agreed reliability and observability thresholds.</w:t>
      </w:r>
    </w:p>
    <w:p ns2:paraId="606F05A6" ns2:textId="77777777" w:rsidR="003607B7" w:rsidRDefault="00877CD8">
      <w:pPr>
        <w:pStyle w:val="ListBullet"/>
      </w:pPr>
      <w:r>
        <w:t>Whether endpoint data is complete and current enough to support the selected job.</w:t>
      </w:r>
    </w:p>
    <w:p ns2:paraId="002BD6DF" ns2:textId="77777777" w:rsidR="003607B7" w:rsidRDefault="00877CD8">
      <w:pPr>
        <w:pStyle w:val="ListBullet"/>
      </w:pPr>
      <w:r>
        <w:t>Whether failure modes are recoverable and understandable.</w:t>
      </w:r>
    </w:p>
    <w:p ns2:paraId="4819EA44" ns2:textId="77777777" w:rsidR="003607B7" w:rsidRDefault="00877CD8">
      <w:pPr>
        <w:pStyle w:val="Heading2"/>
      </w:pPr>
      <w:r>
        <w:t>Primary test</w:t>
      </w:r>
    </w:p>
    <w:p ns2:paraId="1D912A06" ns2:textId="77777777" w:rsidR="003607B7" w:rsidRDefault="00877CD8">
      <w:r>
        <w:t>Prototype one bounded workflow end to end, preferably patch/vulnerability remediation or a compliance configuration action. Define pre-checks, approval, execution, completion state, exception handling, rollback/escalation and audit trail before testing.</w:t>
      </w:r>
    </w:p>
    <w:p ns2:paraId="6534D112" ns2:textId="77777777" w:rsidR="003607B7" w:rsidRDefault="00877CD8">
      <w:pPr>
        <w:spacing w:after="80"/>
      </w:pPr>
      <w:r>
        <w:rPr>
          <w:b/>
          <w:color w:val="007F7A"/>
        </w:rPr>
        <w:t xml:space="preserve">Evidence that raises confidence: </w:t>
      </w:r>
      <w:r>
        <w:t>The workflow completes accurately across representative cases, reports state correctly, exposes failures clearly and produces usable evidence of outcome.</w:t>
      </w:r>
    </w:p>
    <w:p ns2:paraId="4A8D2EEC" ns2:textId="77777777" w:rsidR="003607B7" w:rsidRDefault="00877CD8">
      <w:pPr>
        <w:spacing w:after="80"/>
      </w:pPr>
      <w:r>
        <w:rPr>
          <w:b/>
          <w:color w:val="007F7A"/>
        </w:rPr>
        <w:t xml:space="preserve">Evidence that changes our mind: </w:t>
      </w:r>
      <w:r>
        <w:t>The system cannot reliably determine eligibility/state, completion is ambiguous, or recovery requires specialist intervention too often.</w:t>
      </w:r>
    </w:p>
    <w:p ns2:paraId="793BDEA2" ns2:textId="77777777" w:rsidR="003607B7" w:rsidRDefault="00877CD8">
      <w:pPr>
        <w:pStyle w:val="Heading1"/>
      </w:pPr>
      <w:r>
        <w:t>Assumption 4: Technicians will trust governed automation with the right controls and feedback</w:t>
      </w:r>
    </w:p>
    <w:p ns2:paraId="63E170C1" ns2:textId="77777777" w:rsidR="003607B7" w:rsidRDefault="00877CD8">
      <w:r>
        <w:rPr>
          <w:b/>
          <w:color w:val="7A52B5"/>
        </w:rPr>
        <w:t>STRENGTHENED AS A RISK — trust conditions are clearer, not solved</w:t>
      </w:r>
    </w:p>
    <w:p ns2:paraId="5D04A8D0" ns2:textId="77777777" w:rsidR="003607B7" w:rsidRDefault="00877CD8">
      <w:pPr>
        <w:pStyle w:val="Heading2"/>
      </w:pPr>
      <w:r>
        <w:t>What the newer evidence tells us</w:t>
      </w:r>
    </w:p>
    <w:p ns2:paraId="531A0257" ns2:textId="77777777" w:rsidR="003607B7" w:rsidRDefault="00877CD8">
      <w:pPr>
        <w:pStyle w:val="ListBullet"/>
      </w:pPr>
      <w:r>
        <w:t>Interview evidence explicitly raises trust, governance, accuracy, auditability and data handling.</w:t>
      </w:r>
    </w:p>
    <w:p ns2:paraId="68C0EC7F" ns2:textId="77777777" w:rsidR="003607B7" w:rsidRDefault="00877CD8">
      <w:pPr>
        <w:pStyle w:val="ListBullet"/>
      </w:pPr>
      <w:r>
        <w:t>Participants describe value in AI that monitors, prioritises or executes, but with constrained scope and approved knowledge/processes.</w:t>
      </w:r>
    </w:p>
    <w:p ns2:paraId="62775B9B" ns2:textId="77777777" w:rsidR="003607B7" w:rsidRDefault="00877CD8">
      <w:pPr>
        <w:pStyle w:val="ListBullet"/>
      </w:pPr>
      <w:r>
        <w:t>Simple on/off automation is likely more appropriate for early customers than asking them to create complex agentic workflows.</w:t>
      </w:r>
    </w:p>
    <w:p ns2:paraId="1C0F18B4" ns2:textId="77777777" w:rsidR="003607B7" w:rsidRDefault="00877CD8">
      <w:pPr>
        <w:pStyle w:val="Heading2"/>
      </w:pPr>
      <w:r>
        <w:t>What remains unproven</w:t>
      </w:r>
    </w:p>
    <w:p ns2:paraId="01D32DAC" ns2:textId="77777777" w:rsidR="003607B7" w:rsidRDefault="00877CD8">
      <w:pPr>
        <w:pStyle w:val="ListBullet"/>
      </w:pPr>
      <w:r>
        <w:t>Which actions can run automatically, which require approval and which are unacceptable.</w:t>
      </w:r>
    </w:p>
    <w:p ns2:paraId="2D90D92A" ns2:textId="77777777" w:rsidR="003607B7" w:rsidRDefault="00877CD8">
      <w:pPr>
        <w:pStyle w:val="ListBullet"/>
      </w:pPr>
      <w:r>
        <w:t>What explanation, evidence and recovery controls are needed at each risk level.</w:t>
      </w:r>
    </w:p>
    <w:p ns2:paraId="158051EB" ns2:textId="77777777" w:rsidR="003607B7" w:rsidRDefault="00877CD8">
      <w:pPr>
        <w:pStyle w:val="ListBullet"/>
      </w:pPr>
      <w:r>
        <w:t>Whether governed automation improves adoption versus deterministic UX alone.</w:t>
      </w:r>
    </w:p>
    <w:p ns2:paraId="524E8C6B" ns2:textId="77777777" w:rsidR="003607B7" w:rsidRDefault="00877CD8">
      <w:pPr>
        <w:pStyle w:val="Heading2"/>
      </w:pPr>
      <w:r>
        <w:t>Primary test</w:t>
      </w:r>
    </w:p>
    <w:p ns2:paraId="26A43585" ns2:textId="77777777" w:rsidR="003607B7" w:rsidRDefault="00877CD8">
      <w:r>
        <w:t>Test the same workflow at three autonomy levels: recommend only, approve-before-run, and automatic within policy. Capture task choice, confidence, intervention, comprehension of outcome and willingness to enable in production.</w:t>
      </w:r>
    </w:p>
    <w:p ns2:paraId="3F149011" ns2:textId="77777777" w:rsidR="003607B7" w:rsidRDefault="00877CD8">
      <w:pPr>
        <w:spacing w:after="80"/>
      </w:pPr>
      <w:r>
        <w:rPr>
          <w:b/>
          <w:color w:val="007F7A"/>
        </w:rPr>
        <w:t xml:space="preserve">Evidence that raises confidence: </w:t>
      </w:r>
      <w:r>
        <w:t>Users can correctly predict what will happen, choose a stable autonomy boundary, detect success/failure and are willing to enable the preferred mode for a real bounded task.</w:t>
      </w:r>
    </w:p>
    <w:p ns2:paraId="7F63B15B" ns2:textId="77777777" w:rsidR="003607B7" w:rsidRDefault="00877CD8">
      <w:pPr>
        <w:spacing w:after="80"/>
      </w:pPr>
      <w:r>
        <w:rPr>
          <w:b/>
          <w:color w:val="007F7A"/>
        </w:rPr>
        <w:t xml:space="preserve">Evidence that changes our mind: </w:t>
      </w:r>
      <w:r>
        <w:t>Users cannot understand or verify the action, require approval for everything, or prefer manual/deterministic execution because automation adds anxiety or effort.</w:t>
      </w:r>
    </w:p>
    <w:p ns2:paraId="733B02FF" ns2:textId="77777777" w:rsidR="003607B7" w:rsidRDefault="00877CD8">
      <w:pPr>
        <w:pStyle w:val="Heading1"/>
      </w:pPr>
      <w:r>
        <w:t>Assumption 5: The strongest unmet need is payable at viable price and margin</w:t>
      </w:r>
    </w:p>
    <w:p ns2:paraId="29501D4E" ns2:textId="77777777" w:rsidR="003607B7" w:rsidRDefault="00877CD8">
      <w:r>
        <w:rPr>
          <w:b/>
          <w:color w:val="7A52B5"/>
        </w:rPr>
        <w:t>STILL CRITICAL — problem evidence improved; commercial evidence did not</w:t>
      </w:r>
    </w:p>
    <w:p ns2:paraId="10956DAA" ns2:textId="77777777" w:rsidR="003607B7" w:rsidRDefault="00877CD8">
      <w:pPr>
        <w:pStyle w:val="Heading2"/>
      </w:pPr>
      <w:r>
        <w:t>What the newer evidence tells us</w:t>
      </w:r>
    </w:p>
    <w:p ns2:paraId="3288E001" ns2:textId="77777777" w:rsidR="003607B7" w:rsidRDefault="00877CD8">
      <w:pPr>
        <w:pStyle w:val="ListBullet"/>
      </w:pPr>
      <w:r>
        <w:t>The interviews give stronger evidence for operational pain, compliance pressure and manual effort.</w:t>
      </w:r>
    </w:p>
    <w:p ns2:paraId="49309582" ns2:textId="77777777" w:rsidR="003607B7" w:rsidRDefault="00877CD8">
      <w:pPr>
        <w:pStyle w:val="ListBullet"/>
      </w:pPr>
      <w:r>
        <w:t>No source reviewed provides direct willingness-to-pay, viable packaging or margin evidence for Pure Ecoverse.</w:t>
      </w:r>
    </w:p>
    <w:p ns2:paraId="2C8BA5DF" ns2:textId="77777777" w:rsidR="003607B7" w:rsidRDefault="00877CD8">
      <w:pPr>
        <w:pStyle w:val="ListBullet"/>
      </w:pPr>
      <w:r>
        <w:t>IT is treated as a cost centre, so value must be legible as avoided effort, reduced risk, compliance enablement or tool cost reduction.</w:t>
      </w:r>
    </w:p>
    <w:p ns2:paraId="601B808D" ns2:textId="77777777" w:rsidR="003607B7" w:rsidRDefault="00877CD8">
      <w:pPr>
        <w:pStyle w:val="Heading2"/>
      </w:pPr>
      <w:r>
        <w:t>What remains unproven</w:t>
      </w:r>
    </w:p>
    <w:p ns2:paraId="39CD110D" ns2:textId="77777777" w:rsidR="003607B7" w:rsidRDefault="00877CD8">
      <w:pPr>
        <w:pStyle w:val="ListBullet"/>
      </w:pPr>
      <w:r>
        <w:t>Who owns budget and which budget line pays.</w:t>
      </w:r>
    </w:p>
    <w:p ns2:paraId="1AAD1191" ns2:textId="77777777" w:rsidR="003607B7" w:rsidRDefault="00877CD8">
      <w:pPr>
        <w:pStyle w:val="ListBullet"/>
      </w:pPr>
      <w:r>
        <w:t>What minimum package is credible and what price is acceptable.</w:t>
      </w:r>
    </w:p>
    <w:p ns2:paraId="1953F8E4" ns2:textId="77777777" w:rsidR="003607B7" w:rsidRDefault="00877CD8">
      <w:pPr>
        <w:pStyle w:val="ListBullet"/>
      </w:pPr>
      <w:r>
        <w:t>Whether the economics work for the initial estate size and support model.</w:t>
      </w:r>
    </w:p>
    <w:p ns2:paraId="4F1B1BFC" ns2:textId="77777777" w:rsidR="003607B7" w:rsidRDefault="00877CD8">
      <w:pPr>
        <w:pStyle w:val="Heading2"/>
      </w:pPr>
      <w:r>
        <w:t>Primary test</w:t>
      </w:r>
    </w:p>
    <w:p ns2:paraId="5824C403" ns2:textId="77777777" w:rsidR="003607B7" w:rsidRDefault="00877CD8">
      <w:r>
        <w:t>Run a qualitative pricing study against 2–3 concrete packages and prices, anchored in a defined wedge. Use forced choice, current spend/workaround, budget owner, purchasing process and “too cheap / acceptable / expensive / too expensive” questions. Model margin using actual delivery and support assumptions.</w:t>
      </w:r>
    </w:p>
    <w:p ns2:paraId="2CB1E12C" ns2:textId="77777777" w:rsidR="003607B7" w:rsidRDefault="00877CD8">
      <w:pPr>
        <w:spacing w:after="80"/>
      </w:pPr>
      <w:r>
        <w:rPr>
          <w:b/>
          <w:color w:val="007F7A"/>
        </w:rPr>
        <w:t xml:space="preserve">Evidence that raises confidence: </w:t>
      </w:r>
      <w:r>
        <w:t>A defined segment identifies a budget owner, a credible budget source and an acceptable range that supports target margin and acquisition/support costs.</w:t>
      </w:r>
    </w:p>
    <w:p ns2:paraId="6C176A74" ns2:textId="77777777" w:rsidR="003607B7" w:rsidRDefault="00877CD8">
      <w:pPr>
        <w:spacing w:after="80"/>
      </w:pPr>
      <w:r>
        <w:rPr>
          <w:b/>
          <w:color w:val="007F7A"/>
        </w:rPr>
        <w:t xml:space="preserve">Evidence that changes our mind: </w:t>
      </w:r>
      <w:r>
        <w:t>Respondents value the problem but expect it free/included, cannot identify budget, or acceptable price fails the economic model.</w:t>
      </w:r>
    </w:p>
    <w:p ns2:paraId="2BF93419" ns2:textId="77777777" w:rsidR="003607B7" w:rsidRDefault="00877CD8">
      <w:pPr>
        <w:pStyle w:val="Heading1"/>
      </w:pPr>
      <w:r>
        <w:t>Assumption 6: Our advantage is durable enough to win versus incumbents and add-ons</w:t>
      </w:r>
    </w:p>
    <w:p ns2:paraId="539740B8" ns2:textId="77777777" w:rsidR="003607B7" w:rsidRDefault="00877CD8">
      <w:r>
        <w:rPr>
          <w:b/>
          <w:color w:val="7A52B5"/>
        </w:rPr>
        <w:t>REVISED — the moat must attach to the wedge, not the portfolio story</w:t>
      </w:r>
    </w:p>
    <w:p ns2:paraId="6596AFDE" ns2:textId="77777777" w:rsidR="003607B7" w:rsidRDefault="00877CD8">
      <w:pPr>
        <w:pStyle w:val="Heading2"/>
      </w:pPr>
      <w:r>
        <w:t>What the newer evidence tells us</w:t>
      </w:r>
    </w:p>
    <w:p ns2:paraId="1C5AEB72" ns2:textId="77777777" w:rsidR="003607B7" w:rsidRDefault="00877CD8">
      <w:pPr>
        <w:pStyle w:val="ListBullet"/>
      </w:pPr>
      <w:r>
        <w:t>Competitors already validate patching, automation, simplicity and endpoint operations.</w:t>
      </w:r>
    </w:p>
    <w:p ns2:paraId="1F741730" ns2:textId="77777777" w:rsidR="003607B7" w:rsidRDefault="00877CD8">
      <w:pPr>
        <w:pStyle w:val="ListBullet"/>
      </w:pPr>
      <w:r>
        <w:t>Intune-integrated specialists can solve painful gaps without replacing Microsoft.</w:t>
      </w:r>
    </w:p>
    <w:p ns2:paraId="057365D9" ns2:textId="77777777" w:rsidR="003607B7" w:rsidRDefault="00877CD8">
      <w:pPr>
        <w:pStyle w:val="ListBullet"/>
      </w:pPr>
      <w:r>
        <w:t xml:space="preserve">The differentiator with a name attached is now the category itself: Gartner calls it Autonomous Endpoint Management, defines it to include patch-success measurement, configurable patching rings and confidence-based automation, and no research publisher has sized it. Deeper endpoint intelligence, governed action, proof of outcome and usability are the ingredients; the category is the claim.</w:t>
      </w:r>
    </w:p>
    <w:p ns2:paraId="109CCC91" ns2:textId="77777777" w:rsidR="003607B7" w:rsidRDefault="00877CD8">
      <w:pPr>
        <w:pStyle w:val="Heading2"/>
      </w:pPr>
      <w:r>
        <w:t>What remains unproven</w:t>
      </w:r>
    </w:p>
    <w:p ns2:paraId="67BEC0CA" ns2:textId="77777777" w:rsidR="003607B7" w:rsidRDefault="00877CD8">
      <w:pPr>
        <w:pStyle w:val="ListBullet"/>
      </w:pPr>
      <w:r>
        <w:t>Which advantage customers notice and value in the first buying decision.</w:t>
      </w:r>
    </w:p>
    <w:p ns2:paraId="5C025FF1" ns2:textId="77777777" w:rsidR="003607B7" w:rsidRDefault="00877CD8">
      <w:pPr>
        <w:pStyle w:val="ListBullet"/>
      </w:pPr>
      <w:r>
        <w:t>Whether competitors can reproduce the outcome through integration, partnership or packaging.</w:t>
      </w:r>
    </w:p>
    <w:p ns2:paraId="20CE01CE" ns2:textId="77777777" w:rsidR="003607B7" w:rsidRDefault="00877CD8">
      <w:pPr>
        <w:pStyle w:val="ListBullet"/>
      </w:pPr>
      <w:r>
        <w:t xml:space="preserve">Whether N-able endpoint data produces a demonstrably better result rather than a stronger internal asset story. The deck still lists richer endpoint data as something to spike into while also treating it as core intellectual property. Both cannot be true at once, and the contradiction belongs in a test, not a slide.</w:t>
      </w:r>
    </w:p>
    <w:p ns2:paraId="41613278" ns2:textId="77777777" w:rsidR="003607B7" w:rsidRDefault="00877CD8">
      <w:pPr>
        <w:pStyle w:val="Heading2"/>
      </w:pPr>
      <w:r>
        <w:t>Primary test</w:t>
      </w:r>
    </w:p>
    <w:p ns2:paraId="61BCFCC7" ns2:textId="77777777" w:rsidR="003607B7" w:rsidRDefault="00877CD8">
      <w:r>
        <w:t>Run a competitive teardown around one customer scenario, not feature counts. Compare Ecoverse, Intune + specialist add-on, Action1/Automox and NinjaOne on time to value, manual steps, remediation coverage, evidence produced, governance and switching cost.</w:t>
      </w:r>
    </w:p>
    <w:p ns2:paraId="47FD1445" ns2:textId="77777777" w:rsidR="003607B7" w:rsidRDefault="00877CD8">
      <w:pPr>
        <w:spacing w:after="80"/>
      </w:pPr>
      <w:r>
        <w:rPr>
          <w:b/>
          <w:color w:val="007F7A"/>
        </w:rPr>
        <w:t xml:space="preserve">Evidence that raises confidence: </w:t>
      </w:r>
      <w:r>
        <w:t>Ecoverse creates a customer-visible advantage on the selected job that is hard to match without meaningful data, workflow or distribution changes.</w:t>
      </w:r>
    </w:p>
    <w:p ns2:paraId="0DEB5834" ns2:textId="77777777" w:rsidR="003607B7" w:rsidRDefault="00877CD8">
      <w:pPr>
        <w:spacing w:after="80"/>
      </w:pPr>
      <w:r>
        <w:rPr>
          <w:b/>
          <w:color w:val="007F7A"/>
        </w:rPr>
        <w:t xml:space="preserve">Evidence that changes our mind: </w:t>
      </w:r>
      <w:r>
        <w:t>The outcome can be matched through straightforward integration or packaging, or customers do not value the difference enough to switch/pay.</w:t>
      </w:r>
    </w:p>
    <w:p>
      <w:pPr>
        <w:pStyle w:val="Heading1"/>
      </w:pPr>
      <w:r>
        <w:t xml:space="preserve">Assumption 7: We know who this is for — internal IT, not the MSP proposition repositioned</w:t>
      </w:r>
    </w:p>
    <w:p>
      <w:r>
        <w:rPr>
          <w:b/>
          <w:bCs/>
          <w:color w:val="9C4234"/>
        </w:rPr>
        <w:t>NEW — named in the deck, not yet tested</w:t>
      </w:r>
    </w:p>
    <w:p>
      <w:pPr>
        <w:pStyle w:val="Heading2"/>
      </w:pPr>
      <w:r>
        <w:t xml:space="preserve">What the newer evidence tells us</w:t>
      </w:r>
    </w:p>
    <w:p>
      <w:pPr>
        <w:pStyle w:val="ListBullet"/>
      </w:pPr>
      <w:r>
        <w:t xml:space="preserve">The working strategy deck names Phase 1 as internal IT in 100–299 FTE organisations under roughly 1,000 endpoints. That is a clear statement of intent and the first time the target has been written down this precisely.</w:t>
      </w:r>
    </w:p>
    <w:p>
      <w:pPr>
        <w:pStyle w:val="ListBullet"/>
      </w:pPr>
      <w:r>
        <w:t xml:space="preserve">Interview evidence says the naming matters: internal IT buyers actively dislike MSP-oriented positioning, and product names carrying "MSP" discourage them. Internal evidence, participant data.</w:t>
      </w:r>
    </w:p>
    <w:p>
      <w:pPr>
        <w:pStyle w:val="ListBullet"/>
      </w:pPr>
      <w:r>
        <w:t xml:space="preserve">Interview evidence also says internal IT environments are more standardised than MSP environments, which makes bounded automation easier to get right in this segment than in the one we know best.</w:t>
      </w:r>
    </w:p>
    <w:p>
      <w:pPr>
        <w:pStyle w:val="ListBullet"/>
      </w:pPr>
      <w:r>
        <w:t xml:space="preserve">Gartner names an anti-qualifier for this category that we have not written down anywhere: organisations with rigid change control and very low tolerance for potential impact get less value from tools with advanced automation. Licensed source, paraphrased.</w:t>
      </w:r>
    </w:p>
    <w:p>
      <w:pPr>
        <w:pStyle w:val="Heading2"/>
      </w:pPr>
      <w:r>
        <w:t xml:space="preserve">What remains unproven</w:t>
      </w:r>
    </w:p>
    <w:p>
      <w:pPr>
        <w:pStyle w:val="ListBullet"/>
      </w:pPr>
      <w:r>
        <w:t xml:space="preserve">Whether Phase 1 is a new segment or a re-description of the existing Classic N-sight base. These have different economics and different test designs.</w:t>
      </w:r>
    </w:p>
    <w:p>
      <w:pPr>
        <w:pStyle w:val="ListBullet"/>
      </w:pPr>
      <w:r>
        <w:t xml:space="preserve">Whether the compliance pressure that makes this segment attractive selects for the change-control profile Gartner says gets least value from us. This is the least resolved question in the document.</w:t>
      </w:r>
    </w:p>
    <w:p>
      <w:pPr>
        <w:pStyle w:val="ListBullet"/>
      </w:pPr>
      <w:r>
        <w:t xml:space="preserve">Whether the IT Pro buyer and the MSP buyer can be served by one product surface, or whether they diverge at onboarding, packaging and language.</w:t>
      </w:r>
    </w:p>
    <w:p>
      <w:pPr>
        <w:pStyle w:val="Heading2"/>
      </w:pPr>
      <w:r>
        <w:t xml:space="preserve">Primary test</w:t>
      </w:r>
    </w:p>
    <w:p>
      <w:r>
        <w:t xml:space="preserve">Segment the existing install base against the stated Phase 1 band before running any new research, then split the Assumption 1 concept test by change-control tolerance rather than by estate size alone. Recruit half the sample from organisations with a formal change-approval process and half without, and compare which concept they choose and at which autonomy level.</w:t>
      </w:r>
    </w:p>
    <w:p>
      <w:r>
        <w:rPr>
          <w:b/>
          <w:bCs/>
        </w:rPr>
        <w:t xml:space="preserve">Evidence that raises confidence: </w:t>
      </w:r>
      <w:r>
        <w:t xml:space="preserve">The two change-control groups choose the same concept and differ only on autonomy level, which means one product with a policy setting. And a defined slice of the install base matches the stated band.</w:t>
      </w:r>
    </w:p>
    <w:p>
      <w:r>
        <w:rPr>
          <w:b/>
          <w:bCs/>
        </w:rPr>
        <w:t xml:space="preserve">Evidence that changes our mind: </w:t>
      </w:r>
      <w:r>
        <w:t xml:space="preserve">The groups choose different concepts, or the regulated group rejects automation at every autonomy level — in which case compliance is a message that attracts the wrong buyer and the ICP needs restating.</w:t>
      </w:r>
    </w:p>
    <w:p>
      <w:pPr>
        <w:pStyle w:val="Heading1"/>
      </w:pPr>
      <w:r>
        <w:t xml:space="preserve">Assumption 8: We can ship an onboarding experience good enough to carry a self-serve trial in Phase 1</w:t>
      </w:r>
    </w:p>
    <w:p>
      <w:r>
        <w:rPr>
          <w:b/>
          <w:bCs/>
          <w:color w:val="9C4234"/>
        </w:rPr>
        <w:t>CRITICAL — nothing in the reviewed material indicates we can</w:t>
      </w:r>
    </w:p>
    <w:p>
      <w:pPr>
        <w:pStyle w:val="Heading2"/>
      </w:pPr>
      <w:r>
        <w:t xml:space="preserve">What the newer evidence tells us</w:t>
      </w:r>
    </w:p>
    <w:p>
      <w:pPr>
        <w:pStyle w:val="ListBullet"/>
      </w:pPr>
      <w:r>
        <w:t xml:space="preserve">The strategy deck's own trial-experience slide lists eleven items, </w:t>
      </w:r>
      <w:r>
        <w:rPr>
          <w:b/>
          <w:bCs/>
        </w:rPr>
        <w:t xml:space="preserve">nine of them "Not started"</w:t>
      </w:r>
      <w:r>
        <w:t xml:space="preserve">. The Phase 1 gate assumes a trial; the trial work has not begun.</w:t>
      </w:r>
    </w:p>
    <w:p>
      <w:pPr>
        <w:pStyle w:val="ListBullet"/>
      </w:pPr>
      <w:r>
        <w:t xml:space="preserve">Simplicity is the differentiator named most often in the interviews, and onboarding is where simplicity is either demonstrated or lost. One participant described a competitor as "easier to use and way more shiny" and another described an incumbent as convoluted and spread across multiple consoles. Internal evidence, participant data.</w:t>
      </w:r>
    </w:p>
    <w:p>
      <w:pPr>
        <w:pStyle w:val="ListBullet"/>
      </w:pPr>
      <w:r>
        <w:t xml:space="preserve">Nothing in the internal or external evidence reviewed establishes that we can build a good onboarding experience for this buyer. The assumption is written down now because it was not written down before.</w:t>
      </w:r>
    </w:p>
    <w:p>
      <w:pPr>
        <w:pStyle w:val="Heading2"/>
      </w:pPr>
      <w:r>
        <w:t xml:space="preserve">What remains unproven</w:t>
      </w:r>
    </w:p>
    <w:p>
      <w:pPr>
        <w:pStyle w:val="ListBullet"/>
      </w:pPr>
      <w:r>
        <w:t xml:space="preserve">What time-to-first-value target the trial has to hit, and whether anyone has set one.</w:t>
      </w:r>
    </w:p>
    <w:p>
      <w:pPr>
        <w:pStyle w:val="ListBullet"/>
      </w:pPr>
      <w:r>
        <w:t xml:space="preserve">Whether unattended onboarding is possible at all when the first step is agent deployment across an estate we do not yet manage.</w:t>
      </w:r>
    </w:p>
    <w:p>
      <w:pPr>
        <w:pStyle w:val="ListBullet"/>
      </w:pPr>
      <w:r>
        <w:t xml:space="preserve">Whether the Phase 1 trial is a shipping commitment or a decision gate. The deck reads both ways, and the answer decides whether this is a design problem or a scope problem.</w:t>
      </w:r>
    </w:p>
    <w:p>
      <w:pPr>
        <w:pStyle w:val="Heading2"/>
      </w:pPr>
      <w:r>
        <w:t xml:space="preserve">Primary test</w:t>
      </w:r>
    </w:p>
    <w:p>
      <w:r>
        <w:t xml:space="preserve">Set an explicit time-to-first-value target, then run five unattended first-run sessions against it with participants from the Phase 1 band and no assistance of any kind — no call, no onboarding email, no screen-share. Record where they stop rather than whether they liked it.</w:t>
      </w:r>
    </w:p>
    <w:p>
      <w:r>
        <w:rPr>
          <w:b/>
          <w:bCs/>
        </w:rPr>
        <w:t xml:space="preserve">Evidence that raises confidence: </w:t>
      </w:r>
      <w:r>
        <w:t xml:space="preserve">A majority reach first value inside the target unaided, and the points where they stall are design problems rather than missing capability.</w:t>
      </w:r>
    </w:p>
    <w:p>
      <w:r>
        <w:rPr>
          <w:b/>
          <w:bCs/>
        </w:rPr>
        <w:t xml:space="preserve">Evidence that changes our mind: </w:t>
      </w:r>
      <w:r>
        <w:t xml:space="preserve">Participants cannot deploy the agent unaided, or first value depends on a conversation with us — in which case self-serve trial is not the Phase 1 motion and the gate should change rather than the target.</w:t>
      </w:r>
    </w:p>
    <w:p>
      <w:pPr>
        <w:pStyle w:val="Heading1"/>
      </w:pPr>
      <w:r>
        <w:t xml:space="preserve">Assumption 9: We know the ICP unit — we can convert between headcount and endpoints for our own band</w:t>
      </w:r>
    </w:p>
    <w:p>
      <w:r>
        <w:rPr>
          <w:b/>
          <w:bCs/>
          <w:color w:val="9C4234"/>
        </w:rPr>
        <w:t>MEDIUM — cheapest assumption in this document to resolve</w:t>
      </w:r>
    </w:p>
    <w:p>
      <w:pPr>
        <w:pStyle w:val="Heading2"/>
      </w:pPr>
      <w:r>
        <w:t xml:space="preserve">What the newer evidence tells us</w:t>
      </w:r>
    </w:p>
    <w:p>
      <w:pPr>
        <w:pStyle w:val="ListBullet"/>
      </w:pPr>
      <w:r>
        <w:t xml:space="preserve">The deck expresses the ICP in three different units across its slides, and one slide comment records that whether the band is FTE or devices is still being confirmed. This is a definitional gap, not a research gap.</w:t>
      </w:r>
    </w:p>
    <w:p>
      <w:pPr>
        <w:pStyle w:val="ListBullet"/>
      </w:pPr>
      <w:r>
        <w:t xml:space="preserve">There is no free public benchmark for endpoints per organisation. </w:t>
      </w:r>
      <w:hyperlink r:id="rId33">
        <w:r>
          <w:rPr>
            <w:rStyle w:val="Hyperlink"/>
          </w:rPr>
          <w:t xml:space="preserve">Computer Economics IT Staffing Ratios</w:t>
        </w:r>
      </w:hyperlink>
      <w:r>
        <w:t xml:space="preserve"> was fetched and confirmed paywalled with zero figures disclosed publicly; every free-web figure traces back to it through aggregators that contradict each other by a factor of two.</w:t>
      </w:r>
    </w:p>
    <w:p>
      <w:pPr>
        <w:pStyle w:val="ListBullet"/>
      </w:pPr>
      <w:r>
        <w:t xml:space="preserve">One publisher does hold the figure. </w:t>
      </w:r>
      <w:hyperlink r:id="rId32">
        <w:r>
          <w:rPr>
            <w:rStyle w:val="Hyperlink"/>
          </w:rPr>
          <w:t xml:space="preserve">Mordor Intelligence</w:t>
        </w:r>
      </w:hyperlink>
      <w:r>
        <w:t xml:space="preserve"> names "average devices per employee" as an input to its disclosed sizing formula, which makes it a targeted purchase rather than a generic report buy. N-able's own install base is a better source, because it is our customers rather than a global average.</w:t>
      </w:r>
    </w:p>
    <w:p>
      <w:pPr>
        <w:pStyle w:val="Heading2"/>
      </w:pPr>
      <w:r>
        <w:t xml:space="preserve">What remains unproven</w:t>
      </w:r>
    </w:p>
    <w:p>
      <w:pPr>
        <w:pStyle w:val="ListBullet"/>
      </w:pPr>
      <w:r>
        <w:t xml:space="preserve">The ratio for our band, in our geographies.</w:t>
      </w:r>
    </w:p>
    <w:p>
      <w:pPr>
        <w:pStyle w:val="ListBullet"/>
      </w:pPr>
      <w:r>
        <w:t xml:space="preserve">Whether the ratio differs enough by geography or vertical to change the ICP definition.</w:t>
      </w:r>
    </w:p>
    <w:p>
      <w:pPr>
        <w:pStyle w:val="ListBullet"/>
      </w:pPr>
      <w:r>
        <w:t xml:space="preserve">Whether the deck's FTE band and endpoint band describe the same population.</w:t>
      </w:r>
    </w:p>
    <w:p>
      <w:pPr>
        <w:pStyle w:val="Heading2"/>
      </w:pPr>
      <w:r>
        <w:t xml:space="preserve">Primary test</w:t>
      </w:r>
    </w:p>
    <w:p>
      <w:r>
        <w:t xml:space="preserve">Query the install base. Return endpoints per organisation for customers inside the stated band, broken by region and vertical, with the distribution rather than the mean. This is an internal data request, not a research study, and it unblocks both the sizing model and the pricing test under Assumption 5.</w:t>
      </w:r>
    </w:p>
    <w:p>
      <w:r>
        <w:rPr>
          <w:b/>
          <w:bCs/>
        </w:rPr>
        <w:t xml:space="preserve">Evidence that raises confidence: </w:t>
      </w:r>
      <w:r>
        <w:t xml:space="preserve">The distribution is tight enough that one ICP statement covers the band, and the FTE and endpoint expressions of the ICP resolve to the same population.</w:t>
      </w:r>
    </w:p>
    <w:p>
      <w:r>
        <w:rPr>
          <w:b/>
          <w:bCs/>
        </w:rPr>
        <w:t xml:space="preserve">Evidence that changes our mind: </w:t>
      </w:r>
      <w:r>
        <w:t xml:space="preserve">The distribution is bimodal or geography-dependent, meaning the ICP is two segments wearing one label and the pricing test needs two packages.</w:t>
      </w:r>
    </w:p>
    <w:p>
      <w:pPr>
        <w:pStyle w:val="Heading1"/>
      </w:pPr>
      <w:r>
        <w:t xml:space="preserve">Assumption 10: We can reach this buyer, convince them, and prove it</w:t>
      </w:r>
    </w:p>
    <w:p>
      <w:r>
        <w:rPr>
          <w:b/>
          <w:bCs/>
          <w:color w:val="9C4234"/>
        </w:rPr>
        <w:t>CRITICAL — the constraint Gartner names and the deck does not</w:t>
      </w:r>
    </w:p>
    <w:p>
      <w:pPr>
        <w:pStyle w:val="Heading2"/>
      </w:pPr>
      <w:r>
        <w:t xml:space="preserve">What the newer evidence tells us</w:t>
      </w:r>
    </w:p>
    <w:p>
      <w:pPr>
        <w:pStyle w:val="ListBullet"/>
      </w:pPr>
      <w:r>
        <w:t xml:space="preserve">Gartner's inaugural Endpoint Management Tools Magic Quadrant places N-able as a Niche Player and names innovation as a strength: AI for monitoring, threat detection, forecasting and autonomous remediation, agentic frameworks and generative scripting. Its cautions are all commercial — a sales strategy not differentiated by vertical or role, low enterprise awareness, and few published reference accounts and case studies. Licensed source, paraphrased.</w:t>
      </w:r>
    </w:p>
    <w:p>
      <w:pPr>
        <w:pStyle w:val="ListBullet"/>
      </w:pPr>
      <w:r>
        <w:t xml:space="preserve">Gartner expects adoption of autonomous endpoint management to move from a small minority of organisations in 2026 to more than half by 2029. That figure is in our licensed copy and should be cited internally from the document ID, never from the secondary web pages that have re-quoted it without attribution.</w:t>
      </w:r>
    </w:p>
    <w:p>
      <w:pPr>
        <w:pStyle w:val="ListBullet"/>
      </w:pPr>
      <w:r>
        <w:t xml:space="preserve">We have share where we are known. Canalys puts N-able ahead of NinjaOne in the MSP software market — </w:t>
      </w:r>
      <w:hyperlink r:id="rId26">
        <w:r>
          <w:rPr>
            <w:rStyle w:val="Hyperlink"/>
          </w:rPr>
          <w:t xml:space="preserve">reported via ChannelE2E</w:t>
        </w:r>
      </w:hyperlink>
      <w:r>
        <w:t xml:space="preserve"> — a market the Magic Quadrant does not measure. Directional only; see the caveats in the concept section.</w:t>
      </w:r>
    </w:p>
    <w:p>
      <w:pPr>
        <w:pStyle w:val="ListBullet"/>
      </w:pPr>
      <w:r>
        <w:t xml:space="preserve">Buyers eliminate on proof, not price: security or compliance gaps remove 55% of shortlisted vendors, and median time to prove ROI is 8.75 months — </w:t>
      </w:r>
      <w:hyperlink r:id="rId31">
        <w:r>
          <w:rPr>
            <w:rStyle w:val="Hyperlink"/>
          </w:rPr>
          <w:t xml:space="preserve">G2 Digital Markets, State of Software Buying 2026</w:t>
        </w:r>
      </w:hyperlink>
      <w:r>
        <w:t xml:space="preserve">.</w:t>
      </w:r>
    </w:p>
    <w:p>
      <w:pPr>
        <w:pStyle w:val="Heading2"/>
      </w:pPr>
      <w:r>
        <w:t xml:space="preserve">What remains unproven</w:t>
      </w:r>
    </w:p>
    <w:p>
      <w:pPr>
        <w:pStyle w:val="ListBullet"/>
      </w:pPr>
      <w:r>
        <w:t xml:space="preserve">Whether an internal-IT motion can be built on a sales organisation shaped for the MSP channel.</w:t>
      </w:r>
    </w:p>
    <w:p>
      <w:pPr>
        <w:pStyle w:val="ListBullet"/>
      </w:pPr>
      <w:r>
        <w:t xml:space="preserve">How much published customer proof is enough, and how quickly we could produce any.</w:t>
      </w:r>
    </w:p>
    <w:p>
      <w:pPr>
        <w:pStyle w:val="ListBullet"/>
      </w:pPr>
      <w:r>
        <w:t xml:space="preserve">Whether a compliance-led message reaches this buyer at all, or whether the effort-reduction message is the one that lands.</w:t>
      </w:r>
    </w:p>
    <w:p>
      <w:pPr>
        <w:pStyle w:val="ListBullet"/>
      </w:pPr>
      <w:r>
        <w:t xml:space="preserve">Whether the Ecoverse name and packaging read as internal-IT or as MSP tooling to someone seeing it for the first time.</w:t>
      </w:r>
    </w:p>
    <w:p>
      <w:pPr>
        <w:pStyle w:val="Heading2"/>
      </w:pPr>
      <w:r>
        <w:t xml:space="preserve">Primary test</w:t>
      </w:r>
    </w:p>
    <w:p>
      <w:r>
        <w:t xml:space="preserve">Two activities, both cheap. First, a message test of the two positioning statements in the concept section against the Phase 1 band, forced choice, measuring which one they would forward to a colleague and why. Second, an internal count: how many published, named reference accounts in the target band could we produce in ninety days if we started now. The second one is an audit rather than research, and it sets a ceiling on everything else.</w:t>
      </w:r>
    </w:p>
    <w:p>
      <w:r>
        <w:rPr>
          <w:b/>
          <w:bCs/>
        </w:rPr>
        <w:t xml:space="preserve">Evidence that raises confidence: </w:t>
      </w:r>
      <w:r>
        <w:t xml:space="preserve">One statement wins clearly and for the stated reason rather than on tone, and the reference-account count is high enough to support a launch claim.</w:t>
      </w:r>
    </w:p>
    <w:p>
      <w:r>
        <w:rPr>
          <w:b/>
          <w:bCs/>
        </w:rPr>
        <w:t xml:space="preserve">Evidence that changes our mind: </w:t>
      </w:r>
      <w:r>
        <w:t xml:space="preserve">Both statements land equally, which means neither carries a differentiated message; or the reference-account count is near zero, in which case proof is the critical path and product work is not.</w:t>
      </w:r>
    </w:p>
    <w:p ns2:paraId="0A37501D" ns2:textId="77777777" w:rsidR="003607B7" w:rsidRDefault="00877CD8">
      <w:r>
        <w:br w:type="page"/>
      </w:r>
    </w:p>
    <w:p ns2:paraId="6C9743DB" ns2:textId="77777777" w:rsidR="003607B7" w:rsidRDefault="00877CD8">
      <w:pPr>
        <w:pStyle w:val="Title"/>
      </w:pPr>
      <w:r>
        <w:t>Recommended test plan</w:t>
      </w:r>
    </w:p>
    <w:p ns2:paraId="628D4674" ns2:textId="0DB572FB" w:rsidR="003607B7" w:rsidRDefault="00877CD8">
      <w:r>
        <w:t>A practical sequence that converts the latest interviews into decisions. Discovery continues, but each activity below has a defined assumption and decision output.</w:t>
      </w:r>
    </w:p>
    <w:tbl>
      <w:tblPr>
        <w:tblStyle w:val="TableGrid"/>
        <w:tblW w:w="0" w:type="auto"/>
        <w:tblLook w:val="04A0" w:firstRow="1" w:lastRow="0" w:firstColumn="1" w:lastColumn="0" w:noHBand="0" w:noVBand="1"/>
      </w:tblPr>
      <w:tblGrid>
        <w:gridCol w:w="609"/>
        <w:gridCol w:w="1828"/>
        <w:gridCol w:w="1220"/>
        <w:gridCol w:w="3657"/>
        <w:gridCol w:w="2842"/>
      </w:tblGrid>
      <w:tr w:rsidR="3E615C19" ns2:paraId="378EB765" ns2:textId="77777777" w:rsidTr="3E615C19">
        <w:tc>
          <w:tcPr>
            <w:tcW w:w="610" w:type="dxa"/>
            <w:shd w:val="clear" w:color="auto" w:fill="006C68"/>
          </w:tcPr>
          <w:p ns2:paraId="5C11DEEC" ns2:textId="45187A53" w:rsidR="3E615C19" w:rsidRDefault="3E615C19" w:rsidP="3E615C19">
            <w:r w:rsidRPr="3E615C19">
              <w:rPr>
                <w:b/>
                <w:bCs/>
                <w:color w:val="FFFFFF" w:themeColor="background1"/>
                <w:sz w:val="15"/>
                <w:szCs w:val="15"/>
              </w:rPr>
              <w:t>#</w:t>
            </w:r>
          </w:p>
        </w:tc>
        <w:tc>
          <w:tcPr>
            <w:tcW w:w="1830" w:type="dxa"/>
            <w:shd w:val="clear" w:color="auto" w:fill="006C68"/>
          </w:tcPr>
          <w:p ns2:paraId="086140D9" ns2:textId="2769465B" w:rsidR="3E615C19" w:rsidRDefault="3E615C19" w:rsidP="3E615C19">
            <w:r w:rsidRPr="3E615C19">
              <w:rPr>
                <w:b/>
                <w:bCs/>
                <w:color w:val="FFFFFF" w:themeColor="background1"/>
                <w:sz w:val="15"/>
                <w:szCs w:val="15"/>
              </w:rPr>
              <w:t>Workstream</w:t>
            </w:r>
          </w:p>
        </w:tc>
        <w:tc>
          <w:tcPr>
            <w:tcW w:w="1220" w:type="dxa"/>
            <w:shd w:val="clear" w:color="auto" w:fill="006C68"/>
          </w:tcPr>
          <w:p ns2:paraId="022C3D59" ns2:textId="46DFFD49" w:rsidR="3E615C19" w:rsidRDefault="3E615C19" w:rsidP="3E615C19">
            <w:r w:rsidRPr="3E615C19">
              <w:rPr>
                <w:b/>
                <w:bCs/>
                <w:color w:val="FFFFFF" w:themeColor="background1"/>
                <w:sz w:val="15"/>
                <w:szCs w:val="15"/>
              </w:rPr>
              <w:t>Assumptions</w:t>
            </w:r>
          </w:p>
        </w:tc>
        <w:tc>
          <w:tcPr>
            <w:tcW w:w="3660" w:type="dxa"/>
            <w:shd w:val="clear" w:color="auto" w:fill="006C68"/>
          </w:tcPr>
          <w:p ns2:paraId="27275F99" ns2:textId="08A0F228" w:rsidR="3E615C19" w:rsidRDefault="3E615C19" w:rsidP="3E615C19">
            <w:r w:rsidRPr="3E615C19">
              <w:rPr>
                <w:b/>
                <w:bCs/>
                <w:color w:val="FFFFFF" w:themeColor="background1"/>
                <w:sz w:val="15"/>
                <w:szCs w:val="15"/>
              </w:rPr>
              <w:t>Method</w:t>
            </w:r>
          </w:p>
        </w:tc>
        <w:tc>
          <w:tcPr>
            <w:tcW w:w="2846" w:type="dxa"/>
            <w:shd w:val="clear" w:color="auto" w:fill="006C68"/>
          </w:tcPr>
          <w:p ns2:paraId="0F23B8FE" ns2:textId="51BD696F" w:rsidR="3E615C19" w:rsidRDefault="3E615C19" w:rsidP="3E615C19">
            <w:r w:rsidRPr="3E615C19">
              <w:rPr>
                <w:b/>
                <w:bCs/>
                <w:color w:val="FFFFFF" w:themeColor="background1"/>
                <w:sz w:val="15"/>
                <w:szCs w:val="15"/>
              </w:rPr>
              <w:t>Decision output</w:t>
            </w:r>
          </w:p>
        </w:tc>
      </w:tr>
      <w:tr w:rsidR="3E615C19" ns2:paraId="1772D21E" ns2:textId="77777777" w:rsidTr="3E615C19">
        <w:tc>
          <w:tcPr>
            <w:tcW w:w="610" w:type="dxa"/>
          </w:tcPr>
          <w:p ns2:paraId="5F56B871" ns2:textId="55713C26" w:rsidR="3E615C19" w:rsidRDefault="3E615C19" w:rsidP="3E615C19">
            <w:pPr>
              <w:jc w:val="center"/>
            </w:pPr>
            <w:r w:rsidRPr="3E615C19">
              <w:rPr>
                <w:sz w:val="15"/>
                <w:szCs w:val="15"/>
              </w:rPr>
              <w:t>1</w:t>
            </w:r>
          </w:p>
        </w:tc>
        <w:tc>
          <w:tcPr>
            <w:tcW w:w="1830" w:type="dxa"/>
          </w:tcPr>
          <w:p ns2:paraId="30DDFB84" ns2:textId="07D5EB36" w:rsidR="3E615C19" w:rsidRDefault="3E615C19" w:rsidP="3E615C19">
            <w:r w:rsidRPr="3E615C19">
              <w:rPr>
                <w:sz w:val="15"/>
                <w:szCs w:val="15"/>
              </w:rPr>
              <w:t>Evidence inventory and coding</w:t>
            </w:r>
          </w:p>
        </w:tc>
        <w:tc>
          <w:tcPr>
            <w:tcW w:w="1220" w:type="dxa"/>
          </w:tcPr>
          <w:p ns2:paraId="197D474F" ns2:textId="2845C099" w:rsidR="3E615C19" w:rsidRDefault="3E615C19" w:rsidP="3E615C19">
            <w:pPr>
              <w:jc w:val="center"/>
            </w:pPr>
            <w:r w:rsidRPr="3E615C19">
              <w:rPr>
                <w:sz w:val="15"/>
                <w:szCs w:val="15"/>
              </w:rPr>
              <w:t>1, 2, 4, 5</w:t>
            </w:r>
          </w:p>
        </w:tc>
        <w:tc>
          <w:tcPr>
            <w:tcW w:w="3660" w:type="dxa"/>
          </w:tcPr>
          <w:p ns2:paraId="39A8F1A8" ns2:textId="5E2DD85B" w:rsidR="3E615C19" w:rsidRDefault="3E615C19" w:rsidP="3E615C19">
            <w:r w:rsidRPr="3E615C19">
              <w:rPr>
                <w:sz w:val="15"/>
                <w:szCs w:val="15"/>
              </w:rPr>
              <w:t>Code completed interviews, sales/SE evidence, RFPs and win/loss material against the six assumptions. Separate direct customer evidence, field observation and interpretation.</w:t>
            </w:r>
          </w:p>
        </w:tc>
        <w:tc>
          <w:tcPr>
            <w:tcW w:w="2846" w:type="dxa"/>
          </w:tcPr>
          <w:p ns2:paraId="1123566E" ns2:textId="6428A06E" w:rsidR="3E615C19" w:rsidRDefault="3E615C19" w:rsidP="3E615C19">
            <w:r w:rsidRPr="3E615C19">
              <w:rPr>
                <w:sz w:val="15"/>
                <w:szCs w:val="15"/>
              </w:rPr>
              <w:t>Evidence matrix; contradictory evidence log; gaps by segment.</w:t>
            </w:r>
          </w:p>
        </w:tc>
      </w:tr>
      <w:tr w:rsidR="3E615C19" ns2:paraId="0F1E1AE9" ns2:textId="77777777" w:rsidTr="3E615C19">
        <w:tc>
          <w:tcPr>
            <w:tcW w:w="610" w:type="dxa"/>
          </w:tcPr>
          <w:p ns2:paraId="5BB5407B" ns2:textId="116DD6A0" w:rsidR="3E615C19" w:rsidRDefault="3E615C19" w:rsidP="3E615C19">
            <w:pPr>
              <w:jc w:val="center"/>
            </w:pPr>
            <w:r w:rsidRPr="3E615C19">
              <w:rPr>
                <w:sz w:val="15"/>
                <w:szCs w:val="15"/>
              </w:rPr>
              <w:t>2</w:t>
            </w:r>
          </w:p>
        </w:tc>
        <w:tc>
          <w:tcPr>
            <w:tcW w:w="1830" w:type="dxa"/>
          </w:tcPr>
          <w:p ns2:paraId="767E2F03" ns2:textId="7633E342" w:rsidR="3E615C19" w:rsidRDefault="3E615C19" w:rsidP="3E615C19">
            <w:r w:rsidRPr="3E615C19">
              <w:rPr>
                <w:sz w:val="15"/>
                <w:szCs w:val="15"/>
              </w:rPr>
              <w:t>Wedge and proposition test</w:t>
            </w:r>
          </w:p>
        </w:tc>
        <w:tc>
          <w:tcPr>
            <w:tcW w:w="1220" w:type="dxa"/>
          </w:tcPr>
          <w:p ns2:paraId="79BAFF5F" ns2:textId="626415F0" w:rsidR="3E615C19" w:rsidRDefault="3E615C19" w:rsidP="3E615C19">
            <w:pPr>
              <w:jc w:val="center"/>
            </w:pPr>
            <w:r w:rsidRPr="3E615C19">
              <w:rPr>
                <w:sz w:val="15"/>
                <w:szCs w:val="15"/>
              </w:rPr>
              <w:t>1, 2, 6</w:t>
            </w:r>
          </w:p>
        </w:tc>
        <w:tc>
          <w:tcPr>
            <w:tcW w:w="3660" w:type="dxa"/>
          </w:tcPr>
          <w:p ns2:paraId="18C4F703" ns2:textId="2739D007" w:rsidR="3E615C19" w:rsidRDefault="3E615C19" w:rsidP="3E615C19">
            <w:r w:rsidRPr="3E615C19">
              <w:rPr>
                <w:sz w:val="15"/>
                <w:szCs w:val="15"/>
              </w:rPr>
              <w:t>Test three focused concepts with IT Pro participants, including a realistic current-state alternative. Start broad, then reveal concepts to avoid leading discovery.</w:t>
            </w:r>
          </w:p>
        </w:tc>
        <w:tc>
          <w:tcPr>
            <w:tcW w:w="2846" w:type="dxa"/>
          </w:tcPr>
          <w:p ns2:paraId="0B4A579D" ns2:textId="673D60C5" w:rsidR="3E615C19" w:rsidRDefault="3E615C19" w:rsidP="3E615C19">
            <w:r w:rsidRPr="3E615C19">
              <w:rPr>
                <w:sz w:val="15"/>
                <w:szCs w:val="15"/>
              </w:rPr>
              <w:t>Preferred job/outcome, trigger, incumbent/add-on path and differentiated value.</w:t>
            </w:r>
          </w:p>
        </w:tc>
      </w:tr>
      <w:tr w:rsidR="3E615C19" ns2:paraId="44D0B2DF" ns2:textId="77777777" w:rsidTr="3E615C19">
        <w:tc>
          <w:tcPr>
            <w:tcW w:w="610" w:type="dxa"/>
          </w:tcPr>
          <w:p ns2:paraId="7E37B98C" ns2:textId="384A58EF" w:rsidR="3E615C19" w:rsidRDefault="3E615C19" w:rsidP="3E615C19">
            <w:pPr>
              <w:jc w:val="center"/>
            </w:pPr>
            <w:r w:rsidRPr="3E615C19">
              <w:rPr>
                <w:sz w:val="15"/>
                <w:szCs w:val="15"/>
              </w:rPr>
              <w:t>3</w:t>
            </w:r>
          </w:p>
        </w:tc>
        <w:tc>
          <w:tcPr>
            <w:tcW w:w="1830" w:type="dxa"/>
          </w:tcPr>
          <w:p ns2:paraId="03494977" ns2:textId="5467581C" w:rsidR="3E615C19" w:rsidRDefault="3E615C19" w:rsidP="3E615C19">
            <w:r w:rsidRPr="3E615C19">
              <w:rPr>
                <w:sz w:val="15"/>
                <w:szCs w:val="15"/>
              </w:rPr>
              <w:t>Intune coexistence test</w:t>
            </w:r>
          </w:p>
        </w:tc>
        <w:tc>
          <w:tcPr>
            <w:tcW w:w="1220" w:type="dxa"/>
          </w:tcPr>
          <w:p ns2:paraId="7C927EE6" ns2:textId="31F5E655" w:rsidR="3E615C19" w:rsidRDefault="3E615C19" w:rsidP="3E615C19">
            <w:pPr>
              <w:jc w:val="center"/>
            </w:pPr>
            <w:r w:rsidRPr="3E615C19">
              <w:rPr>
                <w:sz w:val="15"/>
                <w:szCs w:val="15"/>
              </w:rPr>
              <w:t>2, 6</w:t>
            </w:r>
          </w:p>
        </w:tc>
        <w:tc>
          <w:tcPr>
            <w:tcW w:w="3660" w:type="dxa"/>
          </w:tcPr>
          <w:p ns2:paraId="2773B6CE" ns2:textId="3A60FBFC" w:rsidR="3E615C19" w:rsidRDefault="3E615C19" w:rsidP="3E615C19">
            <w:r w:rsidRPr="3E615C19">
              <w:rPr>
                <w:sz w:val="15"/>
                <w:szCs w:val="15"/>
              </w:rPr>
              <w:t>Compare replacement versus Intune-integrated add-on propositions with Microsoft-centric and non-Microsoft-centric environments.</w:t>
            </w:r>
          </w:p>
        </w:tc>
        <w:tc>
          <w:tcPr>
            <w:tcW w:w="2846" w:type="dxa"/>
          </w:tcPr>
          <w:p ns2:paraId="2B6FA3D4" ns2:textId="7180AA14" w:rsidR="3E615C19" w:rsidRDefault="3E615C19" w:rsidP="3E615C19">
            <w:r w:rsidRPr="3E615C19">
              <w:rPr>
                <w:sz w:val="15"/>
                <w:szCs w:val="15"/>
              </w:rPr>
              <w:t>Segmented rule for displace, coexist or de-prioritise.</w:t>
            </w:r>
          </w:p>
        </w:tc>
      </w:tr>
      <w:tr w:rsidR="3E615C19" ns2:paraId="73993086" ns2:textId="77777777" w:rsidTr="3E615C19">
        <w:tc>
          <w:tcPr>
            <w:tcW w:w="610" w:type="dxa"/>
          </w:tcPr>
          <w:p ns2:paraId="176A580C" ns2:textId="2CFD46B2" w:rsidR="3E615C19" w:rsidRDefault="3E615C19" w:rsidP="3E615C19">
            <w:pPr>
              <w:jc w:val="center"/>
            </w:pPr>
            <w:r w:rsidRPr="3E615C19">
              <w:rPr>
                <w:sz w:val="15"/>
                <w:szCs w:val="15"/>
              </w:rPr>
              <w:t>4</w:t>
            </w:r>
          </w:p>
        </w:tc>
        <w:tc>
          <w:tcPr>
            <w:tcW w:w="1830" w:type="dxa"/>
          </w:tcPr>
          <w:p ns2:paraId="18142BD2" ns2:textId="42471451" w:rsidR="3E615C19" w:rsidRDefault="3E615C19" w:rsidP="3E615C19">
            <w:r w:rsidRPr="3E615C19">
              <w:rPr>
                <w:sz w:val="15"/>
                <w:szCs w:val="15"/>
              </w:rPr>
              <w:t>Bounded workflow prototype</w:t>
            </w:r>
          </w:p>
        </w:tc>
        <w:tc>
          <w:tcPr>
            <w:tcW w:w="1220" w:type="dxa"/>
          </w:tcPr>
          <w:p ns2:paraId="4369A906" ns2:textId="580F0105" w:rsidR="3E615C19" w:rsidRDefault="3E615C19" w:rsidP="3E615C19">
            <w:pPr>
              <w:jc w:val="center"/>
            </w:pPr>
            <w:r w:rsidRPr="3E615C19">
              <w:rPr>
                <w:sz w:val="15"/>
                <w:szCs w:val="15"/>
              </w:rPr>
              <w:t>3, 4</w:t>
            </w:r>
          </w:p>
        </w:tc>
        <w:tc>
          <w:tcPr>
            <w:tcW w:w="3660" w:type="dxa"/>
          </w:tcPr>
          <w:p ns2:paraId="20838CA6" ns2:textId="46BD9565" w:rsidR="3E615C19" w:rsidRDefault="3E615C19" w:rsidP="3E615C19">
            <w:r w:rsidRPr="3E615C19">
              <w:rPr>
                <w:sz w:val="15"/>
                <w:szCs w:val="15"/>
              </w:rPr>
              <w:t>Prototype one end-to-end patch/vulnerability/compliance action with pre-check, approval, execution, result, exception handling and audit evidence.</w:t>
            </w:r>
          </w:p>
        </w:tc>
        <w:tc>
          <w:tcPr>
            <w:tcW w:w="2846" w:type="dxa"/>
          </w:tcPr>
          <w:p ns2:paraId="388517D4" ns2:textId="401EA4BC" w:rsidR="3E615C19" w:rsidRDefault="3E615C19" w:rsidP="3E615C19">
            <w:r w:rsidRPr="3E615C19">
              <w:rPr>
                <w:sz w:val="15"/>
                <w:szCs w:val="15"/>
              </w:rPr>
              <w:t>Reliability findings, trust boundary and product requirements.</w:t>
            </w:r>
          </w:p>
        </w:tc>
      </w:tr>
      <w:tr w:rsidR="3E615C19" ns2:paraId="50B78EA9" ns2:textId="77777777" w:rsidTr="3E615C19">
        <w:tc>
          <w:tcPr>
            <w:tcW w:w="610" w:type="dxa"/>
          </w:tcPr>
          <w:p ns2:paraId="1DDD24B1" ns2:textId="45041B69" w:rsidR="3E615C19" w:rsidRDefault="3E615C19" w:rsidP="3E615C19">
            <w:pPr>
              <w:jc w:val="center"/>
            </w:pPr>
            <w:r w:rsidRPr="3E615C19">
              <w:rPr>
                <w:sz w:val="15"/>
                <w:szCs w:val="15"/>
              </w:rPr>
              <w:t>5</w:t>
            </w:r>
          </w:p>
        </w:tc>
        <w:tc>
          <w:tcPr>
            <w:tcW w:w="1830" w:type="dxa"/>
          </w:tcPr>
          <w:p ns2:paraId="4F0F42F5" ns2:textId="5EF9E92D" w:rsidR="3E615C19" w:rsidRDefault="3E615C19" w:rsidP="3E615C19">
            <w:r w:rsidRPr="3E615C19">
              <w:rPr>
                <w:sz w:val="15"/>
                <w:szCs w:val="15"/>
              </w:rPr>
              <w:t>Commercial test</w:t>
            </w:r>
          </w:p>
        </w:tc>
        <w:tc>
          <w:tcPr>
            <w:tcW w:w="1220" w:type="dxa"/>
          </w:tcPr>
          <w:p ns2:paraId="0990429E" ns2:textId="28EFCC2E" w:rsidR="3E615C19" w:rsidRDefault="3E615C19" w:rsidP="3E615C19">
            <w:pPr>
              <w:jc w:val="center"/>
            </w:pPr>
            <w:r w:rsidRPr="3E615C19">
              <w:rPr>
                <w:sz w:val="15"/>
                <w:szCs w:val="15"/>
              </w:rPr>
              <w:t>2, 5</w:t>
            </w:r>
          </w:p>
        </w:tc>
        <w:tc>
          <w:tcPr>
            <w:tcW w:w="3660" w:type="dxa"/>
          </w:tcPr>
          <w:p ns2:paraId="55B2C426" ns2:textId="51E8B1C5" w:rsidR="3E615C19" w:rsidRDefault="3E615C19" w:rsidP="3E615C19">
            <w:r w:rsidRPr="3E615C19">
              <w:rPr>
                <w:sz w:val="15"/>
                <w:szCs w:val="15"/>
              </w:rPr>
              <w:t>Test package and price against the winning wedge, with current spend, budget source, buyer, procurement path and acceptable price range.</w:t>
            </w:r>
          </w:p>
        </w:tc>
        <w:tc>
          <w:tcPr>
            <w:tcW w:w="2846" w:type="dxa"/>
          </w:tcPr>
          <w:p ns2:paraId="28D6E456" ns2:textId="2248052C" w:rsidR="3E615C19" w:rsidRDefault="3E615C19" w:rsidP="3E615C19">
            <w:r w:rsidRPr="3E615C19">
              <w:rPr>
                <w:sz w:val="15"/>
                <w:szCs w:val="15"/>
              </w:rPr>
              <w:t>Preliminary willingness-to-pay and unit-economics case.</w:t>
            </w:r>
          </w:p>
        </w:tc>
      </w:tr>
      <w:tr w:rsidR="3E615C19" ns2:paraId="35C6A6FE" ns2:textId="77777777" w:rsidTr="3E615C19">
        <w:tc>
          <w:tcPr>
            <w:tcW w:w="610" w:type="dxa"/>
          </w:tcPr>
          <w:p ns2:paraId="0642BA39" ns2:textId="7B784E36" w:rsidR="3E615C19" w:rsidRDefault="3E615C19" w:rsidP="3E615C19">
            <w:pPr>
              <w:jc w:val="center"/>
            </w:pPr>
            <w:r w:rsidRPr="3E615C19">
              <w:rPr>
                <w:sz w:val="15"/>
                <w:szCs w:val="15"/>
              </w:rPr>
              <w:t>6</w:t>
            </w:r>
          </w:p>
        </w:tc>
        <w:tc>
          <w:tcPr>
            <w:tcW w:w="1830" w:type="dxa"/>
          </w:tcPr>
          <w:p ns2:paraId="60A7A726" ns2:textId="49A1A5B0" w:rsidR="3E615C19" w:rsidRDefault="3E615C19" w:rsidP="3E615C19">
            <w:r w:rsidRPr="3E615C19">
              <w:rPr>
                <w:sz w:val="15"/>
                <w:szCs w:val="15"/>
              </w:rPr>
              <w:t>Competitive scenario teardown</w:t>
            </w:r>
          </w:p>
        </w:tc>
        <w:tc>
          <w:tcPr>
            <w:tcW w:w="1220" w:type="dxa"/>
          </w:tcPr>
          <w:p ns2:paraId="75919F1C" ns2:textId="439A8E9F" w:rsidR="3E615C19" w:rsidRDefault="3E615C19" w:rsidP="3E615C19">
            <w:pPr>
              <w:jc w:val="center"/>
            </w:pPr>
            <w:r w:rsidRPr="3E615C19">
              <w:rPr>
                <w:sz w:val="15"/>
                <w:szCs w:val="15"/>
              </w:rPr>
              <w:t>6</w:t>
            </w:r>
          </w:p>
        </w:tc>
        <w:tc>
          <w:tcPr>
            <w:tcW w:w="3660" w:type="dxa"/>
          </w:tcPr>
          <w:p ns2:paraId="1F18279C" ns2:textId="4D0C56AC" w:rsidR="3E615C19" w:rsidRDefault="3E615C19" w:rsidP="3E615C19">
            <w:r w:rsidRPr="3E615C19">
              <w:rPr>
                <w:sz w:val="15"/>
                <w:szCs w:val="15"/>
              </w:rPr>
              <w:t>Benchmark the winning job against Intune + add-on, Action1/Automox and NinjaOne using customer-visible outcomes.</w:t>
            </w:r>
          </w:p>
        </w:tc>
        <w:tc>
          <w:tcPr>
            <w:tcW w:w="2846" w:type="dxa"/>
          </w:tcPr>
          <w:p ns2:paraId="59A8C291" ns2:textId="29AD3717" w:rsidR="3E615C19" w:rsidRDefault="3E615C19" w:rsidP="3E615C19">
            <w:r w:rsidRPr="3E615C19">
              <w:rPr>
                <w:sz w:val="15"/>
                <w:szCs w:val="15"/>
              </w:rPr>
              <w:t>Defensible advantage statement or explicit decision that the advantage is only a head start.</w:t>
            </w:r>
          </w:p>
        </w:tc>
      </w:tr>
      <w:tr w:rsidR="3E615C19" ns2:paraId="1772D21E" ns2:textId="77777777" w:rsidTr="3E615C19">
        <w:tc>
          <w:tcPr>
            <w:tcW w:w="610" w:type="dxa"/>
          </w:tcPr>
          <w:p ns2:paraId="5F56B871" ns2:textId="55713C26" w:rsidR="3E615C19" w:rsidRDefault="3E615C19" w:rsidP="3E615C19">
            <w:pPr>
              <w:jc w:val="center"/>
            </w:pPr>
            <w:r w:rsidRPr="3E615C19">
              <w:rPr>
                <w:sz w:val="15"/>
                <w:szCs w:val="15"/>
              </w:rPr>
              <w:t xml:space="preserve">7</w:t>
            </w:r>
          </w:p>
        </w:tc>
        <w:tc>
          <w:tcPr>
            <w:tcW w:w="1830" w:type="dxa"/>
          </w:tcPr>
          <w:p ns2:paraId="30DDFB84" ns2:textId="07D5EB36" w:rsidR="3E615C19" w:rsidRDefault="3E615C19" w:rsidP="3E615C19">
            <w:r w:rsidRPr="3E615C19">
              <w:rPr>
                <w:sz w:val="15"/>
                <w:szCs w:val="15"/>
              </w:rPr>
              <w:t xml:space="preserve">Install-base segmentation and ICP definition</w:t>
            </w:r>
          </w:p>
        </w:tc>
        <w:tc>
          <w:tcPr>
            <w:tcW w:w="1220" w:type="dxa"/>
          </w:tcPr>
          <w:p ns2:paraId="197D474F" ns2:textId="2845C099" w:rsidR="3E615C19" w:rsidRDefault="3E615C19" w:rsidP="3E615C19">
            <w:pPr>
              <w:jc w:val="center"/>
            </w:pPr>
            <w:r w:rsidRPr="3E615C19">
              <w:rPr>
                <w:sz w:val="15"/>
                <w:szCs w:val="15"/>
              </w:rPr>
              <w:t xml:space="preserve">7, 9</w:t>
            </w:r>
          </w:p>
        </w:tc>
        <w:tc>
          <w:tcPr>
            <w:tcW w:w="3660" w:type="dxa"/>
          </w:tcPr>
          <w:p ns2:paraId="39A8F1A8" ns2:textId="5E2DD85B" w:rsidR="3E615C19" w:rsidRDefault="3E615C19" w:rsidP="3E615C19">
            <w:r w:rsidRPr="3E615C19">
              <w:rPr>
                <w:sz w:val="15"/>
                <w:szCs w:val="15"/>
              </w:rPr>
              <w:t xml:space="preserve">Query the install base for endpoints per organisation inside the stated Phase 1 band, broken by region and vertical, returning the distribution rather than the mean. Reconcile the FTE band and the endpoint band against the same population.</w:t>
            </w:r>
          </w:p>
        </w:tc>
        <w:tc>
          <w:tcPr>
            <w:tcW w:w="2846" w:type="dxa"/>
          </w:tcPr>
          <w:p ns2:paraId="1123566E" ns2:textId="6428A06E" w:rsidR="3E615C19" w:rsidRDefault="3E615C19" w:rsidP="3E615C19">
            <w:r w:rsidRPr="3E615C19">
              <w:rPr>
                <w:sz w:val="15"/>
                <w:szCs w:val="15"/>
              </w:rPr>
              <w:t xml:space="preserve">One ICP statement in one unit, and the endpoints-per-organisation figure that unblocks the sizing model and the pricing test.</w:t>
            </w:r>
          </w:p>
        </w:tc>
      </w:tr>
      <w:tr w:rsidR="3E615C19" ns2:paraId="1772D21E" ns2:textId="77777777" w:rsidTr="3E615C19">
        <w:tc>
          <w:tcPr>
            <w:tcW w:w="610" w:type="dxa"/>
          </w:tcPr>
          <w:p ns2:paraId="5F56B871" ns2:textId="55713C26" w:rsidR="3E615C19" w:rsidRDefault="3E615C19" w:rsidP="3E615C19">
            <w:pPr>
              <w:jc w:val="center"/>
            </w:pPr>
            <w:r w:rsidRPr="3E615C19">
              <w:rPr>
                <w:sz w:val="15"/>
                <w:szCs w:val="15"/>
              </w:rPr>
              <w:t xml:space="preserve">8</w:t>
            </w:r>
          </w:p>
        </w:tc>
        <w:tc>
          <w:tcPr>
            <w:tcW w:w="1830" w:type="dxa"/>
          </w:tcPr>
          <w:p ns2:paraId="30DDFB84" ns2:textId="07D5EB36" w:rsidR="3E615C19" w:rsidRDefault="3E615C19" w:rsidP="3E615C19">
            <w:r w:rsidRPr="3E615C19">
              <w:rPr>
                <w:sz w:val="15"/>
                <w:szCs w:val="15"/>
              </w:rPr>
              <w:t xml:space="preserve">Change-control split on the concept test</w:t>
            </w:r>
          </w:p>
        </w:tc>
        <w:tc>
          <w:tcPr>
            <w:tcW w:w="1220" w:type="dxa"/>
          </w:tcPr>
          <w:p ns2:paraId="197D474F" ns2:textId="2845C099" w:rsidR="3E615C19" w:rsidRDefault="3E615C19" w:rsidP="3E615C19">
            <w:pPr>
              <w:jc w:val="center"/>
            </w:pPr>
            <w:r w:rsidRPr="3E615C19">
              <w:rPr>
                <w:sz w:val="15"/>
                <w:szCs w:val="15"/>
              </w:rPr>
              <w:t xml:space="preserve">4, 7</w:t>
            </w:r>
          </w:p>
        </w:tc>
        <w:tc>
          <w:tcPr>
            <w:tcW w:w="3660" w:type="dxa"/>
          </w:tcPr>
          <w:p ns2:paraId="39A8F1A8" ns2:textId="5E2DD85B" w:rsidR="3E615C19" w:rsidRDefault="3E615C19" w:rsidP="3E615C19">
            <w:r w:rsidRPr="3E615C19">
              <w:rPr>
                <w:sz w:val="15"/>
                <w:szCs w:val="15"/>
              </w:rPr>
              <w:t xml:space="preserve">Recruit half the concept-test sample from organisations with a formal change-approval process and half without. Compare which concept they choose and at which autonomy level.</w:t>
            </w:r>
          </w:p>
        </w:tc>
        <w:tc>
          <w:tcPr>
            <w:tcW w:w="2846" w:type="dxa"/>
          </w:tcPr>
          <w:p ns2:paraId="1123566E" ns2:textId="6428A06E" w:rsidR="3E615C19" w:rsidRDefault="3E615C19" w:rsidP="3E615C19">
            <w:r w:rsidRPr="3E615C19">
              <w:rPr>
                <w:sz w:val="15"/>
                <w:szCs w:val="15"/>
              </w:rPr>
              <w:t xml:space="preserve">Whether one product with a policy setting serves both, or whether the compliance message attracts a buyer our automation does not suit.</w:t>
            </w:r>
          </w:p>
        </w:tc>
      </w:tr>
      <w:tr w:rsidR="3E615C19" ns2:paraId="1772D21E" ns2:textId="77777777" w:rsidTr="3E615C19">
        <w:tc>
          <w:tcPr>
            <w:tcW w:w="610" w:type="dxa"/>
          </w:tcPr>
          <w:p ns2:paraId="5F56B871" ns2:textId="55713C26" w:rsidR="3E615C19" w:rsidRDefault="3E615C19" w:rsidP="3E615C19">
            <w:pPr>
              <w:jc w:val="center"/>
            </w:pPr>
            <w:r w:rsidRPr="3E615C19">
              <w:rPr>
                <w:sz w:val="15"/>
                <w:szCs w:val="15"/>
              </w:rPr>
              <w:t xml:space="preserve">9</w:t>
            </w:r>
          </w:p>
        </w:tc>
        <w:tc>
          <w:tcPr>
            <w:tcW w:w="1830" w:type="dxa"/>
          </w:tcPr>
          <w:p ns2:paraId="30DDFB84" ns2:textId="07D5EB36" w:rsidR="3E615C19" w:rsidRDefault="3E615C19" w:rsidP="3E615C19">
            <w:r w:rsidRPr="3E615C19">
              <w:rPr>
                <w:sz w:val="15"/>
                <w:szCs w:val="15"/>
              </w:rPr>
              <w:t xml:space="preserve">Unattended onboarding test</w:t>
            </w:r>
          </w:p>
        </w:tc>
        <w:tc>
          <w:tcPr>
            <w:tcW w:w="1220" w:type="dxa"/>
          </w:tcPr>
          <w:p ns2:paraId="197D474F" ns2:textId="2845C099" w:rsidR="3E615C19" w:rsidRDefault="3E615C19" w:rsidP="3E615C19">
            <w:pPr>
              <w:jc w:val="center"/>
            </w:pPr>
            <w:r w:rsidRPr="3E615C19">
              <w:rPr>
                <w:sz w:val="15"/>
                <w:szCs w:val="15"/>
              </w:rPr>
              <w:t xml:space="preserve">8</w:t>
            </w:r>
          </w:p>
        </w:tc>
        <w:tc>
          <w:tcPr>
            <w:tcW w:w="3660" w:type="dxa"/>
          </w:tcPr>
          <w:p ns2:paraId="39A8F1A8" ns2:textId="5E2DD85B" w:rsidR="3E615C19" w:rsidRDefault="3E615C19" w:rsidP="3E615C19">
            <w:r w:rsidRPr="3E615C19">
              <w:rPr>
                <w:sz w:val="15"/>
                <w:szCs w:val="15"/>
              </w:rPr>
              <w:t xml:space="preserve">Set a time-to-first-value target, then run five unassisted first-run sessions with Phase 1 participants. No call, no onboarding email, no screen-share. Record where they stop.</w:t>
            </w:r>
          </w:p>
        </w:tc>
        <w:tc>
          <w:tcPr>
            <w:tcW w:w="2846" w:type="dxa"/>
          </w:tcPr>
          <w:p ns2:paraId="1123566E" ns2:textId="6428A06E" w:rsidR="3E615C19" w:rsidRDefault="3E615C19" w:rsidP="3E615C19">
            <w:r w:rsidRPr="3E615C19">
              <w:rPr>
                <w:sz w:val="15"/>
                <w:szCs w:val="15"/>
              </w:rPr>
              <w:t xml:space="preserve">Whether self-serve trial is the Phase 1 motion, and whether the blockers are design problems or missing capability.</w:t>
            </w:r>
          </w:p>
        </w:tc>
      </w:tr>
      <w:tr w:rsidR="3E615C19" ns2:paraId="1772D21E" ns2:textId="77777777" w:rsidTr="3E615C19">
        <w:tc>
          <w:tcPr>
            <w:tcW w:w="610" w:type="dxa"/>
          </w:tcPr>
          <w:p ns2:paraId="5F56B871" ns2:textId="55713C26" w:rsidR="3E615C19" w:rsidRDefault="3E615C19" w:rsidP="3E615C19">
            <w:pPr>
              <w:jc w:val="center"/>
            </w:pPr>
            <w:r w:rsidRPr="3E615C19">
              <w:rPr>
                <w:sz w:val="15"/>
                <w:szCs w:val="15"/>
              </w:rPr>
              <w:t xml:space="preserve">10</w:t>
            </w:r>
          </w:p>
        </w:tc>
        <w:tc>
          <w:tcPr>
            <w:tcW w:w="1830" w:type="dxa"/>
          </w:tcPr>
          <w:p ns2:paraId="30DDFB84" ns2:textId="07D5EB36" w:rsidR="3E615C19" w:rsidRDefault="3E615C19" w:rsidP="3E615C19">
            <w:r w:rsidRPr="3E615C19">
              <w:rPr>
                <w:sz w:val="15"/>
                <w:szCs w:val="15"/>
              </w:rPr>
              <w:t xml:space="preserve">Reach, message and proof audit</w:t>
            </w:r>
          </w:p>
        </w:tc>
        <w:tc>
          <w:tcPr>
            <w:tcW w:w="1220" w:type="dxa"/>
          </w:tcPr>
          <w:p ns2:paraId="197D474F" ns2:textId="2845C099" w:rsidR="3E615C19" w:rsidRDefault="3E615C19" w:rsidP="3E615C19">
            <w:pPr>
              <w:jc w:val="center"/>
            </w:pPr>
            <w:r w:rsidRPr="3E615C19">
              <w:rPr>
                <w:sz w:val="15"/>
                <w:szCs w:val="15"/>
              </w:rPr>
              <w:t xml:space="preserve">10</w:t>
            </w:r>
          </w:p>
        </w:tc>
        <w:tc>
          <w:tcPr>
            <w:tcW w:w="3660" w:type="dxa"/>
          </w:tcPr>
          <w:p ns2:paraId="39A8F1A8" ns2:textId="5E2DD85B" w:rsidR="3E615C19" w:rsidRDefault="3E615C19" w:rsidP="3E615C19">
            <w:r w:rsidRPr="3E615C19">
              <w:rPr>
                <w:sz w:val="15"/>
                <w:szCs w:val="15"/>
              </w:rPr>
              <w:t xml:space="preserve">Forced-choice message test of the two positioning statements against the Phase 1 band. In parallel, count the published, named reference accounts in the target band we could produce in ninety days.</w:t>
            </w:r>
          </w:p>
        </w:tc>
        <w:tc>
          <w:tcPr>
            <w:tcW w:w="2846" w:type="dxa"/>
          </w:tcPr>
          <w:p ns2:paraId="1123566E" ns2:textId="6428A06E" w:rsidR="3E615C19" w:rsidRDefault="3E615C19" w:rsidP="3E615C19">
            <w:r w:rsidRPr="3E615C19">
              <w:rPr>
                <w:sz w:val="15"/>
                <w:szCs w:val="15"/>
              </w:rPr>
              <w:t xml:space="preserve">A differentiated message, and the ceiling that available customer proof puts on any launch claim.</w:t>
            </w:r>
          </w:p>
        </w:tc>
      </w:tr>
    </w:tbl>
    <w:p ns2:paraId="42FD588A" ns2:textId="77777777" w:rsidR="003607B7" w:rsidRDefault="00877CD8">
      <w:pPr>
        <w:pStyle w:val="Heading1"/>
      </w:pPr>
      <w:r>
        <w:t>Core interview questions to standardise</w:t>
      </w:r>
    </w:p>
    <w:p ns2:paraId="65CDF1AC" ns2:textId="77777777" w:rsidR="003607B7" w:rsidRDefault="00877CD8">
      <w:pPr>
        <w:pStyle w:val="ListBullet"/>
      </w:pPr>
      <w:r>
        <w:t>Tell me about the last time you bought or replaced an endpoint-management, patching, vulnerability or compliance tool. What changed?</w:t>
      </w:r>
    </w:p>
    <w:p ns2:paraId="7CCCD796" ns2:textId="77777777" w:rsidR="003607B7" w:rsidRDefault="00877CD8">
      <w:pPr>
        <w:pStyle w:val="ListBullet"/>
      </w:pPr>
      <w:r>
        <w:t>What job were you trying to solve first? What did you keep, replace or integrate?</w:t>
      </w:r>
    </w:p>
    <w:p ns2:paraId="7D858712" ns2:textId="77777777" w:rsidR="003607B7" w:rsidRDefault="00877CD8">
      <w:pPr>
        <w:pStyle w:val="ListBullet"/>
      </w:pPr>
      <w:r>
        <w:t>Which parts of the current workflow consume the most manual effort or specialist time?</w:t>
      </w:r>
    </w:p>
    <w:p ns2:paraId="1869E578" ns2:textId="77777777" w:rsidR="003607B7" w:rsidRDefault="00877CD8">
      <w:pPr>
        <w:pStyle w:val="ListBullet"/>
      </w:pPr>
      <w:r>
        <w:t>What happens if the problem is not solved? Who notices and who owns the consequence?</w:t>
      </w:r>
    </w:p>
    <w:p ns2:paraId="703A13E0" ns2:textId="77777777" w:rsidR="003607B7" w:rsidRDefault="00877CD8">
      <w:pPr>
        <w:pStyle w:val="ListBullet"/>
      </w:pPr>
      <w:r>
        <w:t>How do Intune, other UEM/RMM tools and specialist products fit together today?</w:t>
      </w:r>
    </w:p>
    <w:p ns2:paraId="4A17F3A1" ns2:textId="77777777" w:rsidR="003607B7" w:rsidRDefault="00877CD8">
      <w:pPr>
        <w:pStyle w:val="ListBullet"/>
      </w:pPr>
      <w:r>
        <w:t>Which actions could be automated safely? Which require approval? Which should never be automated?</w:t>
      </w:r>
    </w:p>
    <w:p ns2:paraId="222509A0" ns2:textId="77777777" w:rsidR="003607B7" w:rsidRDefault="00877CD8">
      <w:pPr>
        <w:pStyle w:val="ListBullet"/>
      </w:pPr>
      <w:r>
        <w:t>What proof do you need after an action: status, audit trail, compliance evidence, rollback or reporting?</w:t>
      </w:r>
    </w:p>
    <w:p ns2:paraId="2E613EB2" ns2:textId="77777777" w:rsidR="003607B7" w:rsidRDefault="00877CD8">
      <w:pPr>
        <w:pStyle w:val="ListBullet"/>
      </w:pPr>
      <w:r>
        <w:t>Who owns the budget, what budget would fund this and what else would compete for that spend?</w:t>
      </w:r>
    </w:p>
    <w:p ns2:paraId="1D30AB02" ns2:textId="77777777" w:rsidR="003607B7" w:rsidRDefault="00877CD8">
      <w:pPr>
        <w:pStyle w:val="ListBullet"/>
      </w:pPr>
      <w:r>
        <w:t>Which concept would you evaluate first, and what would the next real step be?</w:t>
      </w:r>
    </w:p>
    <w:p ns2:paraId="76C6BD50" ns2:textId="77777777" w:rsidR="003607B7" w:rsidRDefault="00877CD8">
      <w:pPr>
        <w:pStyle w:val="ListBullet"/>
      </w:pPr>
      <w:r>
        <w:t>What would make the proposition not worth changing from the current setup?</w:t>
      </w:r>
    </w:p>
    <w:p ns2:paraId="36CCD24D" ns2:textId="77777777" w:rsidR="003607B7" w:rsidRDefault="00877CD8">
      <w:pPr>
        <w:pStyle w:val="Heading1"/>
      </w:pPr>
      <w:r>
        <w:t>Evidence rules</w:t>
      </w:r>
    </w:p>
    <w:p ns2:paraId="10C192EE" ns2:textId="77777777" w:rsidR="003607B7" w:rsidRDefault="00877CD8">
      <w:pPr>
        <w:pStyle w:val="ListBullet"/>
      </w:pPr>
      <w:r>
        <w:t>Keep direct participant statements separate from field-team interpretation and internal synthesis.</w:t>
      </w:r>
    </w:p>
    <w:p ns2:paraId="4E3A1BBB" ns2:textId="77777777" w:rsidR="003607B7" w:rsidRDefault="00877CD8">
      <w:pPr>
        <w:pStyle w:val="ListBullet"/>
      </w:pPr>
      <w:r>
        <w:t>Do not count positive reactions as purchase evidence. Look for a current job, consequence, incumbent/workaround, budget path and next action.</w:t>
      </w:r>
    </w:p>
    <w:p ns2:paraId="7906DCFB" ns2:textId="77777777" w:rsidR="003607B7" w:rsidRDefault="00877CD8">
      <w:pPr>
        <w:pStyle w:val="ListBullet"/>
      </w:pPr>
      <w:r>
        <w:t>Capture disconfirming evidence explicitly. A failed assumption is a useful decision, not a research failure.</w:t>
      </w:r>
    </w:p>
    <w:p ns2:paraId="6FCAC6C5" ns2:textId="77777777" w:rsidR="003607B7" w:rsidRDefault="00877CD8">
      <w:pPr>
        <w:pStyle w:val="ListBullet"/>
      </w:pPr>
      <w:r>
        <w:t>Segment findings by estate size, IT-team size, Microsoft dependence, regulated/non-regulated context and current tool model.</w:t>
      </w:r>
    </w:p>
    <w:p ns2:paraId="5B3AAB20" ns2:textId="77777777" w:rsidR="003607B7" w:rsidRDefault="00877CD8">
      <w:pPr>
        <w:pStyle w:val="ListBullet"/>
      </w:pPr>
      <w:r>
        <w:t>Use the same concept stimuli and core questions across participants so patterns can be compared.</w:t>
      </w:r>
    </w:p>
    <w:p ns2:paraId="19F1A3C5" ns2:textId="77777777" w:rsidR="003607B7" w:rsidRDefault="00877CD8">
      <w:pPr>
        <w:pStyle w:val="Heading1"/>
      </w:pPr>
      <w:r>
        <w:t>Updated overall conclusion</w:t>
      </w:r>
    </w:p>
    <w:p ns2:paraId="2199614C" ns2:textId="77777777" w:rsidR="003607B7" w:rsidRDefault="00877CD8">
      <w:r>
        <w:t>The current evidence supports continued testing of an IT Pro proposition, but not a broad platform-first commitment. The best-supported direction is a focused entry job around patching, vulnerability remediation, endpoint intelligence and compliance, delivered through a simple guided experience. The highest remaining risks are a repeatable buying trigger, Intune coexistence, reliable and trusted execution, willingness to pay and a customer-visible advantage competitors cannot easily match.</w:t>
      </w:r>
    </w:p>
    <w:p ns2:paraId="72684411" ns2:textId="77777777" w:rsidR="003607B7" w:rsidRDefault="00877CD8">
      <w:pPr>
        <w:pStyle w:val="Heading1"/>
      </w:pPr>
      <w:r>
        <w:t>Internal evidence reviewed for this update</w:t>
      </w:r>
    </w:p>
    <w:p ns2:paraId="4E46B1E6" ns2:textId="77777777" w:rsidR="003607B7" w:rsidRDefault="00877CD8">
      <w:pPr>
        <w:pStyle w:val="ListBullet"/>
      </w:pPr>
      <w:r>
        <w:t>Ecoverse_Riskiest_Assumptions 1.docx, 09 September 2026.</w:t>
      </w:r>
    </w:p>
    <w:p ns2:paraId="7A85A20D" ns2:textId="77777777" w:rsidR="003607B7" w:rsidRDefault="00877CD8">
      <w:pPr>
        <w:pStyle w:val="ListBullet"/>
      </w:pPr>
      <w:r>
        <w:t>MSP Market Segments Research Request 1.docx, including summaries of interviews and field conversations with Tarik Hafid, Paul Killins, Hauke VonJuergensonn and Connor Herman.</w:t>
      </w:r>
    </w:p>
    <w:p ns2:paraId="29BCBC41" ns2:textId="77777777" w:rsidR="003607B7" w:rsidRDefault="00877CD8">
      <w:pPr>
        <w:pStyle w:val="ListBullet"/>
      </w:pPr>
      <w:r>
        <w:t>internal IT Department tools and jobs, transcribed discussion with TJ Hardwick, Brian Mackie, Taha Doueidar and Meaghan Reinecke.</w:t>
      </w:r>
    </w:p>
    <w:p ns2:paraId="3CCF5774" ns2:textId="77777777" w:rsidR="003607B7" w:rsidRDefault="00877CD8">
      <w:pPr>
        <w:pStyle w:val="ListBullet"/>
      </w:pPr>
      <w:r>
        <w:t>Ecoverse Product &amp; GTM Strategy – Working Draft.pptx, current working strategy and validation slides.</w:t>
      </w:r>
    </w:p>
    <w:p>
      <w:pPr>
        <w:pStyle w:val="Heading1"/>
      </w:pPr>
      <w:r>
        <w:t xml:space="preserve">External sources cited in this update</w:t>
      </w:r>
    </w:p>
    <w:p>
      <w:r>
        <w:t xml:space="preserve">Every external claim above links to its source. Where a source is paywalled, sponsored, licensed or unreachable, that is stated rather than hidden. Supporting working files, including the full market-sizing dossiers and the deck-to-doc assumption register, are in the Ecoverse riskiest-assumptions working folder.</w:t>
      </w:r>
    </w:p>
    <w:p>
      <w:pPr>
        <w:pStyle w:val="ListBullet"/>
      </w:pPr>
      <w:r>
        <w:t xml:space="preserve">DSIT, </w:t>
      </w:r>
      <w:hyperlink r:id="rId12">
        <w:r>
          <w:rPr>
            <w:rStyle w:val="Hyperlink"/>
          </w:rPr>
          <w:t xml:space="preserve">Cyber Security Breaches Survey 2025/2026</w:t>
        </w:r>
      </w:hyperlink>
      <w:r>
        <w:t xml:space="preserve"> — UK official statistics, n=2,112 businesses, published 30 April 2026.</w:t>
      </w:r>
    </w:p>
    <w:p>
      <w:pPr>
        <w:pStyle w:val="ListBullet"/>
      </w:pPr>
      <w:r>
        <w:t xml:space="preserve">NCSC, </w:t>
      </w:r>
      <w:hyperlink r:id="rId13">
        <w:r>
          <w:rPr>
            <w:rStyle w:val="Hyperlink"/>
          </w:rPr>
          <w:t xml:space="preserve">Cyber Essentials Requirements for IT Infrastructure v3.2</w:t>
        </w:r>
      </w:hyperlink>
      <w:r>
        <w:t xml:space="preserve"> (PDF) — the 14-day rule, in force 28 April 2025.</w:t>
      </w:r>
    </w:p>
    <w:p>
      <w:pPr>
        <w:pStyle w:val="ListBullet"/>
      </w:pPr>
      <w:r>
        <w:t xml:space="preserve">ENISA, </w:t>
      </w:r>
      <w:hyperlink r:id="rId14">
        <w:r>
          <w:rPr>
            <w:rStyle w:val="Hyperlink"/>
          </w:rPr>
          <w:t xml:space="preserve">NIS Investments 2025</w:t>
        </w:r>
      </w:hyperlink>
      <w:r>
        <w:t xml:space="preserve"> — </w:t>
      </w:r>
      <w:hyperlink r:id="rId15">
        <w:r>
          <w:rPr>
            <w:rStyle w:val="Hyperlink"/>
          </w:rPr>
          <w:t xml:space="preserve">main report PDF</w:t>
        </w:r>
      </w:hyperlink>
      <w:r>
        <w:t xml:space="preserve">, n=1,080.</w:t>
      </w:r>
    </w:p>
    <w:p>
      <w:pPr>
        <w:pStyle w:val="ListBullet"/>
      </w:pPr>
      <w:r>
        <w:t xml:space="preserve">EUR-Lex, </w:t>
      </w:r>
      <w:hyperlink r:id="rId16">
        <w:r>
          <w:rPr>
            <w:rStyle w:val="Hyperlink"/>
          </w:rPr>
          <w:t xml:space="preserve">Commission Implementing Regulation (EU) 2024/2690</w:t>
        </w:r>
      </w:hyperlink>
      <w:r>
        <w:t xml:space="preserve"> — Annex 6.6.1(a) "reasonable time" for patches; Annex 12.4 inventory requirement.</w:t>
      </w:r>
    </w:p>
    <w:p>
      <w:pPr>
        <w:pStyle w:val="ListBullet"/>
      </w:pPr>
      <w:r>
        <w:t xml:space="preserve">European Commission, </w:t>
      </w:r>
      <w:hyperlink r:id="rId17">
        <w:r>
          <w:rPr>
            <w:rStyle w:val="Hyperlink"/>
          </w:rPr>
          <w:t xml:space="preserve">NIS2 transposition status</w:t>
        </w:r>
      </w:hyperlink>
      <w:r>
        <w:t xml:space="preserve">.</w:t>
      </w:r>
    </w:p>
    <w:p>
      <w:pPr>
        <w:pStyle w:val="ListBullet"/>
      </w:pPr>
      <w:r>
        <w:t xml:space="preserve">DSIT, </w:t>
      </w:r>
      <w:hyperlink r:id="rId18">
        <w:r>
          <w:rPr>
            <w:rStyle w:val="Hyperlink"/>
          </w:rPr>
          <w:t xml:space="preserve">Cyber Security and Resilience Bill — relevant managed service providers</w:t>
        </w:r>
      </w:hyperlink>
      <w:r>
        <w:t xml:space="preserve"> — commencement undated.</w:t>
      </w:r>
    </w:p>
    <w:p>
      <w:pPr>
        <w:pStyle w:val="ListBullet"/>
      </w:pPr>
      <w:r>
        <w:t xml:space="preserve">IBM, </w:t>
      </w:r>
      <w:hyperlink r:id="rId19">
        <w:r>
          <w:rPr>
            <w:rStyle w:val="Hyperlink"/>
          </w:rPr>
          <w:t xml:space="preserve">2026 X-Force Threat Index</w:t>
        </w:r>
      </w:hyperlink>
      <w:r>
        <w:t xml:space="preserve"> — 25 February 2026. Threat data, not market sizing. Note that the MarketsandMarkets press release mis-cites this report: it attributes an APAC regional share and a 68% manufacturing figure that do not appear in the primary, which states North America at 29% and manufacturing at 27.7%.</w:t>
      </w:r>
    </w:p>
    <w:p>
      <w:pPr>
        <w:pStyle w:val="ListBullet"/>
      </w:pPr>
      <w:r>
        <w:t xml:space="preserve">MarketsandMarkets, </w:t>
      </w:r>
      <w:hyperlink r:id="rId23">
        <w:r>
          <w:rPr>
            <w:rStyle w:val="Hyperlink"/>
          </w:rPr>
          <w:t xml:space="preserve">Endpoint Security Market</w:t>
        </w:r>
      </w:hyperlink>
      <w:r>
        <w:t xml:space="preserve"> — July 2026. Asset Discovery and Management named fastest-growing segment at 12.8% CAGR. Report price published at $4,950 single user. The buy candidate if we buy one.</w:t>
      </w:r>
    </w:p>
    <w:p>
      <w:pPr>
        <w:pStyle w:val="ListBullet"/>
      </w:pPr>
      <w:r>
        <w:t xml:space="preserve">Mordor Intelligence, </w:t>
      </w:r>
      <w:hyperlink r:id="rId32">
        <w:r>
          <w:rPr>
            <w:rStyle w:val="Hyperlink"/>
          </w:rPr>
          <w:t xml:space="preserve">Unified Endpoint Management Market</w:t>
        </w:r>
      </w:hyperlink>
      <w:r>
        <w:t xml:space="preserve"> — 24 June 2026, and </w:t>
      </w:r>
      <w:hyperlink r:id="rId24">
        <w:r>
          <w:rPr>
            <w:rStyle w:val="Hyperlink"/>
          </w:rPr>
          <w:t xml:space="preserve">Security and Vulnerability Management Market</w:t>
        </w:r>
      </w:hyperlink>
      <w:r>
        <w:t xml:space="preserve"> — 23 July 2026. The only publisher in the pool that discloses a sizing formula.</w:t>
      </w:r>
    </w:p>
    <w:p>
      <w:pPr>
        <w:pStyle w:val="ListBullet"/>
      </w:pPr>
      <w:r>
        <w:t xml:space="preserve">IMARC Group, </w:t>
      </w:r>
      <w:hyperlink r:id="rId25">
        <w:r>
          <w:rPr>
            <w:rStyle w:val="Hyperlink"/>
          </w:rPr>
          <w:t xml:space="preserve">Patch Management Market</w:t>
        </w:r>
      </w:hyperlink>
      <w:r>
        <w:t xml:space="preserve"> — 19 June 2026, 8.30% CAGR, price published.</w:t>
      </w:r>
    </w:p>
    <w:p>
      <w:pPr>
        <w:pStyle w:val="ListBullet"/>
      </w:pPr>
      <w:r>
        <w:t xml:space="preserve">Gartner, </w:t>
      </w:r>
      <w:hyperlink r:id="rId20">
        <w:r>
          <w:rPr>
            <w:rStyle w:val="Hyperlink"/>
          </w:rPr>
          <w:t xml:space="preserve">Peer Insights: Endpoint Management Tools</w:t>
        </w:r>
      </w:hyperlink>
      <w:r>
        <w:t xml:space="preserve"> (public category page) and </w:t>
      </w:r>
      <w:hyperlink r:id="rId21">
        <w:r>
          <w:rPr>
            <w:rStyle w:val="Hyperlink"/>
          </w:rPr>
          <w:t xml:space="preserve">Innovation Insight: Autonomous Endpoint Management</w:t>
        </w:r>
      </w:hyperlink>
      <w:r>
        <w:t xml:space="preserve"> (paywalled). Public route to the Magic Quadrant via the </w:t>
      </w:r>
      <w:hyperlink r:id="rId22">
        <w:r>
          <w:rPr>
            <w:rStyle w:val="Hyperlink"/>
          </w:rPr>
          <w:t xml:space="preserve">NinjaOne reprint</w:t>
        </w:r>
      </w:hyperlink>
      <w:r>
        <w:t xml:space="preserve">. Our own copy — G00825650, 5 January 2026 — is licensed: internal use only, not for reproduction or external circulation, and not to be used as input to any generative AI system.</w:t>
      </w:r>
    </w:p>
    <w:p>
      <w:pPr>
        <w:pStyle w:val="ListBullet"/>
      </w:pPr>
      <w:r>
        <w:t xml:space="preserve">Canalys, via </w:t>
      </w:r>
      <w:hyperlink r:id="rId26">
        <w:r>
          <w:rPr>
            <w:rStyle w:val="Hyperlink"/>
          </w:rPr>
          <w:t xml:space="preserve">ChannelE2E</w:t>
        </w:r>
      </w:hyperlink>
      <w:r>
        <w:t xml:space="preserve"> — MSP software market shares. HTTP 403 to automated retrieval; a human should open it and confirm the period and the fifth-placed vendor.</w:t>
      </w:r>
    </w:p>
    <w:p>
      <w:pPr>
        <w:pStyle w:val="ListBullet"/>
      </w:pPr>
      <w:r>
        <w:t xml:space="preserve">Microsoft, </w:t>
      </w:r>
      <w:hyperlink r:id="rId29">
        <w:r>
          <w:rPr>
            <w:rStyle w:val="Hyperlink"/>
          </w:rPr>
          <w:t xml:space="preserve">Intune pricing</w:t>
        </w:r>
      </w:hyperlink>
      <w:r>
        <w:t xml:space="preserve"> and </w:t>
      </w:r>
      <w:hyperlink r:id="rId30">
        <w:r>
          <w:rPr>
            <w:rStyle w:val="Hyperlink"/>
          </w:rPr>
          <w:t xml:space="preserve">Microsoft 365 packaging and pricing updates</w:t>
        </w:r>
      </w:hyperlink>
      <w:r>
        <w:t xml:space="preserve"> — the 1 July 2026 change that moved Intune Suite capabilities into E3/E5.</w:t>
      </w:r>
    </w:p>
    <w:p>
      <w:pPr>
        <w:pStyle w:val="ListBullet"/>
      </w:pPr>
      <w:r>
        <w:t xml:space="preserve">Recast Software, </w:t>
      </w:r>
      <w:hyperlink r:id="rId27">
        <w:r>
          <w:rPr>
            <w:rStyle w:val="Hyperlink"/>
          </w:rPr>
          <w:t xml:space="preserve">State of Intune 2026</w:t>
        </w:r>
      </w:hyperlink>
      <w:r>
        <w:t xml:space="preserve"> — n=890, fielded April 2026. </w:t>
      </w:r>
      <w:r>
        <w:rPr>
          <w:b/>
          <w:bCs/>
        </w:rPr>
        <w:t xml:space="preserve">Name the sponsor whenever this is cited: Recast sells Intune add-ons.</w:t>
      </w:r>
      <w:r>
        <w:t xml:space="preserve"> Independently corroborated on coexistence by </w:t>
      </w:r>
      <w:hyperlink r:id="rId28">
        <w:r>
          <w:rPr>
            <w:rStyle w:val="Hyperlink"/>
          </w:rPr>
          <w:t xml:space="preserve">Redmond Channel Partner, 7 August 2026</w:t>
        </w:r>
      </w:hyperlink>
      <w:r>
        <w:t xml:space="preserve">.</w:t>
      </w:r>
    </w:p>
    <w:p>
      <w:pPr>
        <w:pStyle w:val="ListBullet"/>
      </w:pPr>
      <w:r>
        <w:t xml:space="preserve">G2 Digital Markets, </w:t>
      </w:r>
      <w:hyperlink r:id="rId31">
        <w:r>
          <w:rPr>
            <w:rStyle w:val="Hyperlink"/>
          </w:rPr>
          <w:t xml:space="preserve">State of Software Buying 2026</w:t>
        </w:r>
      </w:hyperlink>
      <w:r>
        <w:t xml:space="preserve"> (PDF) — n=3,385.</w:t>
      </w:r>
    </w:p>
    <w:p>
      <w:pPr>
        <w:pStyle w:val="ListBullet"/>
      </w:pPr>
      <w:r>
        <w:t xml:space="preserve">Avasant / Computer Economics, </w:t>
      </w:r>
      <w:hyperlink r:id="rId33">
        <w:r>
          <w:rPr>
            <w:rStyle w:val="Hyperlink"/>
          </w:rPr>
          <w:t xml:space="preserve">IT Staffing Ratios</w:t>
        </w:r>
      </w:hyperlink>
      <w:r>
        <w:t xml:space="preserve"> — paywalled, zero figures disclosed publicly. Named here so nobody re-derives it from an aggregator.</w:t>
      </w:r>
    </w:p>
    <w:p>
      <w:pPr>
        <w:pStyle w:val="ListBullet"/>
      </w:pPr>
      <w:r>
        <w:t xml:space="preserve">Competitor published pricing: </w:t>
      </w:r>
      <w:hyperlink r:id="rId34">
        <w:r>
          <w:rPr>
            <w:rStyle w:val="Hyperlink"/>
          </w:rPr>
          <w:t xml:space="preserve">Action1 free tier to 200 endpoints</w:t>
        </w:r>
      </w:hyperlink>
      <w:r>
        <w:t xml:space="preserve"> and </w:t>
      </w:r>
      <w:hyperlink r:id="rId35">
        <w:r>
          <w:rPr>
            <w:rStyle w:val="Hyperlink"/>
          </w:rPr>
          <w:t xml:space="preserve">Automox pricing</w:t>
        </w:r>
      </w:hyperlink>
      <w:r>
        <w:t xml:space="preserve">. ConnectWise, Kaseya, Rapid7 and Ivanti publish nothing — verified absence.</w:t>
      </w:r>
    </w:p>
    <w:p>
      <w:pPr>
        <w:pStyle w:val="ListBullet"/>
      </w:pPr>
      <w:r>
        <w:t xml:space="preserve">N-able, </w:t>
      </w:r>
      <w:hyperlink r:id="rId36">
        <w:r>
          <w:rPr>
            <w:rStyle w:val="Hyperlink"/>
          </w:rPr>
          <w:t xml:space="preserve">Form 10-K for the year ended 31 December 2025</w:t>
        </w:r>
      </w:hyperlink>
      <w:r>
        <w:t xml:space="preserve"> — SEC filing, for our own reported figures.</w:t>
      </w:r>
    </w:p>
    <w:p>
      <w:r>
        <w:rPr>
          <w:b/>
          <w:bCs/>
        </w:rPr>
        <w:t xml:space="preserve">One source deliberately left out. </w:t>
      </w:r>
      <w:r>
        <w:t xml:space="preserve">The Gartner adoption forecast used in this document has been re-published without attribution on a vendor blog. Cite it from our licensed copy and its document ID, not from that page. Citing the blog would make a licensed figure look like a public one, and it would not survive the first question about where the number came from.</w:t>
      </w:r>
    </w:p>
    <w:sectPr w:rsidR="003607B7"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E3009" w14:textId="77777777" w:rsidR="00756C03" w:rsidRDefault="00756C03">
      <w:pPr>
        <w:spacing w:after="0" w:line="240" w:lineRule="auto"/>
      </w:pPr>
      <w:r>
        <w:separator/>
      </w:r>
    </w:p>
  </w:endnote>
  <w:endnote w:type="continuationSeparator" w:id="0">
    <w:p w14:paraId="0F370D36" w14:textId="77777777" w:rsidR="00756C03" w:rsidRDefault="00756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323FC" w14:textId="77777777" w:rsidR="003607B7" w:rsidRDefault="00877CD8">
    <w:pPr>
      <w:pStyle w:val="Footer"/>
      <w:jc w:val="center"/>
    </w:pPr>
    <w:r>
      <w:rPr>
        <w:color w:val="6B7785"/>
        <w:sz w:val="16"/>
      </w:rPr>
      <w:t>Internal working document  •  Updated 23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DAC2F" w14:textId="77777777" w:rsidR="00756C03" w:rsidRDefault="00756C03">
      <w:pPr>
        <w:spacing w:after="0" w:line="240" w:lineRule="auto"/>
      </w:pPr>
      <w:r>
        <w:separator/>
      </w:r>
    </w:p>
  </w:footnote>
  <w:footnote w:type="continuationSeparator" w:id="0">
    <w:p w14:paraId="13EC8BEC" w14:textId="77777777" w:rsidR="00756C03" w:rsidRDefault="00756C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BD3DE" w14:textId="77777777" w:rsidR="003607B7" w:rsidRDefault="00877CD8">
    <w:r>
      <w:rPr>
        <w:b/>
        <w:color w:val="007F7A"/>
        <w:sz w:val="16"/>
      </w:rPr>
      <w:t>ECOVERSE  /  RISKIEST ASSUMPTIONS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0142518">
    <w:abstractNumId w:val="8"/>
  </w:num>
  <w:num w:numId="2" w16cid:durableId="1427264859">
    <w:abstractNumId w:val="6"/>
  </w:num>
  <w:num w:numId="3" w16cid:durableId="1265920142">
    <w:abstractNumId w:val="5"/>
  </w:num>
  <w:num w:numId="4" w16cid:durableId="951088021">
    <w:abstractNumId w:val="4"/>
  </w:num>
  <w:num w:numId="5" w16cid:durableId="592011841">
    <w:abstractNumId w:val="7"/>
  </w:num>
  <w:num w:numId="6" w16cid:durableId="1255630716">
    <w:abstractNumId w:val="3"/>
  </w:num>
  <w:num w:numId="7" w16cid:durableId="1262034218">
    <w:abstractNumId w:val="2"/>
  </w:num>
  <w:num w:numId="8" w16cid:durableId="2093966500">
    <w:abstractNumId w:val="1"/>
  </w:num>
  <w:num w:numId="9" w16cid:durableId="1594514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07B7"/>
    <w:rsid w:val="00424C8F"/>
    <w:rsid w:val="00756C03"/>
    <w:rsid w:val="00877CD8"/>
    <w:rsid w:val="00AA1D8D"/>
    <w:rsid w:val="00B278BA"/>
    <w:rsid w:val="00B47730"/>
    <w:rsid w:val="00CB0664"/>
    <w:rsid w:val="00FC693F"/>
    <w:rsid w:val="3095A54D"/>
    <w:rsid w:val="3E615C1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73FAD5B-BB8E-4875-B253-0A3532577052}"/>
</w:settings>
</file>

<file path=word/styles.xml><?xml version="1.0" encoding="utf-8"?>
<w:styles xmlns:ns1="http://schemas.openxmlformats.org/markup-compatibility/2006" xmlns:w="http://schemas.openxmlformats.org/wordprocessingml/2006/main" ns1: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6C68"/>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82A3A"/>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7F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2A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ns0:Relationships xmlns:ns0="http://schemas.openxmlformats.org/package/2006/relationships"><ns0:Relationship Id="rId8" Type="http://schemas.openxmlformats.org/officeDocument/2006/relationships/header" Target="header1.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11" Type="http://schemas.openxmlformats.org/officeDocument/2006/relationships/theme" Target="theme/theme1.xml" /><ns0:Relationship Id="rId5" Type="http://schemas.openxmlformats.org/officeDocument/2006/relationships/webSettings" Target="webSettings.xml" /><ns0:Relationship Id="rId10" Type="http://schemas.openxmlformats.org/officeDocument/2006/relationships/fontTable" Target="fontTable.xml" /><ns0:Relationship Id="rId4" Type="http://schemas.openxmlformats.org/officeDocument/2006/relationships/settings" Target="settings.xml" /><ns0:Relationship Id="rId9" Type="http://schemas.openxmlformats.org/officeDocument/2006/relationships/footer" Target="footer1.xml" /><ns0:Relationship Id="rId12" Type="http://schemas.openxmlformats.org/officeDocument/2006/relationships/hyperlink" Target="https://www.gov.uk/government/statistics/cyber-security-breaches-survey-20252026/cyber-security-breaches-survey-20252026" TargetMode="External" /><ns0:Relationship Id="rId13" Type="http://schemas.openxmlformats.org/officeDocument/2006/relationships/hyperlink" Target="https://www.ncsc.gov.uk/files/cyber-essentials-requirements-for-it-infrastructure-v3-2.pdf" TargetMode="External" /><ns0:Relationship Id="rId14" Type="http://schemas.openxmlformats.org/officeDocument/2006/relationships/hyperlink" Target="https://www.enisa.europa.eu/publications/nis-investments-2025" TargetMode="External" /><ns0:Relationship Id="rId15" Type="http://schemas.openxmlformats.org/officeDocument/2006/relationships/hyperlink" Target="https://www.enisa.europa.eu/sites/default/files/2026-02/NIS%20Investments%202025%20-%20Main%20report.pdf" TargetMode="External" /><ns0:Relationship Id="rId16" Type="http://schemas.openxmlformats.org/officeDocument/2006/relationships/hyperlink" Target="https://eur-lex.europa.eu/eli/reg_impl/2024/2690/oj/eng" TargetMode="External" /><ns0:Relationship Id="rId17" Type="http://schemas.openxmlformats.org/officeDocument/2006/relationships/hyperlink" Target="https://digital-strategy.ec.europa.eu/en/policies/nis-transposition" TargetMode="External" /><ns0:Relationship Id="rId18" Type="http://schemas.openxmlformats.org/officeDocument/2006/relationships/hyperlink" Target="https://www.gov.uk/government/publications/cyber-security-and-resilience-network-and-information-systems-bill-factsheets/relevant-managed-service-providers" TargetMode="External" /><ns0:Relationship Id="rId19" Type="http://schemas.openxmlformats.org/officeDocument/2006/relationships/hyperlink" Target="https://newsroom.ibm.com/2026-02-25-ibm-2026-x-force-threat-index-ai-driven-attacks-are-escalating-as-basic-security-gaps-leave-enterprises-exposed" TargetMode="External" /><ns0:Relationship Id="rId20" Type="http://schemas.openxmlformats.org/officeDocument/2006/relationships/hyperlink" Target="https://www.gartner.com/reviews/market/endpoint-management-tools" TargetMode="External" /><ns0:Relationship Id="rId21" Type="http://schemas.openxmlformats.org/officeDocument/2006/relationships/hyperlink" Target="https://www.gartner.com/en/documents/6081995" TargetMode="External" /><ns0:Relationship Id="rId22" Type="http://schemas.openxmlformats.org/officeDocument/2006/relationships/hyperlink" Target="https://www.ninjaone.com/resource/gartner-magic-quadrant-2026-mq/" TargetMode="External" /><ns0:Relationship Id="rId23" Type="http://schemas.openxmlformats.org/officeDocument/2006/relationships/hyperlink" Target="https://www.marketsandmarkets.com/Market-Reports/TableOfContent/endpoint-security-market-29081235.html" TargetMode="External" /><ns0:Relationship Id="rId24" Type="http://schemas.openxmlformats.org/officeDocument/2006/relationships/hyperlink" Target="https://www.mordorintelligence.com/industry-reports/security-and-vulnerability-management-market" TargetMode="External" /><ns0:Relationship Id="rId25" Type="http://schemas.openxmlformats.org/officeDocument/2006/relationships/hyperlink" Target="https://www.imarcgroup.com/patch-management-market" TargetMode="External" /><ns0:Relationship Id="rId26" Type="http://schemas.openxmlformats.org/officeDocument/2006/relationships/hyperlink" Target="https://www.channele2e.com/news/big-3-rmm-psa-vendors-see-market-share-slip-canalys" TargetMode="External" /><ns0:Relationship Id="rId27" Type="http://schemas.openxmlformats.org/officeDocument/2006/relationships/hyperlink" Target="https://www.prnewswire.com/news-releases/state-of-intune-survey-finds-it-teams-struggle-with-application-lifecycle-management-and-hybrid-complexity-302835831.html" TargetMode="External" /><ns0:Relationship Id="rId28" Type="http://schemas.openxmlformats.org/officeDocument/2006/relationships/hyperlink" Target="https://rcpmag.com/articles/2026/08/07/microsoft-intune-adoption-grows.aspx" TargetMode="External" /><ns0:Relationship Id="rId29" Type="http://schemas.openxmlformats.org/officeDocument/2006/relationships/hyperlink" Target="https://www.microsoft.com/en-us/security/microsoft-intune-pricing" TargetMode="External" /><ns0:Relationship Id="rId30" Type="http://schemas.openxmlformats.org/officeDocument/2006/relationships/hyperlink" Target="https://www.microsoft.com/en-us/licensing/news/2026-m365-packaging-pricing-updates" TargetMode="External" /><ns0:Relationship Id="rId31" Type="http://schemas.openxmlformats.org/officeDocument/2006/relationships/hyperlink" Target="https://www.g2digitalmarkets.com/hubfs/G2DM/PDFs/g2dm-state-of-software-buying-in-2026-report.pdf" TargetMode="External" /><ns0:Relationship Id="rId32" Type="http://schemas.openxmlformats.org/officeDocument/2006/relationships/hyperlink" Target="https://www.mordorintelligence.com/industry-reports/unified-endpoint-management-market" TargetMode="External" /><ns0:Relationship Id="rId33" Type="http://schemas.openxmlformats.org/officeDocument/2006/relationships/hyperlink" Target="https://www.computereconomics.com/it-staffing-ratios/" TargetMode="External" /><ns0:Relationship Id="rId34" Type="http://schemas.openxmlformats.org/officeDocument/2006/relationships/hyperlink" Target="https://www.action1.com/company-news/action1-expands-its-free-offering-to-200-endpoints/" TargetMode="External" /><ns0:Relationship Id="rId35" Type="http://schemas.openxmlformats.org/officeDocument/2006/relationships/hyperlink" Target="https://www.automox.com/pricing" TargetMode="External" /><ns0:Relationship Id="rId36" Type="http://schemas.openxmlformats.org/officeDocument/2006/relationships/hyperlink" Target="https://www.sec.gov/Archives/edgar/data/1834488/000183448826000007/nabl-20251231.htm" TargetMode="Externa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8852733-97dc-4e8b-a968-ee5ffa6f993d}" enabled="1" method="Standard" siteId="{6324f4fb-86ee-4493-ba16-c819a916b48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2197</Words>
  <Characters>12528</Characters>
  <Application>Microsoft Office Word</Application>
  <DocSecurity>0</DocSecurity>
  <Lines>104</Lines>
  <Paragraphs>29</Paragraphs>
  <ScaleCrop>false</ScaleCrop>
  <Manager/>
  <Company/>
  <LinksUpToDate>false</LinksUpToDate>
  <CharactersWithSpaces>14696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Connor</dc:creator>
  <cp:keywords/>
  <dc:description>generated by python-docx</dc:description>
  <cp:lastModifiedBy>Elizabeth Connor</cp:lastModifiedBy>
  <cp:revision>4</cp:revision>
  <dcterms:created xsi:type="dcterms:W3CDTF">2026-09-23T08:20:00Z</dcterms:created>
  <dcterms:modified xsi:type="dcterms:W3CDTF">2026-09-23T08:20:00Z</dcterms:modified>
  <cp:category/>
</cp:coreProperties>
</file>