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hd w:val="clear" w:color="auto" w:fill="140628"/>
        <w:spacing w:before="40" w:after="0" w:line="300" w:lineRule="auto"/>
      </w:pPr>
      <w:r>
        <w:rPr>
          <w:rFonts w:ascii="Calibri" w:hAnsi="Calibri" w:cs="Calibri"/>
          <w:b/>
          <w:spacing w:val="60"/>
          <w:color w:val="9FE9FF"/>
          <w:sz w:val="18"/>
          <w:szCs w:val="18"/>
        </w:rPr>
        <w:t xml:space="preserve">  EXECUTIVE BUSINESS REVIEW</w:t>
      </w:r>
    </w:p>
    <w:p>
      <w:pPr>
        <w:shd w:val="clear" w:color="auto" w:fill="140628"/>
        <w:spacing w:before="0" w:after="0" w:line="276" w:lineRule="auto"/>
      </w:pPr>
      <w:r>
        <w:rPr>
          <w:rFonts w:ascii="Calibri" w:hAnsi="Calibri" w:cs="Calibri"/>
          <w:b/>
          <w:color w:val="FFFFFF"/>
          <w:sz w:val="52"/>
          <w:szCs w:val="52"/>
        </w:rPr>
        <w:t xml:space="preserve">  Fenwick Logistics</w:t>
      </w:r>
    </w:p>
    <w:p>
      <w:pPr>
        <w:shd w:val="clear" w:color="auto" w:fill="140628"/>
        <w:spacing w:before="40" w:after="220" w:line="276" w:lineRule="auto"/>
      </w:pPr>
      <w:r>
        <w:rPr>
          <w:rFonts w:ascii="Calibri" w:hAnsi="Calibri" w:cs="Calibri"/>
          <w:color w:val="C9C9D6"/>
          <w:sz w:val="20"/>
          <w:szCs w:val="20"/>
        </w:rPr>
        <w:t xml:space="preserve">  Quarterly review · Q3 2026 · Prepared by Technica</w:t>
      </w:r>
    </w:p>
    <w:p>
      <w:pPr>
        <w:spacing w:after="60"/>
      </w:pPr>
    </w:p>
    <w:p>
      <w:pPr>
        <w:spacing w:before="0" w:after="140" w:line="276" w:lineRule="auto"/>
      </w:pPr>
      <w:r>
        <w:rPr>
          <w:rFonts w:ascii="Calibri" w:hAnsi="Calibri" w:cs="Calibri"/>
          <w:b/>
          <w:color w:val="5B5B6E"/>
          <w:sz w:val="20"/>
          <w:szCs w:val="20"/>
        </w:rPr>
        <w:t xml:space="preserve">Prepared for: </w:t>
      </w:r>
      <w:r>
        <w:rPr>
          <w:rFonts w:ascii="Calibri" w:hAnsi="Calibri" w:cs="Calibri"/>
          <w:color w:val="5B5B6E"/>
          <w:sz w:val="20"/>
          <w:szCs w:val="20"/>
        </w:rPr>
        <w:t xml:space="preserve">The leadership team, Fenwick Logistics.    </w:t>
      </w:r>
      <w:r>
        <w:rPr>
          <w:rFonts w:ascii="Calibri" w:hAnsi="Calibri" w:cs="Calibri"/>
          <w:b/>
          <w:color w:val="5B5B6E"/>
          <w:sz w:val="20"/>
          <w:szCs w:val="20"/>
        </w:rPr>
        <w:t xml:space="preserve">Presented by: </w:t>
      </w:r>
      <w:r>
        <w:rPr>
          <w:rFonts w:ascii="Calibri" w:hAnsi="Calibri" w:cs="Calibri"/>
          <w:color w:val="5B5B6E"/>
          <w:sz w:val="20"/>
          <w:szCs w:val="20"/>
        </w:rPr>
        <w:t xml:space="preserve">Vanessa, your account lead at Technica.</w:t>
      </w:r>
    </w:p>
    <w:p>
      <w:pPr>
        <w:pBdr>
          <w:bottom w:val="single" w:sz="6" w:space="1" w:color="C9C9D6"/>
        </w:pBdr>
        <w:spacing w:before="80" w:after="160" w:line="276" w:lineRule="auto"/>
      </w:pPr>
      <w:r>
        <w:rPr>
          <w:rFonts w:ascii="Calibri" w:hAnsi="Calibri" w:cs="Calibri"/>
          <w:color w:val="1A1A2E"/>
          <w:sz w:val="21"/>
          <w:szCs w:val="21"/>
        </w:rPr>
        <w:t xml:space="preserve"/>
      </w:r>
    </w:p>
    <w:p>
      <w:pPr>
        <w:pStyle w:val="Heading1"/>
        <w:spacing w:before="120" w:after="140" w:line="276" w:lineRule="auto"/>
      </w:pPr>
      <w:r>
        <w:rPr>
          <w:rFonts w:ascii="Calibri" w:hAnsi="Calibri" w:cs="Calibri"/>
          <w:b/>
          <w:color w:val="1A1A2E"/>
          <w:sz w:val="30"/>
          <w:szCs w:val="30"/>
        </w:rPr>
        <w:t xml:space="preserve">A note from Vanessa</w:t>
      </w:r>
    </w:p>
    <w:p>
      <w:pPr>
        <w:spacing w:before="0" w:after="140" w:line="276" w:lineRule="auto"/>
      </w:pPr>
      <w:r>
        <w:rPr>
          <w:rFonts w:ascii="Calibri" w:hAnsi="Calibri" w:cs="Calibri"/>
          <w:color w:val="1A1A2E"/>
          <w:sz w:val="21"/>
          <w:szCs w:val="21"/>
        </w:rPr>
        <w:t xml:space="preserve">The purpose of this review is simple: to talk about where your business is protected, where it is exposed, and what we should do together over the next year. It is a business conversation, not a technical one, so I have kept it in plain language.</w:t>
      </w:r>
    </w:p>
    <w:p>
      <w:pPr>
        <w:spacing w:before="0" w:after="140" w:line="276" w:lineRule="auto"/>
      </w:pPr>
      <w:r>
        <w:rPr>
          <w:rFonts w:ascii="Calibri" w:hAnsi="Calibri" w:cs="Calibri"/>
          <w:color w:val="1A1A2E"/>
          <w:sz w:val="21"/>
          <w:szCs w:val="21"/>
        </w:rPr>
        <w:t xml:space="preserve">The headline is good. Three of the measures we have been working on with you all moved in the right direction this quarter, and the overall picture is stronger than it was a year ago. That is the result of the steady work we have been doing behind the scenes on your behalf.</w:t>
      </w:r>
    </w:p>
    <w:p>
      <w:pPr>
        <w:spacing w:before="0" w:after="140" w:line="276" w:lineRule="auto"/>
      </w:pPr>
      <w:r>
        <w:rPr>
          <w:rFonts w:ascii="Calibri" w:hAnsi="Calibri" w:cs="Calibri"/>
          <w:color w:val="1A1A2E"/>
          <w:sz w:val="21"/>
          <w:szCs w:val="21"/>
        </w:rPr>
        <w:t xml:space="preserve">There are, however, </w:t>
      </w:r>
      <w:r>
        <w:rPr>
          <w:rFonts w:ascii="Calibri" w:hAnsi="Calibri" w:cs="Calibri"/>
          <w:b/>
          <w:color w:val="1A1A2E"/>
          <w:sz w:val="21"/>
          <w:szCs w:val="21"/>
        </w:rPr>
        <w:t xml:space="preserve">two items that need a decision from you today</w:t>
      </w:r>
      <w:r>
        <w:rPr>
          <w:rFonts w:ascii="Calibri" w:hAnsi="Calibri" w:cs="Calibri"/>
          <w:color w:val="1A1A2E"/>
          <w:sz w:val="21"/>
          <w:szCs w:val="21"/>
        </w:rPr>
        <w:t xml:space="preserve">. Both are about keeping the wrong people out of your systems, and both are straightforward to fix. There are three further items we are watching that are improving but not yet where we want them. I have laid all of this out below, and at the end there is a short list of choices for you to sign off on.</w:t>
      </w:r>
    </w:p>
    <w:p>
      <w:pPr>
        <w:spacing w:before="0" w:after="140" w:line="276" w:lineRule="auto"/>
      </w:pPr>
      <w:r>
        <w:rPr>
          <w:rFonts w:ascii="Calibri" w:hAnsi="Calibri" w:cs="Calibri"/>
          <w:i/>
          <w:color w:val="5B5B6E"/>
          <w:sz w:val="21"/>
          <w:szCs w:val="21"/>
        </w:rPr>
        <w:t xml:space="preserve">None of this is cause for alarm. It is exactly the kind of thing this review exists to surface, so that nothing important goes unspoken.</w:t>
      </w:r>
    </w:p>
    <w:p>
      <w:pPr>
        <w:pStyle w:val="Heading1"/>
        <w:spacing w:before="0" w:after="140" w:line="276" w:lineRule="auto"/>
      </w:pPr>
      <w:r>
        <w:rPr>
          <w:rFonts w:ascii="Calibri" w:hAnsi="Calibri" w:cs="Calibri"/>
          <w:b/>
          <w:color w:val="1A1A2E"/>
          <w:sz w:val="30"/>
          <w:szCs w:val="30"/>
        </w:rPr>
        <w:t xml:space="preserve">Where things stand</w:t>
      </w:r>
    </w:p>
    <w:p>
      <w:pPr>
        <w:spacing w:before="0" w:after="140" w:line="276" w:lineRule="auto"/>
      </w:pPr>
      <w:r>
        <w:rPr>
          <w:rFonts w:ascii="Calibri" w:hAnsi="Calibri" w:cs="Calibri"/>
          <w:color w:val="1A1A2E"/>
          <w:sz w:val="21"/>
          <w:szCs w:val="21"/>
        </w:rPr>
        <w:t xml:space="preserve">Each item below shows what we found, what it means for your business in plain terms, and what we recommend. Items marked </w:t>
      </w:r>
      <w:r>
        <w:rPr>
          <w:rFonts w:ascii="Calibri" w:hAnsi="Calibri" w:cs="Calibri"/>
          <w:b/>
          <w:color w:val="C0392B"/>
          <w:sz w:val="21"/>
          <w:szCs w:val="21"/>
        </w:rPr>
        <w:t xml:space="preserve">RED</w:t>
      </w:r>
      <w:r>
        <w:rPr>
          <w:rFonts w:ascii="Calibri" w:hAnsi="Calibri" w:cs="Calibri"/>
          <w:color w:val="1A1A2E"/>
          <w:sz w:val="21"/>
          <w:szCs w:val="21"/>
        </w:rPr>
        <w:t xml:space="preserve"> need action now. Items marked </w:t>
      </w:r>
      <w:r>
        <w:rPr>
          <w:rFonts w:ascii="Calibri" w:hAnsi="Calibri" w:cs="Calibri"/>
          <w:b/>
          <w:color w:val="B7791F"/>
          <w:sz w:val="21"/>
          <w:szCs w:val="21"/>
        </w:rPr>
        <w:t xml:space="preserve">AMBER</w:t>
      </w:r>
      <w:r>
        <w:rPr>
          <w:rFonts w:ascii="Calibri" w:hAnsi="Calibri" w:cs="Calibri"/>
          <w:color w:val="1A1A2E"/>
          <w:sz w:val="21"/>
          <w:szCs w:val="21"/>
        </w:rPr>
        <w:t xml:space="preserve"> are improving or lower-urgency, but still worth attention.</w:t>
      </w:r>
    </w:p>
    <w:p>
      <w:pPr>
        <w:spacing w:after="60"/>
      </w:pPr>
    </w:p>
    <w:tbl>
      <w:tblPr>
        <w:tblW w:w="9700" w:type="dxa"/>
        <w:tblLayout w:type="fixed"/>
        <w:tblBorders>
          <w:top w:val="single" w:sz="4" w:space="0" w:color="C9C9D6"/>
          <w:start w:val="single" w:sz="4" w:space="0" w:color="C9C9D6"/>
          <w:bottom w:val="single" w:sz="4" w:space="0" w:color="C9C9D6"/>
          <w:end w:val="single" w:sz="4" w:space="0" w:color="C9C9D6"/>
          <w:insideH w:val="single" w:sz="4" w:space="0" w:color="C9C9D6"/>
          <w:insideV w:val="single" w:sz="4" w:space="0" w:color="C9C9D6"/>
        </w:tblBorders>
      </w:tblPr>
      <w:tblGrid>
        <w:gridCol w:w="1150"/>
        <w:gridCol w:w="2450"/>
        <w:gridCol w:w="3550"/>
        <w:gridCol w:w="2550"/>
      </w:tblGrid>
      <w:tr>
        <w:trPr>
          <w:tblHeader/>
        </w:trPr>
        <w:tc>
          <w:tcPr>
            <w:tcW w:w="115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Status</w:t>
            </w:r>
          </w:p>
        </w:tc>
        <w:tc>
          <w:tcPr>
            <w:tcW w:w="245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What we found</w:t>
            </w:r>
          </w:p>
        </w:tc>
        <w:tc>
          <w:tcPr>
            <w:tcW w:w="355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What it means for your business</w:t>
            </w:r>
          </w:p>
        </w:tc>
        <w:tc>
          <w:tcPr>
            <w:tcW w:w="255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Our recommendation</w:t>
            </w:r>
          </w:p>
        </w:tc>
      </w:tr>
      <w:tr>
        <w:tc>
          <w:tcPr>
            <w:tcW w:w="1150" w:type="dxa"/>
            <w:shd w:val="clear" w:color="auto" w:fill="C0392B"/>
            <w:tcMar>
              <w:top w:w="100" w:type="dxa"/>
              <w:bottom w:w="100" w:type="dxa"/>
              <w:start w:w="130" w:type="dxa"/>
              <w:end w:w="130" w:type="dxa"/>
            </w:tcMar>
            <w:vAlign w:val="center"/>
          </w:tcPr>
          <w:p>
            <w:pPr>
              <w:spacing w:after="0" w:line="264" w:lineRule="auto"/>
              <w:jc w:val="center"/>
            </w:pPr>
            <w:r>
              <w:rPr>
                <w:rFonts w:ascii="Calibri" w:hAnsi="Calibri" w:cs="Calibri"/>
                <w:b/>
                <w:color w:val="FFFFFF"/>
                <w:sz w:val="18"/>
                <w:szCs w:val="18"/>
              </w:rPr>
              <w:t xml:space="preserve">RED</w:t>
            </w:r>
          </w:p>
        </w:tc>
        <w:tc>
          <w:tcPr>
            <w:tcW w:w="24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Several administrator accounts sign in with a password alone, with no second security check.</w:t>
            </w:r>
          </w:p>
        </w:tc>
        <w:tc>
          <w:tcPr>
            <w:tcW w:w="3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These are the accounts with the most control over your systems. If one password is stolen or guessed, an attacker could take control of your whole environment.</w:t>
            </w:r>
          </w:p>
        </w:tc>
        <w:tc>
          <w:tcPr>
            <w:tcW w:w="2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Turn on a second sign-in check (multi-factor authentication) for every administrator account. This is quick to do and closes the highest-impact gap you have.</w:t>
            </w:r>
          </w:p>
        </w:tc>
      </w:tr>
      <w:tr>
        <w:tc>
          <w:tcPr>
            <w:tcW w:w="1150" w:type="dxa"/>
            <w:shd w:val="clear" w:color="auto" w:fill="C0392B"/>
            <w:tcMar>
              <w:top w:w="100" w:type="dxa"/>
              <w:bottom w:w="100" w:type="dxa"/>
              <w:start w:w="130" w:type="dxa"/>
              <w:end w:w="130" w:type="dxa"/>
            </w:tcMar>
            <w:vAlign w:val="center"/>
          </w:tcPr>
          <w:p>
            <w:pPr>
              <w:spacing w:after="0" w:line="264" w:lineRule="auto"/>
              <w:jc w:val="center"/>
            </w:pPr>
            <w:r>
              <w:rPr>
                <w:rFonts w:ascii="Calibri" w:hAnsi="Calibri" w:cs="Calibri"/>
                <w:b/>
                <w:color w:val="FFFFFF"/>
                <w:sz w:val="18"/>
                <w:szCs w:val="18"/>
              </w:rPr>
              <w:t xml:space="preserve">RED</w:t>
            </w:r>
          </w:p>
        </w:tc>
        <w:tc>
          <w:tcPr>
            <w:tcW w:w="24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Six computers carry a known, publicly documented security flaw that attackers actively look for.</w:t>
            </w:r>
          </w:p>
        </w:tc>
        <w:tc>
          <w:tcPr>
            <w:tcW w:w="3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These machines are effectively an unlocked door into your network. This is a new item this quarter and it is the kind of weakness that is exploited quickly once found.</w:t>
            </w:r>
          </w:p>
        </w:tc>
        <w:tc>
          <w:tcPr>
            <w:tcW w:w="2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Update or isolate the six affected machines as a priority. We can complete this for you on approval.</w:t>
            </w:r>
          </w:p>
        </w:tc>
      </w:tr>
      <w:tr>
        <w:tc>
          <w:tcPr>
            <w:tcW w:w="1150" w:type="dxa"/>
            <w:shd w:val="clear" w:color="auto" w:fill="B7791F"/>
            <w:tcMar>
              <w:top w:w="100" w:type="dxa"/>
              <w:bottom w:w="100" w:type="dxa"/>
              <w:start w:w="130" w:type="dxa"/>
              <w:end w:w="130" w:type="dxa"/>
            </w:tcMar>
            <w:vAlign w:val="center"/>
          </w:tcPr>
          <w:p>
            <w:pPr>
              <w:spacing w:after="0" w:line="264" w:lineRule="auto"/>
              <w:jc w:val="center"/>
            </w:pPr>
            <w:r>
              <w:rPr>
                <w:rFonts w:ascii="Calibri" w:hAnsi="Calibri" w:cs="Calibri"/>
                <w:b/>
                <w:color w:val="FFFFFF"/>
                <w:sz w:val="18"/>
                <w:szCs w:val="18"/>
              </w:rPr>
              <w:t xml:space="preserve">AMBER</w:t>
            </w:r>
          </w:p>
        </w:tc>
        <w:tc>
          <w:tcPr>
            <w:tcW w:w="24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The test that confirms your backups can actually be restored is overdue.</w:t>
            </w:r>
          </w:p>
        </w:tc>
        <w:tc>
          <w:tcPr>
            <w:tcW w:w="3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You are paying for backups, but until they are tested we cannot fully promise your data would come back after an outage or attack. An untested backup is the difference between a bad day and a business-ending one.</w:t>
            </w:r>
          </w:p>
        </w:tc>
        <w:tc>
          <w:tcPr>
            <w:tcW w:w="2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Complete a full restore test this quarter so we can confirm your data is genuinely recoverable.</w:t>
            </w:r>
          </w:p>
        </w:tc>
      </w:tr>
      <w:tr>
        <w:tc>
          <w:tcPr>
            <w:tcW w:w="1150" w:type="dxa"/>
            <w:shd w:val="clear" w:color="auto" w:fill="B7791F"/>
            <w:tcMar>
              <w:top w:w="100" w:type="dxa"/>
              <w:bottom w:w="100" w:type="dxa"/>
              <w:start w:w="130" w:type="dxa"/>
              <w:end w:w="130" w:type="dxa"/>
            </w:tcMar>
            <w:vAlign w:val="center"/>
          </w:tcPr>
          <w:p>
            <w:pPr>
              <w:spacing w:after="0" w:line="264" w:lineRule="auto"/>
              <w:jc w:val="center"/>
            </w:pPr>
            <w:r>
              <w:rPr>
                <w:rFonts w:ascii="Calibri" w:hAnsi="Calibri" w:cs="Calibri"/>
                <w:b/>
                <w:color w:val="FFFFFF"/>
                <w:sz w:val="18"/>
                <w:szCs w:val="18"/>
              </w:rPr>
              <w:t xml:space="preserve">AMBER</w:t>
            </w:r>
          </w:p>
        </w:tc>
        <w:tc>
          <w:tcPr>
            <w:tcW w:w="24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Most, but not all, of your Windows computers are current on their security updates.</w:t>
            </w:r>
          </w:p>
        </w:tc>
        <w:tc>
          <w:tcPr>
            <w:tcW w:w="3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A small number of machines are running behind. A single out-of-date computer is one of the most common ways attackers get in, so the remaining gap still carries real risk.</w:t>
            </w:r>
          </w:p>
        </w:tc>
        <w:tc>
          <w:tcPr>
            <w:tcW w:w="2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Close the remaining coverage gap so every machine is kept current automatically.</w:t>
            </w:r>
          </w:p>
        </w:tc>
      </w:tr>
      <w:tr>
        <w:tc>
          <w:tcPr>
            <w:tcW w:w="1150" w:type="dxa"/>
            <w:shd w:val="clear" w:color="auto" w:fill="B7791F"/>
            <w:tcMar>
              <w:top w:w="100" w:type="dxa"/>
              <w:bottom w:w="100" w:type="dxa"/>
              <w:start w:w="130" w:type="dxa"/>
              <w:end w:w="130" w:type="dxa"/>
            </w:tcMar>
            <w:vAlign w:val="center"/>
          </w:tcPr>
          <w:p>
            <w:pPr>
              <w:spacing w:after="0" w:line="264" w:lineRule="auto"/>
              <w:jc w:val="center"/>
            </w:pPr>
            <w:r>
              <w:rPr>
                <w:rFonts w:ascii="Calibri" w:hAnsi="Calibri" w:cs="Calibri"/>
                <w:b/>
                <w:color w:val="FFFFFF"/>
                <w:sz w:val="18"/>
                <w:szCs w:val="18"/>
              </w:rPr>
              <w:t xml:space="preserve">AMBER</w:t>
            </w:r>
          </w:p>
        </w:tc>
        <w:tc>
          <w:tcPr>
            <w:tcW w:w="24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In our latest phishing test, roughly one in five staff clicked a simulated scam email.</w:t>
            </w:r>
          </w:p>
        </w:tc>
        <w:tc>
          <w:tcPr>
            <w:tcW w:w="3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Your team is getting better, but a meaningful share would still fall for a real attack. One click can hand over a password or trigger ransomware.</w:t>
            </w:r>
          </w:p>
        </w:tc>
        <w:tc>
          <w:tcPr>
            <w:tcW w:w="25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Keep the awareness training running and give extra coaching to staff who clicked more than once.</w:t>
            </w:r>
          </w:p>
        </w:tc>
      </w:tr>
    </w:tbl>
    <w:p>
      <w:pPr>
        <w:spacing w:after="120"/>
      </w:pPr>
    </w:p>
    <w:p>
      <w:pPr>
        <w:pStyle w:val="Heading1"/>
        <w:spacing w:before="0" w:after="140" w:line="276" w:lineRule="auto"/>
      </w:pPr>
      <w:r>
        <w:rPr>
          <w:rFonts w:ascii="Calibri" w:hAnsi="Calibri" w:cs="Calibri"/>
          <w:b/>
          <w:color w:val="1A1A2E"/>
          <w:sz w:val="30"/>
          <w:szCs w:val="30"/>
        </w:rPr>
        <w:t xml:space="preserve">What has improved since your last review</w:t>
      </w:r>
    </w:p>
    <w:p>
      <w:pPr>
        <w:spacing w:before="0" w:after="140" w:line="276" w:lineRule="auto"/>
      </w:pPr>
      <w:r>
        <w:rPr>
          <w:rFonts w:ascii="Calibri" w:hAnsi="Calibri" w:cs="Calibri"/>
          <w:color w:val="1A1A2E"/>
          <w:sz w:val="21"/>
          <w:szCs w:val="21"/>
        </w:rPr>
        <w:t xml:space="preserve">This is the part of the story that is easy to miss when the focus is on risk. Over the past year, the day-to-day protection around your business has genuinely strengthened:</w:t>
      </w:r>
    </w:p>
    <w:p>
      <w:pPr>
        <w:spacing w:after="60"/>
      </w:pPr>
    </w:p>
    <w:tbl>
      <w:tblPr>
        <w:tblW w:w="9700" w:type="dxa"/>
        <w:tblLayout w:type="fixed"/>
        <w:tblBorders>
          <w:top w:val="single" w:sz="4" w:space="0" w:color="C9C9D6"/>
          <w:start w:val="single" w:sz="4" w:space="0" w:color="C9C9D6"/>
          <w:bottom w:val="single" w:sz="4" w:space="0" w:color="C9C9D6"/>
          <w:end w:val="single" w:sz="4" w:space="0" w:color="C9C9D6"/>
          <w:insideH w:val="single" w:sz="4" w:space="0" w:color="C9C9D6"/>
          <w:insideV w:val="single" w:sz="4" w:space="0" w:color="C9C9D6"/>
        </w:tblBorders>
      </w:tblPr>
      <w:tblGrid>
        <w:gridCol w:w="6500"/>
        <w:gridCol w:w="3200"/>
      </w:tblGrid>
      <w:tr>
        <w:trPr>
          <w:tblHeader/>
        </w:trPr>
        <w:tc>
          <w:tcPr>
            <w:tcW w:w="650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Area</w:t>
            </w:r>
          </w:p>
        </w:tc>
        <w:tc>
          <w:tcPr>
            <w:tcW w:w="320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Direction</w:t>
            </w:r>
          </w:p>
        </w:tc>
      </w:tr>
      <w:tr>
        <w:tc>
          <w:tcPr>
            <w:tcW w:w="650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Administrator accounts protected with a second sign-in check</w:t>
            </w:r>
          </w:p>
        </w:tc>
        <w:tc>
          <w:tcPr>
            <w:tcW w:w="3200" w:type="dxa"/>
            <w:tcMar>
              <w:top w:w="100" w:type="dxa"/>
              <w:bottom w:w="100" w:type="dxa"/>
              <w:start w:w="130" w:type="dxa"/>
              <w:end w:w="130" w:type="dxa"/>
            </w:tcMar>
            <w:vAlign w:val="center"/>
          </w:tcPr>
          <w:p>
            <w:pPr>
              <w:spacing w:after="0" w:line="264" w:lineRule="auto"/>
            </w:pPr>
            <w:r>
              <w:rPr>
                <w:rFonts w:ascii="Calibri" w:hAnsi="Calibri" w:cs="Calibri"/>
                <w:b/>
                <w:color w:val="2F855A"/>
                <w:sz w:val="20"/>
                <w:szCs w:val="20"/>
              </w:rPr>
              <w:t xml:space="preserve">Improved</w:t>
            </w:r>
          </w:p>
        </w:tc>
      </w:tr>
      <w:tr>
        <w:tc>
          <w:tcPr>
            <w:tcW w:w="650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Windows computers kept current on security updates</w:t>
            </w:r>
          </w:p>
        </w:tc>
        <w:tc>
          <w:tcPr>
            <w:tcW w:w="3200" w:type="dxa"/>
            <w:tcMar>
              <w:top w:w="100" w:type="dxa"/>
              <w:bottom w:w="100" w:type="dxa"/>
              <w:start w:w="130" w:type="dxa"/>
              <w:end w:w="130" w:type="dxa"/>
            </w:tcMar>
            <w:vAlign w:val="center"/>
          </w:tcPr>
          <w:p>
            <w:pPr>
              <w:spacing w:after="0" w:line="264" w:lineRule="auto"/>
            </w:pPr>
            <w:r>
              <w:rPr>
                <w:rFonts w:ascii="Calibri" w:hAnsi="Calibri" w:cs="Calibri"/>
                <w:b/>
                <w:color w:val="2F855A"/>
                <w:sz w:val="20"/>
                <w:szCs w:val="20"/>
              </w:rPr>
              <w:t xml:space="preserve">Improved</w:t>
            </w:r>
          </w:p>
        </w:tc>
      </w:tr>
      <w:tr>
        <w:tc>
          <w:tcPr>
            <w:tcW w:w="650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Staff resisting phishing scams in our tests</w:t>
            </w:r>
          </w:p>
        </w:tc>
        <w:tc>
          <w:tcPr>
            <w:tcW w:w="3200" w:type="dxa"/>
            <w:tcMar>
              <w:top w:w="100" w:type="dxa"/>
              <w:bottom w:w="100" w:type="dxa"/>
              <w:start w:w="130" w:type="dxa"/>
              <w:end w:w="130" w:type="dxa"/>
            </w:tcMar>
            <w:vAlign w:val="center"/>
          </w:tcPr>
          <w:p>
            <w:pPr>
              <w:spacing w:after="0" w:line="264" w:lineRule="auto"/>
            </w:pPr>
            <w:r>
              <w:rPr>
                <w:rFonts w:ascii="Calibri" w:hAnsi="Calibri" w:cs="Calibri"/>
                <w:b/>
                <w:color w:val="2F855A"/>
                <w:sz w:val="20"/>
                <w:szCs w:val="20"/>
              </w:rPr>
              <w:t xml:space="preserve">Improved</w:t>
            </w:r>
          </w:p>
        </w:tc>
      </w:tr>
      <w:tr>
        <w:tc>
          <w:tcPr>
            <w:tcW w:w="650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Backup restore testing</w:t>
            </w:r>
          </w:p>
        </w:tc>
        <w:tc>
          <w:tcPr>
            <w:tcW w:w="3200" w:type="dxa"/>
            <w:tcMar>
              <w:top w:w="100" w:type="dxa"/>
              <w:bottom w:w="100" w:type="dxa"/>
              <w:start w:w="130" w:type="dxa"/>
              <w:end w:w="130" w:type="dxa"/>
            </w:tcMar>
            <w:vAlign w:val="center"/>
          </w:tcPr>
          <w:p>
            <w:pPr>
              <w:spacing w:after="0" w:line="264" w:lineRule="auto"/>
            </w:pPr>
            <w:r>
              <w:rPr>
                <w:rFonts w:ascii="Calibri" w:hAnsi="Calibri" w:cs="Calibri"/>
                <w:b/>
                <w:color w:val="B7791F"/>
                <w:sz w:val="20"/>
                <w:szCs w:val="20"/>
              </w:rPr>
              <w:t xml:space="preserve">Slipped this quarter</w:t>
            </w:r>
          </w:p>
        </w:tc>
      </w:tr>
    </w:tbl>
    <w:p>
      <w:pPr>
        <w:spacing w:after="100"/>
      </w:pPr>
    </w:p>
    <w:p>
      <w:pPr>
        <w:spacing w:before="0" w:after="140" w:line="276" w:lineRule="auto"/>
      </w:pPr>
      <w:r>
        <w:rPr>
          <w:rFonts w:ascii="Calibri" w:hAnsi="Calibri" w:cs="Calibri"/>
          <w:i/>
          <w:color w:val="5B5B6E"/>
          <w:sz w:val="21"/>
          <w:szCs w:val="21"/>
        </w:rPr>
        <w:t xml:space="preserve">We are showing you the one that slipped as well as the three that improved, because you should always get the full picture from us — not just the good news. The overdue backup test is on the decision list below.</w:t>
      </w:r>
    </w:p>
    <w:p>
      <w:pPr>
        <w:spacing w:before="0" w:after="0" w:line="276" w:lineRule="auto"/>
      </w:pPr>
      <w:r>
        <w:br w:type="page"/>
      </w:r>
    </w:p>
    <w:p>
      <w:pPr>
        <w:pStyle w:val="Heading1"/>
        <w:spacing w:before="0" w:after="140" w:line="276" w:lineRule="auto"/>
      </w:pPr>
      <w:r>
        <w:rPr>
          <w:rFonts w:ascii="Calibri" w:hAnsi="Calibri" w:cs="Calibri"/>
          <w:b/>
          <w:color w:val="1A1A2E"/>
          <w:sz w:val="30"/>
          <w:szCs w:val="30"/>
        </w:rPr>
        <w:t xml:space="preserve">What needs a decision</w:t>
      </w:r>
    </w:p>
    <w:p>
      <w:pPr>
        <w:spacing w:before="0" w:after="140" w:line="276" w:lineRule="auto"/>
      </w:pPr>
      <w:r>
        <w:rPr>
          <w:rFonts w:ascii="Calibri" w:hAnsi="Calibri" w:cs="Calibri"/>
          <w:color w:val="1A1A2E"/>
          <w:sz w:val="21"/>
          <w:szCs w:val="21"/>
        </w:rPr>
        <w:t xml:space="preserve">For each item below you have two choices: ask us to proceed with the fix, or decide to defer it for now. Either choice is fine — the point is that the decision is yours, it is made with the full picture in front of you, and it is written down.</w:t>
      </w:r>
    </w:p>
    <w:p>
      <w:pPr>
        <w:spacing w:before="0" w:after="140" w:line="276" w:lineRule="auto"/>
      </w:pPr>
      <w:r>
        <w:rPr>
          <w:rFonts w:ascii="Calibri" w:hAnsi="Calibri" w:cs="Calibri"/>
          <w:color w:val="5B5B6E"/>
          <w:sz w:val="21"/>
          <w:szCs w:val="21"/>
        </w:rPr>
        <w:t xml:space="preserve">We record these choices, and ask you to sign them off, every review. This protects you as much as us: it means that if a question ever arises about what was known and when, there is a clear, dated record that we discussed it together and agreed a course of action.</w:t>
      </w:r>
    </w:p>
    <w:p>
      <w:pPr>
        <w:spacing w:after="60"/>
      </w:pPr>
    </w:p>
    <w:tbl>
      <w:tblPr>
        <w:tblW w:w="9700" w:type="dxa"/>
        <w:tblLayout w:type="fixed"/>
        <w:tblBorders>
          <w:top w:val="single" w:sz="4" w:space="0" w:color="C9C9D6"/>
          <w:start w:val="single" w:sz="4" w:space="0" w:color="C9C9D6"/>
          <w:bottom w:val="single" w:sz="4" w:space="0" w:color="C9C9D6"/>
          <w:end w:val="single" w:sz="4" w:space="0" w:color="C9C9D6"/>
          <w:insideH w:val="single" w:sz="4" w:space="0" w:color="C9C9D6"/>
          <w:insideV w:val="single" w:sz="4" w:space="0" w:color="C9C9D6"/>
        </w:tblBorders>
      </w:tblPr>
      <w:tblGrid>
        <w:gridCol w:w="4850"/>
        <w:gridCol w:w="4850"/>
      </w:tblGrid>
      <w:tr>
        <w:trPr>
          <w:tblHeader/>
        </w:trPr>
        <w:tc>
          <w:tcPr>
            <w:tcW w:w="485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Decision for you</w:t>
            </w:r>
          </w:p>
        </w:tc>
        <w:tc>
          <w:tcPr>
            <w:tcW w:w="4850" w:type="dxa"/>
            <w:shd w:val="clear" w:color="auto" w:fill="140628"/>
            <w:tcMar>
              <w:top w:w="100" w:type="dxa"/>
              <w:bottom w:w="100" w:type="dxa"/>
              <w:start w:w="130" w:type="dxa"/>
              <w:end w:w="130" w:type="dxa"/>
            </w:tcMar>
            <w:vAlign w:val="center"/>
          </w:tcPr>
          <w:p>
            <w:pPr>
              <w:spacing w:after="0" w:line="264" w:lineRule="auto"/>
            </w:pPr>
            <w:r>
              <w:rPr>
                <w:rFonts w:ascii="Calibri" w:hAnsi="Calibri" w:cs="Calibri"/>
                <w:b/>
                <w:color w:val="FFFFFF"/>
                <w:sz w:val="19"/>
                <w:szCs w:val="19"/>
              </w:rPr>
              <w:t xml:space="preserve">Your choice today</w:t>
            </w:r>
          </w:p>
        </w:tc>
      </w:tr>
      <w:tr>
        <w:tc>
          <w:tcPr>
            <w:tcW w:w="48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Protect all administrator accounts with a second sign-in check (RED)</w:t>
            </w:r>
          </w:p>
        </w:tc>
        <w:tc>
          <w:tcPr>
            <w:tcW w:w="4850" w:type="dxa"/>
            <w:tcMar>
              <w:top w:w="100" w:type="dxa"/>
              <w:bottom w:w="100" w:type="dxa"/>
              <w:start w:w="130" w:type="dxa"/>
              <w:end w:w="130" w:type="dxa"/>
            </w:tcMar>
            <w:vAlign w:val="center"/>
          </w:tcPr>
          <w:p>
            <w:pPr>
              <w:spacing w:after="0" w:line="264" w:lineRule="auto"/>
            </w:pPr>
            <w:r>
              <w:rPr>
                <w:rFonts w:ascii="Calibri" w:hAnsi="Calibri" w:cs="Calibri"/>
                <w:color w:val="5B5B6E"/>
                <w:sz w:val="20"/>
                <w:szCs w:val="20"/>
              </w:rPr>
              <w:t xml:space="preserve">Proceed  ☐        Defer / accept risk  ☐</w:t>
            </w:r>
          </w:p>
        </w:tc>
      </w:tr>
      <w:tr>
        <w:tc>
          <w:tcPr>
            <w:tcW w:w="48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Update or isolate the six exposed computers (RED)</w:t>
            </w:r>
          </w:p>
        </w:tc>
        <w:tc>
          <w:tcPr>
            <w:tcW w:w="4850" w:type="dxa"/>
            <w:tcMar>
              <w:top w:w="100" w:type="dxa"/>
              <w:bottom w:w="100" w:type="dxa"/>
              <w:start w:w="130" w:type="dxa"/>
              <w:end w:w="130" w:type="dxa"/>
            </w:tcMar>
            <w:vAlign w:val="center"/>
          </w:tcPr>
          <w:p>
            <w:pPr>
              <w:spacing w:after="0" w:line="264" w:lineRule="auto"/>
            </w:pPr>
            <w:r>
              <w:rPr>
                <w:rFonts w:ascii="Calibri" w:hAnsi="Calibri" w:cs="Calibri"/>
                <w:color w:val="5B5B6E"/>
                <w:sz w:val="20"/>
                <w:szCs w:val="20"/>
              </w:rPr>
              <w:t xml:space="preserve">Proceed  ☐        Defer / accept risk  ☐</w:t>
            </w:r>
          </w:p>
        </w:tc>
      </w:tr>
      <w:tr>
        <w:tc>
          <w:tcPr>
            <w:tcW w:w="4850" w:type="dxa"/>
            <w:tcMar>
              <w:top w:w="100" w:type="dxa"/>
              <w:bottom w:w="100" w:type="dxa"/>
              <w:start w:w="130" w:type="dxa"/>
              <w:end w:w="130" w:type="dxa"/>
            </w:tcMar>
            <w:vAlign w:val="center"/>
          </w:tcPr>
          <w:p>
            <w:pPr>
              <w:spacing w:after="0" w:line="264" w:lineRule="auto"/>
            </w:pPr>
            <w:r>
              <w:rPr>
                <w:rFonts w:ascii="Calibri" w:hAnsi="Calibri" w:cs="Calibri"/>
                <w:color w:val="1A1A2E"/>
                <w:sz w:val="20"/>
                <w:szCs w:val="20"/>
              </w:rPr>
              <w:t xml:space="preserve">Complete an overdue backup restore test</w:t>
            </w:r>
          </w:p>
        </w:tc>
        <w:tc>
          <w:tcPr>
            <w:tcW w:w="4850" w:type="dxa"/>
            <w:tcMar>
              <w:top w:w="100" w:type="dxa"/>
              <w:bottom w:w="100" w:type="dxa"/>
              <w:start w:w="130" w:type="dxa"/>
              <w:end w:w="130" w:type="dxa"/>
            </w:tcMar>
            <w:vAlign w:val="center"/>
          </w:tcPr>
          <w:p>
            <w:pPr>
              <w:spacing w:after="0" w:line="264" w:lineRule="auto"/>
            </w:pPr>
            <w:r>
              <w:rPr>
                <w:rFonts w:ascii="Calibri" w:hAnsi="Calibri" w:cs="Calibri"/>
                <w:color w:val="5B5B6E"/>
                <w:sz w:val="20"/>
                <w:szCs w:val="20"/>
              </w:rPr>
              <w:t xml:space="preserve">Proceed  ☐        Defer / accept risk  ☐</w:t>
            </w:r>
          </w:p>
        </w:tc>
      </w:tr>
    </w:tbl>
    <w:p>
      <w:pPr>
        <w:spacing w:after="200"/>
      </w:pPr>
    </w:p>
    <w:p>
      <w:pPr>
        <w:spacing w:before="0" w:after="140" w:line="276" w:lineRule="auto"/>
      </w:pPr>
      <w:r>
        <w:rPr>
          <w:rFonts w:ascii="Calibri" w:hAnsi="Calibri" w:cs="Calibri"/>
          <w:b/>
          <w:color w:val="1A1A2E"/>
          <w:sz w:val="21"/>
          <w:szCs w:val="21"/>
        </w:rPr>
        <w:t xml:space="preserve">Signed on behalf of Fenwick Logistics:  </w:t>
      </w:r>
      <w:r>
        <w:rPr>
          <w:rFonts w:ascii="Calibri" w:hAnsi="Calibri" w:cs="Calibri"/>
          <w:color w:val="5B5B6E"/>
          <w:sz w:val="21"/>
          <w:szCs w:val="21"/>
        </w:rPr>
        <w:t xml:space="preserve">______________________________     Date: ______________</w:t>
      </w:r>
    </w:p>
    <w:p>
      <w:pPr>
        <w:spacing w:before="0" w:after="140" w:line="276" w:lineRule="auto"/>
      </w:pPr>
      <w:r>
        <w:rPr>
          <w:rFonts w:ascii="Calibri" w:hAnsi="Calibri" w:cs="Calibri"/>
          <w:b/>
          <w:color w:val="1A1A2E"/>
          <w:sz w:val="21"/>
          <w:szCs w:val="21"/>
        </w:rPr>
        <w:t xml:space="preserve">For Technica: Vanessa    </w:t>
      </w:r>
      <w:r>
        <w:rPr>
          <w:rFonts w:ascii="Calibri" w:hAnsi="Calibri" w:cs="Calibri"/>
          <w:color w:val="5B5B6E"/>
          <w:sz w:val="21"/>
          <w:szCs w:val="21"/>
        </w:rPr>
        <w:t xml:space="preserve">______________________________     Date: ______________</w:t>
      </w:r>
    </w:p>
    <w:p>
      <w:pPr>
        <w:pStyle w:val="Heading1"/>
        <w:spacing w:before="0" w:after="140" w:line="276" w:lineRule="auto"/>
      </w:pPr>
      <w:r>
        <w:rPr>
          <w:rFonts w:ascii="Calibri" w:hAnsi="Calibri" w:cs="Calibri"/>
          <w:b/>
          <w:color w:val="1A1A2E"/>
          <w:sz w:val="30"/>
          <w:szCs w:val="30"/>
        </w:rPr>
        <w:t xml:space="preserve">The next twelve months</w:t>
      </w:r>
    </w:p>
    <w:p>
      <w:pPr>
        <w:spacing w:before="0" w:after="140" w:line="276" w:lineRule="auto"/>
      </w:pPr>
      <w:r>
        <w:rPr>
          <w:rFonts w:ascii="Calibri" w:hAnsi="Calibri" w:cs="Calibri"/>
          <w:color w:val="1A1A2E"/>
          <w:sz w:val="21"/>
          <w:szCs w:val="21"/>
        </w:rPr>
        <w:t xml:space="preserve">Beyond the items above, here is how we see the year ahead — where you are today, where we would like to get you to, and roughly what that involves. We will walk through this together and shape it around your own plans for the business.</w:t>
      </w:r>
    </w:p>
    <w:p>
      <w:pPr>
        <w:numPr>
          <w:ilvl w:val="0"/>
          <w:numId w:val="1"/>
        </w:numPr>
        <w:spacing w:before="0" w:after="140" w:line="276" w:lineRule="auto"/>
      </w:pPr>
      <w:r>
        <w:rPr>
          <w:rFonts w:ascii="Calibri" w:hAnsi="Calibri" w:cs="Calibri"/>
          <w:b/>
          <w:color w:val="1A1A2E"/>
          <w:sz w:val="21"/>
          <w:szCs w:val="21"/>
        </w:rPr>
        <w:t xml:space="preserve">Where you are today: </w:t>
      </w:r>
      <w:r>
        <w:rPr>
          <w:rFonts w:ascii="Calibri" w:hAnsi="Calibri" w:cs="Calibri"/>
          <w:color w:val="1A1A2E"/>
          <w:sz w:val="21"/>
          <w:szCs w:val="21"/>
        </w:rPr>
        <w:t xml:space="preserve">a solid and improving security position, with two priority gaps to close and a backup test to complete.</w:t>
      </w:r>
    </w:p>
    <w:p>
      <w:pPr>
        <w:numPr>
          <w:ilvl w:val="0"/>
          <w:numId w:val="1"/>
        </w:numPr>
        <w:spacing w:before="0" w:after="140" w:line="276" w:lineRule="auto"/>
      </w:pPr>
      <w:r>
        <w:rPr>
          <w:rFonts w:ascii="Calibri" w:hAnsi="Calibri" w:cs="Calibri"/>
          <w:b/>
          <w:color w:val="1A1A2E"/>
          <w:sz w:val="21"/>
          <w:szCs w:val="21"/>
        </w:rPr>
        <w:t xml:space="preserve">Where we want to get you to: </w:t>
      </w:r>
      <w:r>
        <w:rPr>
          <w:rFonts w:ascii="Calibri" w:hAnsi="Calibri" w:cs="Calibri"/>
          <w:color w:val="1A1A2E"/>
          <w:sz w:val="21"/>
          <w:szCs w:val="21"/>
        </w:rPr>
        <w:t xml:space="preserve">every machine current, every key account protected by a second sign-in check, and backups tested on a regular schedule you can rely on.</w:t>
      </w:r>
    </w:p>
    <w:p>
      <w:pPr>
        <w:numPr>
          <w:ilvl w:val="0"/>
          <w:numId w:val="1"/>
        </w:numPr>
        <w:spacing w:before="0" w:after="140" w:line="276" w:lineRule="auto"/>
      </w:pPr>
      <w:r>
        <w:rPr>
          <w:rFonts w:ascii="Calibri" w:hAnsi="Calibri" w:cs="Calibri"/>
          <w:b/>
          <w:color w:val="1A1A2E"/>
          <w:sz w:val="21"/>
          <w:szCs w:val="21"/>
        </w:rPr>
        <w:t xml:space="preserve">What it involves: </w:t>
      </w:r>
      <w:r>
        <w:rPr>
          <w:rFonts w:ascii="Calibri" w:hAnsi="Calibri" w:cs="Calibri"/>
          <w:color w:val="1A1A2E"/>
          <w:sz w:val="21"/>
          <w:szCs w:val="21"/>
        </w:rPr>
        <w:t xml:space="preserve">mostly work we can carry out for you under your existing arrangement, plus any items you choose to invest in from the decisions above.</w:t>
      </w:r>
    </w:p>
    <w:p>
      <w:pPr>
        <w:spacing w:after="60"/>
      </w:pPr>
    </w:p>
    <w:p>
      <w:pPr>
        <w:spacing w:before="0" w:after="140" w:line="276" w:lineRule="auto"/>
      </w:pPr>
      <w:r>
        <w:rPr>
          <w:rFonts w:ascii="Calibri" w:hAnsi="Calibri" w:cs="Calibri"/>
          <w:i/>
          <w:color w:val="5B5B6E"/>
          <w:sz w:val="19"/>
          <w:szCs w:val="19"/>
        </w:rPr>
        <w:t xml:space="preserve">[ To be completed by Vanessa before the meeting: specific goals, timeline and any investment for the year ahead. This section reflects Fenwick’s own business plans and is finalised with the client, not drafted from system data. ]</w:t>
      </w:r>
    </w:p>
    <w:p>
      <w:pPr>
        <w:pBdr>
          <w:bottom w:val="single" w:sz="6" w:space="1" w:color="C9C9D6"/>
        </w:pBdr>
        <w:spacing w:before="80" w:after="160" w:line="276" w:lineRule="auto"/>
      </w:pPr>
      <w:r>
        <w:rPr>
          <w:rFonts w:ascii="Calibri" w:hAnsi="Calibri" w:cs="Calibri"/>
          <w:color w:val="1A1A2E"/>
          <w:sz w:val="21"/>
          <w:szCs w:val="21"/>
        </w:rPr>
        <w:t xml:space="preserve"/>
      </w:r>
    </w:p>
    <w:p>
      <w:pPr>
        <w:spacing w:before="0" w:after="140" w:line="276" w:lineRule="auto"/>
      </w:pPr>
      <w:r>
        <w:rPr>
          <w:rFonts w:ascii="Calibri" w:hAnsi="Calibri" w:cs="Calibri"/>
          <w:color w:val="5B5B6E"/>
          <w:sz w:val="18"/>
          <w:szCs w:val="18"/>
        </w:rPr>
        <w:t xml:space="preserve">This review was prepared by Technica using N-able AI Coworkers and reviewed and approved by your account lead before sending. It is a living record: the same items are carried forward and revisited at each review so you can always see the direction of travel.</w:t>
      </w:r>
    </w:p>
    <w:sectPr>
      <w:pgSz w:w="12240" w:h="15840"/>
      <w:pgMar w:top="1080" w:right="1180" w:bottom="1080" w:left="11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1A1A2E"/>
        <w:sz w:val="21"/>
        <w:szCs w:val="21"/>
      </w:rPr>
    </w:rPrDefault>
  </w:docDefaults>
  <w:style w:type="paragraph" w:default="1" w:styleId="Normal">
    <w:name w:val="Normal"/>
  </w:style>
  <w:style w:type="paragraph" w:styleId="Heading1">
    <w:name w:val="heading 1"/>
    <w:basedOn w:val="Normal"/>
    <w:next w:val="Normal"/>
    <w:qFormat/>
    <w:pPr>
      <w:keepNext/>
      <w:outlineLvl w:val="0"/>
      <w:spacing w:before="320" w:after="140"/>
    </w:pPr>
    <w:rPr>
      <w:b/>
      <w:color w:val="1A1A2E"/>
      <w:sz w:val="30"/>
      <w:szCs w:val="30"/>
    </w:rPr>
  </w:style>
  <w:style w:type="paragraph" w:styleId="Heading2">
    <w:name w:val="heading 2"/>
    <w:basedOn w:val="Normal"/>
    <w:next w:val="Normal"/>
    <w:qFormat/>
    <w:pPr>
      <w:keepNext/>
      <w:outlineLvl w:val="1"/>
      <w:spacing w:before="240" w:after="100"/>
    </w:pPr>
    <w:rPr>
      <w:b/>
      <w:color w:val="1A1A2E"/>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Band Protocol EBR Coworker</Application>
  <Company>Technica</Company>
</Properties>
</file>

<file path=docProps/core.xml><?xml version="1.0" encoding="utf-8"?>
<cp:coreProperties xmlns:cp="http://schemas.openxmlformats.org/package/2006/metadata/core-properties" xmlns:dc="http://purl.org/dc/elements/1.1/" xmlns:dcterms="http://purl.org/dc/terms/" xmlns:xsi="http://www.w3.org/2001/XMLSchema-instance">
  <dc:title>Executive Business Review — Fenwick Logistics</dc:title>
  <dc:creator>Technica (powered by N-able AI Coworkers)</dc:creator>
  <cp:lastModifiedBy>Technica</cp:lastModifiedBy>
</cp:coreProperties>
</file>