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EA35" w14:textId="46BC4DC5" w:rsidR="007A743B" w:rsidRPr="00CC0F21" w:rsidRDefault="002F6BFC" w:rsidP="00DF2015">
      <w:pPr>
        <w:pStyle w:val="Title"/>
        <w:jc w:val="both"/>
        <w:rPr>
          <w:rFonts w:asciiTheme="minorHAnsi" w:hAnsiTheme="minorHAnsi" w:cstheme="minorHAnsi"/>
        </w:rPr>
      </w:pPr>
      <w:r w:rsidRPr="00CC0F21">
        <w:rPr>
          <w:rFonts w:asciiTheme="minorHAnsi" w:hAnsiTheme="minorHAnsi" w:cstheme="minorHAnsi"/>
        </w:rPr>
        <w:t xml:space="preserve">Obscuro </w:t>
      </w:r>
      <w:r w:rsidR="00151615" w:rsidRPr="00CC0F21">
        <w:rPr>
          <w:rFonts w:asciiTheme="minorHAnsi" w:hAnsiTheme="minorHAnsi" w:cstheme="minorHAnsi"/>
        </w:rPr>
        <w:t>Tokenomics</w:t>
      </w:r>
      <w:r w:rsidR="00D313D5" w:rsidRPr="00CC0F21">
        <w:rPr>
          <w:rFonts w:asciiTheme="minorHAnsi" w:hAnsiTheme="minorHAnsi" w:cstheme="minorHAnsi"/>
        </w:rPr>
        <w:t xml:space="preserve"> Proposal</w:t>
      </w:r>
    </w:p>
    <w:sdt>
      <w:sdtPr>
        <w:rPr>
          <w:rFonts w:asciiTheme="minorHAnsi" w:eastAsiaTheme="minorHAnsi" w:hAnsiTheme="minorHAnsi" w:cstheme="minorBidi"/>
          <w:color w:val="auto"/>
          <w:sz w:val="24"/>
          <w:szCs w:val="22"/>
          <w:lang w:val="en-GB"/>
        </w:rPr>
        <w:id w:val="627431808"/>
        <w:docPartObj>
          <w:docPartGallery w:val="Table of Contents"/>
          <w:docPartUnique/>
        </w:docPartObj>
      </w:sdtPr>
      <w:sdtEndPr>
        <w:rPr>
          <w:b/>
          <w:bCs/>
        </w:rPr>
      </w:sdtEndPr>
      <w:sdtContent>
        <w:p w14:paraId="42FC9D3C" w14:textId="6A77D852" w:rsidR="001A7314" w:rsidRPr="00CC0F21" w:rsidRDefault="001A7314" w:rsidP="001A7314">
          <w:pPr>
            <w:pStyle w:val="TOCHeading"/>
            <w:rPr>
              <w:color w:val="auto"/>
            </w:rPr>
          </w:pPr>
          <w:r w:rsidRPr="00CC0F21">
            <w:rPr>
              <w:color w:val="auto"/>
            </w:rPr>
            <w:t>Contents</w:t>
          </w:r>
        </w:p>
        <w:p w14:paraId="555647C3" w14:textId="14F8394D" w:rsidR="00CC0F21" w:rsidRPr="00CC0F21" w:rsidRDefault="001A7314">
          <w:pPr>
            <w:pStyle w:val="TOC1"/>
            <w:tabs>
              <w:tab w:val="right" w:leader="dot" w:pos="9288"/>
            </w:tabs>
            <w:rPr>
              <w:rFonts w:eastAsiaTheme="minorEastAsia"/>
              <w:noProof/>
              <w:sz w:val="22"/>
              <w:lang w:eastAsia="en-GB"/>
            </w:rPr>
          </w:pPr>
          <w:r w:rsidRPr="00CC0F21">
            <w:fldChar w:fldCharType="begin"/>
          </w:r>
          <w:r w:rsidRPr="00CC0F21">
            <w:instrText xml:space="preserve"> TOC \o "1-3" \h \z \u </w:instrText>
          </w:r>
          <w:r w:rsidRPr="00CC0F21">
            <w:fldChar w:fldCharType="separate"/>
          </w:r>
          <w:hyperlink w:anchor="_Toc104212425" w:history="1">
            <w:r w:rsidR="00CC0F21" w:rsidRPr="00CC0F21">
              <w:rPr>
                <w:rStyle w:val="Hyperlink"/>
                <w:noProof/>
                <w:color w:val="auto"/>
              </w:rPr>
              <w:t>Introduction</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_Toc104212425 \h </w:instrText>
            </w:r>
            <w:r w:rsidR="00CC0F21" w:rsidRPr="00CC0F21">
              <w:rPr>
                <w:noProof/>
                <w:webHidden/>
              </w:rPr>
            </w:r>
            <w:r w:rsidR="00CC0F21" w:rsidRPr="00CC0F21">
              <w:rPr>
                <w:noProof/>
                <w:webHidden/>
              </w:rPr>
              <w:fldChar w:fldCharType="separate"/>
            </w:r>
            <w:r w:rsidR="00CC0F21" w:rsidRPr="00CC0F21">
              <w:rPr>
                <w:noProof/>
                <w:webHidden/>
              </w:rPr>
              <w:t>2</w:t>
            </w:r>
            <w:r w:rsidR="00CC0F21" w:rsidRPr="00CC0F21">
              <w:rPr>
                <w:noProof/>
                <w:webHidden/>
              </w:rPr>
              <w:fldChar w:fldCharType="end"/>
            </w:r>
          </w:hyperlink>
        </w:p>
        <w:p w14:paraId="6A0BDAC1" w14:textId="79BF6C76" w:rsidR="00CC0F21" w:rsidRPr="00CC0F21" w:rsidRDefault="00486E9D">
          <w:pPr>
            <w:pStyle w:val="TOC1"/>
            <w:tabs>
              <w:tab w:val="right" w:leader="dot" w:pos="9288"/>
            </w:tabs>
            <w:rPr>
              <w:rFonts w:eastAsiaTheme="minorEastAsia"/>
              <w:noProof/>
              <w:sz w:val="22"/>
              <w:lang w:eastAsia="en-GB"/>
            </w:rPr>
          </w:pPr>
          <w:hyperlink w:anchor="_Toc104212426" w:history="1">
            <w:r w:rsidR="00CC0F21" w:rsidRPr="00CC0F21">
              <w:rPr>
                <w:rStyle w:val="Hyperlink"/>
                <w:noProof/>
                <w:color w:val="auto"/>
              </w:rPr>
              <w:t>Token Issuance and Distribution</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_Toc104212426 \h </w:instrText>
            </w:r>
            <w:r w:rsidR="00CC0F21" w:rsidRPr="00CC0F21">
              <w:rPr>
                <w:noProof/>
                <w:webHidden/>
              </w:rPr>
            </w:r>
            <w:r w:rsidR="00CC0F21" w:rsidRPr="00CC0F21">
              <w:rPr>
                <w:noProof/>
                <w:webHidden/>
              </w:rPr>
              <w:fldChar w:fldCharType="separate"/>
            </w:r>
            <w:r w:rsidR="00CC0F21" w:rsidRPr="00CC0F21">
              <w:rPr>
                <w:noProof/>
                <w:webHidden/>
              </w:rPr>
              <w:t>3</w:t>
            </w:r>
            <w:r w:rsidR="00CC0F21" w:rsidRPr="00CC0F21">
              <w:rPr>
                <w:noProof/>
                <w:webHidden/>
              </w:rPr>
              <w:fldChar w:fldCharType="end"/>
            </w:r>
          </w:hyperlink>
        </w:p>
        <w:p w14:paraId="63D412ED" w14:textId="72B1F1CD" w:rsidR="00CC0F21" w:rsidRPr="00CC0F21" w:rsidRDefault="00486E9D">
          <w:pPr>
            <w:pStyle w:val="TOC2"/>
            <w:tabs>
              <w:tab w:val="right" w:leader="dot" w:pos="9288"/>
            </w:tabs>
            <w:rPr>
              <w:rFonts w:eastAsiaTheme="minorEastAsia"/>
              <w:noProof/>
              <w:sz w:val="22"/>
              <w:lang w:eastAsia="en-GB"/>
            </w:rPr>
          </w:pPr>
          <w:hyperlink w:anchor="_Toc104212427" w:history="1">
            <w:r w:rsidR="00CC0F21" w:rsidRPr="00CC0F21">
              <w:rPr>
                <w:rStyle w:val="Hyperlink"/>
                <w:noProof/>
                <w:color w:val="auto"/>
              </w:rPr>
              <w:t>Token Supply</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_Toc104212427 \h </w:instrText>
            </w:r>
            <w:r w:rsidR="00CC0F21" w:rsidRPr="00CC0F21">
              <w:rPr>
                <w:noProof/>
                <w:webHidden/>
              </w:rPr>
            </w:r>
            <w:r w:rsidR="00CC0F21" w:rsidRPr="00CC0F21">
              <w:rPr>
                <w:noProof/>
                <w:webHidden/>
              </w:rPr>
              <w:fldChar w:fldCharType="separate"/>
            </w:r>
            <w:r w:rsidR="00CC0F21" w:rsidRPr="00CC0F21">
              <w:rPr>
                <w:noProof/>
                <w:webHidden/>
              </w:rPr>
              <w:t>3</w:t>
            </w:r>
            <w:r w:rsidR="00CC0F21" w:rsidRPr="00CC0F21">
              <w:rPr>
                <w:noProof/>
                <w:webHidden/>
              </w:rPr>
              <w:fldChar w:fldCharType="end"/>
            </w:r>
          </w:hyperlink>
        </w:p>
        <w:p w14:paraId="59E6EEC1" w14:textId="4012E195" w:rsidR="00CC0F21" w:rsidRPr="00CC0F21" w:rsidRDefault="00486E9D">
          <w:pPr>
            <w:pStyle w:val="TOC2"/>
            <w:tabs>
              <w:tab w:val="right" w:leader="dot" w:pos="9288"/>
            </w:tabs>
            <w:rPr>
              <w:rFonts w:eastAsiaTheme="minorEastAsia"/>
              <w:noProof/>
              <w:sz w:val="22"/>
              <w:lang w:eastAsia="en-GB"/>
            </w:rPr>
          </w:pPr>
          <w:hyperlink w:anchor="_Toc104212428" w:history="1">
            <w:r w:rsidR="00CC0F21" w:rsidRPr="00CC0F21">
              <w:rPr>
                <w:rStyle w:val="Hyperlink"/>
                <w:noProof/>
                <w:color w:val="auto"/>
              </w:rPr>
              <w:t>Public Sale and Whitelist</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_Toc104212428 \h </w:instrText>
            </w:r>
            <w:r w:rsidR="00CC0F21" w:rsidRPr="00CC0F21">
              <w:rPr>
                <w:noProof/>
                <w:webHidden/>
              </w:rPr>
            </w:r>
            <w:r w:rsidR="00CC0F21" w:rsidRPr="00CC0F21">
              <w:rPr>
                <w:noProof/>
                <w:webHidden/>
              </w:rPr>
              <w:fldChar w:fldCharType="separate"/>
            </w:r>
            <w:r w:rsidR="00CC0F21" w:rsidRPr="00CC0F21">
              <w:rPr>
                <w:noProof/>
                <w:webHidden/>
              </w:rPr>
              <w:t>4</w:t>
            </w:r>
            <w:r w:rsidR="00CC0F21" w:rsidRPr="00CC0F21">
              <w:rPr>
                <w:noProof/>
                <w:webHidden/>
              </w:rPr>
              <w:fldChar w:fldCharType="end"/>
            </w:r>
          </w:hyperlink>
        </w:p>
        <w:p w14:paraId="0B624818" w14:textId="26A2F27B" w:rsidR="00CC0F21" w:rsidRPr="00CC0F21" w:rsidRDefault="00486E9D">
          <w:pPr>
            <w:pStyle w:val="TOC2"/>
            <w:tabs>
              <w:tab w:val="right" w:leader="dot" w:pos="9288"/>
            </w:tabs>
            <w:rPr>
              <w:rFonts w:eastAsiaTheme="minorEastAsia"/>
              <w:noProof/>
              <w:sz w:val="22"/>
              <w:lang w:eastAsia="en-GB"/>
            </w:rPr>
          </w:pPr>
          <w:hyperlink w:anchor="_Toc104212429" w:history="1">
            <w:r w:rsidR="00CC0F21" w:rsidRPr="00CC0F21">
              <w:rPr>
                <w:rStyle w:val="Hyperlink"/>
                <w:noProof/>
                <w:color w:val="auto"/>
              </w:rPr>
              <w:t>Foundation Fund</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_Toc104212429 \h </w:instrText>
            </w:r>
            <w:r w:rsidR="00CC0F21" w:rsidRPr="00CC0F21">
              <w:rPr>
                <w:noProof/>
                <w:webHidden/>
              </w:rPr>
            </w:r>
            <w:r w:rsidR="00CC0F21" w:rsidRPr="00CC0F21">
              <w:rPr>
                <w:noProof/>
                <w:webHidden/>
              </w:rPr>
              <w:fldChar w:fldCharType="separate"/>
            </w:r>
            <w:r w:rsidR="00CC0F21" w:rsidRPr="00CC0F21">
              <w:rPr>
                <w:noProof/>
                <w:webHidden/>
              </w:rPr>
              <w:t>4</w:t>
            </w:r>
            <w:r w:rsidR="00CC0F21" w:rsidRPr="00CC0F21">
              <w:rPr>
                <w:noProof/>
                <w:webHidden/>
              </w:rPr>
              <w:fldChar w:fldCharType="end"/>
            </w:r>
          </w:hyperlink>
        </w:p>
        <w:p w14:paraId="54747C5C" w14:textId="4BB11A47" w:rsidR="00CC0F21" w:rsidRPr="00CC0F21" w:rsidRDefault="00486E9D">
          <w:pPr>
            <w:pStyle w:val="TOC2"/>
            <w:tabs>
              <w:tab w:val="right" w:leader="dot" w:pos="9288"/>
            </w:tabs>
            <w:rPr>
              <w:rFonts w:eastAsiaTheme="minorEastAsia"/>
              <w:noProof/>
              <w:sz w:val="22"/>
              <w:lang w:eastAsia="en-GB"/>
            </w:rPr>
          </w:pPr>
          <w:hyperlink w:anchor="_Toc104212430" w:history="1">
            <w:r w:rsidR="00CC0F21" w:rsidRPr="00CC0F21">
              <w:rPr>
                <w:rStyle w:val="Hyperlink"/>
                <w:noProof/>
                <w:color w:val="auto"/>
              </w:rPr>
              <w:t>Ecosystem Fund</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_Toc104212430 \h </w:instrText>
            </w:r>
            <w:r w:rsidR="00CC0F21" w:rsidRPr="00CC0F21">
              <w:rPr>
                <w:noProof/>
                <w:webHidden/>
              </w:rPr>
            </w:r>
            <w:r w:rsidR="00CC0F21" w:rsidRPr="00CC0F21">
              <w:rPr>
                <w:noProof/>
                <w:webHidden/>
              </w:rPr>
              <w:fldChar w:fldCharType="separate"/>
            </w:r>
            <w:r w:rsidR="00CC0F21" w:rsidRPr="00CC0F21">
              <w:rPr>
                <w:noProof/>
                <w:webHidden/>
              </w:rPr>
              <w:t>4</w:t>
            </w:r>
            <w:r w:rsidR="00CC0F21" w:rsidRPr="00CC0F21">
              <w:rPr>
                <w:noProof/>
                <w:webHidden/>
              </w:rPr>
              <w:fldChar w:fldCharType="end"/>
            </w:r>
          </w:hyperlink>
        </w:p>
        <w:p w14:paraId="13D3C5BE" w14:textId="6770571E" w:rsidR="00CC0F21" w:rsidRPr="00CC0F21" w:rsidRDefault="00486E9D">
          <w:pPr>
            <w:pStyle w:val="TOC2"/>
            <w:tabs>
              <w:tab w:val="right" w:leader="dot" w:pos="9288"/>
            </w:tabs>
            <w:rPr>
              <w:rFonts w:eastAsiaTheme="minorEastAsia"/>
              <w:noProof/>
              <w:sz w:val="22"/>
              <w:lang w:eastAsia="en-GB"/>
            </w:rPr>
          </w:pPr>
          <w:hyperlink w:anchor="_Toc104212431" w:history="1">
            <w:r w:rsidR="00CC0F21" w:rsidRPr="00CC0F21">
              <w:rPr>
                <w:rStyle w:val="Hyperlink"/>
                <w:noProof/>
                <w:color w:val="auto"/>
              </w:rPr>
              <w:t>Investors and Core Team</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_Toc104212431 \h </w:instrText>
            </w:r>
            <w:r w:rsidR="00CC0F21" w:rsidRPr="00CC0F21">
              <w:rPr>
                <w:noProof/>
                <w:webHidden/>
              </w:rPr>
            </w:r>
            <w:r w:rsidR="00CC0F21" w:rsidRPr="00CC0F21">
              <w:rPr>
                <w:noProof/>
                <w:webHidden/>
              </w:rPr>
              <w:fldChar w:fldCharType="separate"/>
            </w:r>
            <w:r w:rsidR="00CC0F21" w:rsidRPr="00CC0F21">
              <w:rPr>
                <w:noProof/>
                <w:webHidden/>
              </w:rPr>
              <w:t>4</w:t>
            </w:r>
            <w:r w:rsidR="00CC0F21" w:rsidRPr="00CC0F21">
              <w:rPr>
                <w:noProof/>
                <w:webHidden/>
              </w:rPr>
              <w:fldChar w:fldCharType="end"/>
            </w:r>
          </w:hyperlink>
        </w:p>
        <w:p w14:paraId="3E55C837" w14:textId="7F2EACBD" w:rsidR="00CC0F21" w:rsidRPr="00CC0F21" w:rsidRDefault="00486E9D">
          <w:pPr>
            <w:pStyle w:val="TOC1"/>
            <w:tabs>
              <w:tab w:val="right" w:leader="dot" w:pos="9288"/>
            </w:tabs>
            <w:rPr>
              <w:rFonts w:eastAsiaTheme="minorEastAsia"/>
              <w:noProof/>
              <w:sz w:val="22"/>
              <w:lang w:eastAsia="en-GB"/>
            </w:rPr>
          </w:pPr>
          <w:hyperlink w:anchor="_Toc104212432" w:history="1">
            <w:r w:rsidR="00CC0F21" w:rsidRPr="00CC0F21">
              <w:rPr>
                <w:rStyle w:val="Hyperlink"/>
                <w:noProof/>
                <w:color w:val="auto"/>
              </w:rPr>
              <w:t>Token Vesting</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_Toc104212432 \h </w:instrText>
            </w:r>
            <w:r w:rsidR="00CC0F21" w:rsidRPr="00CC0F21">
              <w:rPr>
                <w:noProof/>
                <w:webHidden/>
              </w:rPr>
            </w:r>
            <w:r w:rsidR="00CC0F21" w:rsidRPr="00CC0F21">
              <w:rPr>
                <w:noProof/>
                <w:webHidden/>
              </w:rPr>
              <w:fldChar w:fldCharType="separate"/>
            </w:r>
            <w:r w:rsidR="00CC0F21" w:rsidRPr="00CC0F21">
              <w:rPr>
                <w:noProof/>
                <w:webHidden/>
              </w:rPr>
              <w:t>6</w:t>
            </w:r>
            <w:r w:rsidR="00CC0F21" w:rsidRPr="00CC0F21">
              <w:rPr>
                <w:noProof/>
                <w:webHidden/>
              </w:rPr>
              <w:fldChar w:fldCharType="end"/>
            </w:r>
          </w:hyperlink>
        </w:p>
        <w:p w14:paraId="7BEEB6AD" w14:textId="1541BE29" w:rsidR="00CC0F21" w:rsidRPr="00CC0F21" w:rsidRDefault="00486E9D">
          <w:pPr>
            <w:pStyle w:val="TOC1"/>
            <w:tabs>
              <w:tab w:val="right" w:leader="dot" w:pos="9288"/>
            </w:tabs>
            <w:rPr>
              <w:rFonts w:eastAsiaTheme="minorEastAsia"/>
              <w:noProof/>
              <w:sz w:val="22"/>
              <w:lang w:eastAsia="en-GB"/>
            </w:rPr>
          </w:pPr>
          <w:hyperlink w:anchor="_Toc104212433" w:history="1">
            <w:r w:rsidR="00CC0F21" w:rsidRPr="00CC0F21">
              <w:rPr>
                <w:rStyle w:val="Hyperlink"/>
                <w:noProof/>
                <w:color w:val="auto"/>
              </w:rPr>
              <w:t>Initial Token Price</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_Toc104212433 \h </w:instrText>
            </w:r>
            <w:r w:rsidR="00CC0F21" w:rsidRPr="00CC0F21">
              <w:rPr>
                <w:noProof/>
                <w:webHidden/>
              </w:rPr>
            </w:r>
            <w:r w:rsidR="00CC0F21" w:rsidRPr="00CC0F21">
              <w:rPr>
                <w:noProof/>
                <w:webHidden/>
              </w:rPr>
              <w:fldChar w:fldCharType="separate"/>
            </w:r>
            <w:r w:rsidR="00CC0F21" w:rsidRPr="00CC0F21">
              <w:rPr>
                <w:noProof/>
                <w:webHidden/>
              </w:rPr>
              <w:t>7</w:t>
            </w:r>
            <w:r w:rsidR="00CC0F21" w:rsidRPr="00CC0F21">
              <w:rPr>
                <w:noProof/>
                <w:webHidden/>
              </w:rPr>
              <w:fldChar w:fldCharType="end"/>
            </w:r>
          </w:hyperlink>
        </w:p>
        <w:p w14:paraId="0FE2FCBE" w14:textId="4201999C" w:rsidR="00CC0F21" w:rsidRPr="00CC0F21" w:rsidRDefault="00486E9D">
          <w:pPr>
            <w:pStyle w:val="TOC1"/>
            <w:tabs>
              <w:tab w:val="right" w:leader="dot" w:pos="9288"/>
            </w:tabs>
            <w:rPr>
              <w:rFonts w:eastAsiaTheme="minorEastAsia"/>
              <w:noProof/>
              <w:sz w:val="22"/>
              <w:lang w:eastAsia="en-GB"/>
            </w:rPr>
          </w:pPr>
          <w:hyperlink w:anchor="_Toc104212434" w:history="1">
            <w:r w:rsidR="00CC0F21" w:rsidRPr="00CC0F21">
              <w:rPr>
                <w:rStyle w:val="Hyperlink"/>
                <w:noProof/>
                <w:color w:val="auto"/>
              </w:rPr>
              <w:t>Token Staking and Delegated Staking</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_Toc104212434 \h </w:instrText>
            </w:r>
            <w:r w:rsidR="00CC0F21" w:rsidRPr="00CC0F21">
              <w:rPr>
                <w:noProof/>
                <w:webHidden/>
              </w:rPr>
            </w:r>
            <w:r w:rsidR="00CC0F21" w:rsidRPr="00CC0F21">
              <w:rPr>
                <w:noProof/>
                <w:webHidden/>
              </w:rPr>
              <w:fldChar w:fldCharType="separate"/>
            </w:r>
            <w:r w:rsidR="00CC0F21" w:rsidRPr="00CC0F21">
              <w:rPr>
                <w:noProof/>
                <w:webHidden/>
              </w:rPr>
              <w:t>8</w:t>
            </w:r>
            <w:r w:rsidR="00CC0F21" w:rsidRPr="00CC0F21">
              <w:rPr>
                <w:noProof/>
                <w:webHidden/>
              </w:rPr>
              <w:fldChar w:fldCharType="end"/>
            </w:r>
          </w:hyperlink>
        </w:p>
        <w:p w14:paraId="1206BC19" w14:textId="7F1B13F0" w:rsidR="00CC0F21" w:rsidRPr="00CC0F21" w:rsidRDefault="00486E9D">
          <w:pPr>
            <w:pStyle w:val="TOC1"/>
            <w:tabs>
              <w:tab w:val="right" w:leader="dot" w:pos="9288"/>
            </w:tabs>
            <w:rPr>
              <w:rFonts w:eastAsiaTheme="minorEastAsia"/>
              <w:noProof/>
              <w:sz w:val="22"/>
              <w:lang w:eastAsia="en-GB"/>
            </w:rPr>
          </w:pPr>
          <w:hyperlink w:anchor="_Toc104212435" w:history="1">
            <w:r w:rsidR="00CC0F21" w:rsidRPr="00CC0F21">
              <w:rPr>
                <w:rStyle w:val="Hyperlink"/>
                <w:noProof/>
                <w:color w:val="auto"/>
              </w:rPr>
              <w:t>Rewards and Fees</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_Toc104212435 \h </w:instrText>
            </w:r>
            <w:r w:rsidR="00CC0F21" w:rsidRPr="00CC0F21">
              <w:rPr>
                <w:noProof/>
                <w:webHidden/>
              </w:rPr>
            </w:r>
            <w:r w:rsidR="00CC0F21" w:rsidRPr="00CC0F21">
              <w:rPr>
                <w:noProof/>
                <w:webHidden/>
              </w:rPr>
              <w:fldChar w:fldCharType="separate"/>
            </w:r>
            <w:r w:rsidR="00CC0F21" w:rsidRPr="00CC0F21">
              <w:rPr>
                <w:noProof/>
                <w:webHidden/>
              </w:rPr>
              <w:t>10</w:t>
            </w:r>
            <w:r w:rsidR="00CC0F21" w:rsidRPr="00CC0F21">
              <w:rPr>
                <w:noProof/>
                <w:webHidden/>
              </w:rPr>
              <w:fldChar w:fldCharType="end"/>
            </w:r>
          </w:hyperlink>
        </w:p>
        <w:p w14:paraId="276AD1F7" w14:textId="7786C3DA" w:rsidR="00CC0F21" w:rsidRPr="00CC0F21" w:rsidRDefault="00486E9D">
          <w:pPr>
            <w:pStyle w:val="TOC1"/>
            <w:tabs>
              <w:tab w:val="right" w:leader="dot" w:pos="9288"/>
            </w:tabs>
            <w:rPr>
              <w:rFonts w:eastAsiaTheme="minorEastAsia"/>
              <w:noProof/>
              <w:sz w:val="22"/>
              <w:lang w:eastAsia="en-GB"/>
            </w:rPr>
          </w:pPr>
          <w:hyperlink w:anchor="_Toc104212436" w:history="1">
            <w:r w:rsidR="00CC0F21" w:rsidRPr="00CC0F21">
              <w:rPr>
                <w:rStyle w:val="Hyperlink"/>
                <w:noProof/>
                <w:color w:val="auto"/>
              </w:rPr>
              <w:t>Appendix A – Alternatives Considered</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_Toc104212436 \h </w:instrText>
            </w:r>
            <w:r w:rsidR="00CC0F21" w:rsidRPr="00CC0F21">
              <w:rPr>
                <w:noProof/>
                <w:webHidden/>
              </w:rPr>
            </w:r>
            <w:r w:rsidR="00CC0F21" w:rsidRPr="00CC0F21">
              <w:rPr>
                <w:noProof/>
                <w:webHidden/>
              </w:rPr>
              <w:fldChar w:fldCharType="separate"/>
            </w:r>
            <w:r w:rsidR="00CC0F21" w:rsidRPr="00CC0F21">
              <w:rPr>
                <w:noProof/>
                <w:webHidden/>
              </w:rPr>
              <w:t>11</w:t>
            </w:r>
            <w:r w:rsidR="00CC0F21" w:rsidRPr="00CC0F21">
              <w:rPr>
                <w:noProof/>
                <w:webHidden/>
              </w:rPr>
              <w:fldChar w:fldCharType="end"/>
            </w:r>
          </w:hyperlink>
        </w:p>
        <w:p w14:paraId="4805C420" w14:textId="5BC58131" w:rsidR="00CC0F21" w:rsidRPr="00CC0F21" w:rsidRDefault="00486E9D">
          <w:pPr>
            <w:pStyle w:val="TOC2"/>
            <w:tabs>
              <w:tab w:val="right" w:leader="dot" w:pos="9288"/>
            </w:tabs>
            <w:rPr>
              <w:rFonts w:eastAsiaTheme="minorEastAsia"/>
              <w:noProof/>
              <w:sz w:val="22"/>
              <w:lang w:eastAsia="en-GB"/>
            </w:rPr>
          </w:pPr>
          <w:hyperlink w:anchor="_Toc104212437" w:history="1">
            <w:r w:rsidR="00CC0F21" w:rsidRPr="00CC0F21">
              <w:rPr>
                <w:rStyle w:val="Hyperlink"/>
                <w:noProof/>
                <w:color w:val="auto"/>
              </w:rPr>
              <w:t>Why Not Use ETH?</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_Toc104212437 \h </w:instrText>
            </w:r>
            <w:r w:rsidR="00CC0F21" w:rsidRPr="00CC0F21">
              <w:rPr>
                <w:noProof/>
                <w:webHidden/>
              </w:rPr>
            </w:r>
            <w:r w:rsidR="00CC0F21" w:rsidRPr="00CC0F21">
              <w:rPr>
                <w:noProof/>
                <w:webHidden/>
              </w:rPr>
              <w:fldChar w:fldCharType="separate"/>
            </w:r>
            <w:r w:rsidR="00CC0F21" w:rsidRPr="00CC0F21">
              <w:rPr>
                <w:noProof/>
                <w:webHidden/>
              </w:rPr>
              <w:t>11</w:t>
            </w:r>
            <w:r w:rsidR="00CC0F21" w:rsidRPr="00CC0F21">
              <w:rPr>
                <w:noProof/>
                <w:webHidden/>
              </w:rPr>
              <w:fldChar w:fldCharType="end"/>
            </w:r>
          </w:hyperlink>
        </w:p>
        <w:p w14:paraId="2041DFD6" w14:textId="2F06A04D" w:rsidR="00CC0F21" w:rsidRPr="00CC0F21" w:rsidRDefault="00486E9D">
          <w:pPr>
            <w:pStyle w:val="TOC2"/>
            <w:tabs>
              <w:tab w:val="right" w:leader="dot" w:pos="9288"/>
            </w:tabs>
            <w:rPr>
              <w:rFonts w:eastAsiaTheme="minorEastAsia"/>
              <w:noProof/>
              <w:sz w:val="22"/>
              <w:lang w:eastAsia="en-GB"/>
            </w:rPr>
          </w:pPr>
          <w:hyperlink w:anchor="_Toc104212438" w:history="1">
            <w:r w:rsidR="00CC0F21" w:rsidRPr="00CC0F21">
              <w:rPr>
                <w:rStyle w:val="Hyperlink"/>
                <w:noProof/>
                <w:color w:val="auto"/>
              </w:rPr>
              <w:t>Why No Revenue Model?</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_Toc104212438 \h </w:instrText>
            </w:r>
            <w:r w:rsidR="00CC0F21" w:rsidRPr="00CC0F21">
              <w:rPr>
                <w:noProof/>
                <w:webHidden/>
              </w:rPr>
            </w:r>
            <w:r w:rsidR="00CC0F21" w:rsidRPr="00CC0F21">
              <w:rPr>
                <w:noProof/>
                <w:webHidden/>
              </w:rPr>
              <w:fldChar w:fldCharType="separate"/>
            </w:r>
            <w:r w:rsidR="00CC0F21" w:rsidRPr="00CC0F21">
              <w:rPr>
                <w:noProof/>
                <w:webHidden/>
              </w:rPr>
              <w:t>11</w:t>
            </w:r>
            <w:r w:rsidR="00CC0F21" w:rsidRPr="00CC0F21">
              <w:rPr>
                <w:noProof/>
                <w:webHidden/>
              </w:rPr>
              <w:fldChar w:fldCharType="end"/>
            </w:r>
          </w:hyperlink>
        </w:p>
        <w:p w14:paraId="1A34D0EA" w14:textId="342B3193" w:rsidR="00CC0F21" w:rsidRPr="00CC0F21" w:rsidRDefault="00486E9D">
          <w:pPr>
            <w:pStyle w:val="TOC1"/>
            <w:tabs>
              <w:tab w:val="right" w:leader="dot" w:pos="9288"/>
            </w:tabs>
            <w:rPr>
              <w:rFonts w:eastAsiaTheme="minorEastAsia"/>
              <w:noProof/>
              <w:sz w:val="22"/>
              <w:lang w:eastAsia="en-GB"/>
            </w:rPr>
          </w:pPr>
          <w:hyperlink w:anchor="_Toc104212439" w:history="1">
            <w:r w:rsidR="00CC0F21" w:rsidRPr="00CC0F21">
              <w:rPr>
                <w:rStyle w:val="Hyperlink"/>
                <w:noProof/>
                <w:color w:val="auto"/>
              </w:rPr>
              <w:t>Appendix 2 – Tokenomics Modelling</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_Toc104212439 \h </w:instrText>
            </w:r>
            <w:r w:rsidR="00CC0F21" w:rsidRPr="00CC0F21">
              <w:rPr>
                <w:noProof/>
                <w:webHidden/>
              </w:rPr>
            </w:r>
            <w:r w:rsidR="00CC0F21" w:rsidRPr="00CC0F21">
              <w:rPr>
                <w:noProof/>
                <w:webHidden/>
              </w:rPr>
              <w:fldChar w:fldCharType="separate"/>
            </w:r>
            <w:r w:rsidR="00CC0F21" w:rsidRPr="00CC0F21">
              <w:rPr>
                <w:noProof/>
                <w:webHidden/>
              </w:rPr>
              <w:t>12</w:t>
            </w:r>
            <w:r w:rsidR="00CC0F21" w:rsidRPr="00CC0F21">
              <w:rPr>
                <w:noProof/>
                <w:webHidden/>
              </w:rPr>
              <w:fldChar w:fldCharType="end"/>
            </w:r>
          </w:hyperlink>
        </w:p>
        <w:p w14:paraId="773F4F03" w14:textId="3424E289" w:rsidR="00CC0F21" w:rsidRPr="00CC0F21" w:rsidRDefault="00486E9D">
          <w:pPr>
            <w:pStyle w:val="TOC2"/>
            <w:tabs>
              <w:tab w:val="right" w:leader="dot" w:pos="9288"/>
            </w:tabs>
            <w:rPr>
              <w:rFonts w:eastAsiaTheme="minorEastAsia"/>
              <w:noProof/>
              <w:sz w:val="22"/>
              <w:lang w:eastAsia="en-GB"/>
            </w:rPr>
          </w:pPr>
          <w:hyperlink w:anchor="_Toc104212440" w:history="1">
            <w:r w:rsidR="00CC0F21" w:rsidRPr="00CC0F21">
              <w:rPr>
                <w:rStyle w:val="Hyperlink"/>
                <w:noProof/>
                <w:color w:val="auto"/>
              </w:rPr>
              <w:t>Changing L2 Maximum Transaction Fee</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_Toc104212440 \h </w:instrText>
            </w:r>
            <w:r w:rsidR="00CC0F21" w:rsidRPr="00CC0F21">
              <w:rPr>
                <w:noProof/>
                <w:webHidden/>
              </w:rPr>
            </w:r>
            <w:r w:rsidR="00CC0F21" w:rsidRPr="00CC0F21">
              <w:rPr>
                <w:noProof/>
                <w:webHidden/>
              </w:rPr>
              <w:fldChar w:fldCharType="separate"/>
            </w:r>
            <w:r w:rsidR="00CC0F21" w:rsidRPr="00CC0F21">
              <w:rPr>
                <w:noProof/>
                <w:webHidden/>
              </w:rPr>
              <w:t>13</w:t>
            </w:r>
            <w:r w:rsidR="00CC0F21" w:rsidRPr="00CC0F21">
              <w:rPr>
                <w:noProof/>
                <w:webHidden/>
              </w:rPr>
              <w:fldChar w:fldCharType="end"/>
            </w:r>
          </w:hyperlink>
        </w:p>
        <w:p w14:paraId="52C71429" w14:textId="1E4EEBDF" w:rsidR="00CC0F21" w:rsidRPr="00CC0F21" w:rsidRDefault="00486E9D">
          <w:pPr>
            <w:pStyle w:val="TOC2"/>
            <w:tabs>
              <w:tab w:val="right" w:leader="dot" w:pos="9288"/>
            </w:tabs>
            <w:rPr>
              <w:rFonts w:eastAsiaTheme="minorEastAsia"/>
              <w:noProof/>
              <w:sz w:val="22"/>
              <w:lang w:eastAsia="en-GB"/>
            </w:rPr>
          </w:pPr>
          <w:hyperlink w:anchor="_Toc104212441" w:history="1">
            <w:r w:rsidR="00CC0F21" w:rsidRPr="00CC0F21">
              <w:rPr>
                <w:rStyle w:val="Hyperlink"/>
                <w:noProof/>
                <w:color w:val="auto"/>
              </w:rPr>
              <w:t>Changing Rollup Submission Interval</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_Toc104212441 \h </w:instrText>
            </w:r>
            <w:r w:rsidR="00CC0F21" w:rsidRPr="00CC0F21">
              <w:rPr>
                <w:noProof/>
                <w:webHidden/>
              </w:rPr>
            </w:r>
            <w:r w:rsidR="00CC0F21" w:rsidRPr="00CC0F21">
              <w:rPr>
                <w:noProof/>
                <w:webHidden/>
              </w:rPr>
              <w:fldChar w:fldCharType="separate"/>
            </w:r>
            <w:r w:rsidR="00CC0F21" w:rsidRPr="00CC0F21">
              <w:rPr>
                <w:noProof/>
                <w:webHidden/>
              </w:rPr>
              <w:t>14</w:t>
            </w:r>
            <w:r w:rsidR="00CC0F21" w:rsidRPr="00CC0F21">
              <w:rPr>
                <w:noProof/>
                <w:webHidden/>
              </w:rPr>
              <w:fldChar w:fldCharType="end"/>
            </w:r>
          </w:hyperlink>
        </w:p>
        <w:p w14:paraId="3A5D3C4A" w14:textId="7D866A39" w:rsidR="00CC0F21" w:rsidRPr="00CC0F21" w:rsidRDefault="00486E9D">
          <w:pPr>
            <w:pStyle w:val="TOC2"/>
            <w:tabs>
              <w:tab w:val="right" w:leader="dot" w:pos="9288"/>
            </w:tabs>
            <w:rPr>
              <w:rFonts w:eastAsiaTheme="minorEastAsia"/>
              <w:noProof/>
              <w:sz w:val="22"/>
              <w:lang w:eastAsia="en-GB"/>
            </w:rPr>
          </w:pPr>
          <w:hyperlink w:anchor="_Toc104212442" w:history="1">
            <w:r w:rsidR="00CC0F21" w:rsidRPr="00CC0F21">
              <w:rPr>
                <w:rStyle w:val="Hyperlink"/>
                <w:noProof/>
                <w:color w:val="auto"/>
              </w:rPr>
              <w:t>Changing Number of Transactions per Rollup</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_Toc104212442 \h </w:instrText>
            </w:r>
            <w:r w:rsidR="00CC0F21" w:rsidRPr="00CC0F21">
              <w:rPr>
                <w:noProof/>
                <w:webHidden/>
              </w:rPr>
            </w:r>
            <w:r w:rsidR="00CC0F21" w:rsidRPr="00CC0F21">
              <w:rPr>
                <w:noProof/>
                <w:webHidden/>
              </w:rPr>
              <w:fldChar w:fldCharType="separate"/>
            </w:r>
            <w:r w:rsidR="00CC0F21" w:rsidRPr="00CC0F21">
              <w:rPr>
                <w:noProof/>
                <w:webHidden/>
              </w:rPr>
              <w:t>15</w:t>
            </w:r>
            <w:r w:rsidR="00CC0F21" w:rsidRPr="00CC0F21">
              <w:rPr>
                <w:noProof/>
                <w:webHidden/>
              </w:rPr>
              <w:fldChar w:fldCharType="end"/>
            </w:r>
          </w:hyperlink>
        </w:p>
        <w:p w14:paraId="25DEC318" w14:textId="4D53BC05" w:rsidR="00CC0F21" w:rsidRPr="00CC0F21" w:rsidRDefault="00486E9D">
          <w:pPr>
            <w:pStyle w:val="TOC1"/>
            <w:tabs>
              <w:tab w:val="right" w:leader="dot" w:pos="9288"/>
            </w:tabs>
            <w:rPr>
              <w:rFonts w:eastAsiaTheme="minorEastAsia"/>
              <w:noProof/>
              <w:sz w:val="22"/>
              <w:lang w:eastAsia="en-GB"/>
            </w:rPr>
          </w:pPr>
          <w:hyperlink w:anchor="_Toc104212443" w:history="1">
            <w:r w:rsidR="00CC0F21" w:rsidRPr="00CC0F21">
              <w:rPr>
                <w:rStyle w:val="Hyperlink"/>
                <w:noProof/>
                <w:color w:val="auto"/>
              </w:rPr>
              <w:t>Appendix 3 – Contributors</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_Toc104212443 \h </w:instrText>
            </w:r>
            <w:r w:rsidR="00CC0F21" w:rsidRPr="00CC0F21">
              <w:rPr>
                <w:noProof/>
                <w:webHidden/>
              </w:rPr>
            </w:r>
            <w:r w:rsidR="00CC0F21" w:rsidRPr="00CC0F21">
              <w:rPr>
                <w:noProof/>
                <w:webHidden/>
              </w:rPr>
              <w:fldChar w:fldCharType="separate"/>
            </w:r>
            <w:r w:rsidR="00CC0F21" w:rsidRPr="00CC0F21">
              <w:rPr>
                <w:noProof/>
                <w:webHidden/>
              </w:rPr>
              <w:t>16</w:t>
            </w:r>
            <w:r w:rsidR="00CC0F21" w:rsidRPr="00CC0F21">
              <w:rPr>
                <w:noProof/>
                <w:webHidden/>
              </w:rPr>
              <w:fldChar w:fldCharType="end"/>
            </w:r>
          </w:hyperlink>
        </w:p>
        <w:p w14:paraId="6DEF2BE2" w14:textId="3785619B" w:rsidR="00CC0F21" w:rsidRPr="00CC0F21" w:rsidRDefault="00486E9D">
          <w:pPr>
            <w:pStyle w:val="TOC1"/>
            <w:tabs>
              <w:tab w:val="right" w:leader="dot" w:pos="9288"/>
            </w:tabs>
            <w:rPr>
              <w:rFonts w:eastAsiaTheme="minorEastAsia"/>
              <w:noProof/>
              <w:sz w:val="22"/>
              <w:lang w:eastAsia="en-GB"/>
            </w:rPr>
          </w:pPr>
          <w:hyperlink w:anchor="_Toc104212444" w:history="1">
            <w:r w:rsidR="00CC0F21" w:rsidRPr="00CC0F21">
              <w:rPr>
                <w:rStyle w:val="Hyperlink"/>
                <w:noProof/>
                <w:color w:val="auto"/>
              </w:rPr>
              <w:t>Mike Ward Comments</w:t>
            </w:r>
            <w:r w:rsidR="00CC0F21" w:rsidRPr="00CC0F21">
              <w:rPr>
                <w:noProof/>
                <w:webHidden/>
              </w:rPr>
              <w:tab/>
            </w:r>
            <w:r w:rsidR="00CC0F21" w:rsidRPr="00CC0F21">
              <w:rPr>
                <w:noProof/>
                <w:webHidden/>
              </w:rPr>
              <w:fldChar w:fldCharType="begin"/>
            </w:r>
            <w:r w:rsidR="00CC0F21" w:rsidRPr="00CC0F21">
              <w:rPr>
                <w:noProof/>
                <w:webHidden/>
              </w:rPr>
              <w:instrText xml:space="preserve"> PAGEREF _Toc104212444 \h </w:instrText>
            </w:r>
            <w:r w:rsidR="00CC0F21" w:rsidRPr="00CC0F21">
              <w:rPr>
                <w:noProof/>
                <w:webHidden/>
              </w:rPr>
            </w:r>
            <w:r w:rsidR="00CC0F21" w:rsidRPr="00CC0F21">
              <w:rPr>
                <w:noProof/>
                <w:webHidden/>
              </w:rPr>
              <w:fldChar w:fldCharType="separate"/>
            </w:r>
            <w:r w:rsidR="00CC0F21" w:rsidRPr="00CC0F21">
              <w:rPr>
                <w:noProof/>
                <w:webHidden/>
              </w:rPr>
              <w:t>17</w:t>
            </w:r>
            <w:r w:rsidR="00CC0F21" w:rsidRPr="00CC0F21">
              <w:rPr>
                <w:noProof/>
                <w:webHidden/>
              </w:rPr>
              <w:fldChar w:fldCharType="end"/>
            </w:r>
          </w:hyperlink>
        </w:p>
        <w:p w14:paraId="7028DA7D" w14:textId="0B7377D6" w:rsidR="001A7314" w:rsidRPr="00CC0F21" w:rsidRDefault="001A7314">
          <w:r w:rsidRPr="00CC0F21">
            <w:rPr>
              <w:b/>
              <w:bCs/>
            </w:rPr>
            <w:fldChar w:fldCharType="end"/>
          </w:r>
        </w:p>
      </w:sdtContent>
    </w:sdt>
    <w:p w14:paraId="0E72006B" w14:textId="77777777" w:rsidR="001A7314" w:rsidRPr="00CC0F21" w:rsidRDefault="001A7314" w:rsidP="001A7314"/>
    <w:p w14:paraId="596B2C51" w14:textId="77777777" w:rsidR="001A7314" w:rsidRPr="00CC0F21" w:rsidRDefault="001A7314">
      <w:pPr>
        <w:rPr>
          <w:rFonts w:eastAsiaTheme="majorEastAsia" w:cstheme="minorHAnsi"/>
          <w:sz w:val="48"/>
          <w:szCs w:val="32"/>
        </w:rPr>
      </w:pPr>
      <w:r w:rsidRPr="00CC0F21">
        <w:rPr>
          <w:rFonts w:cstheme="minorHAnsi"/>
        </w:rPr>
        <w:br w:type="page"/>
      </w:r>
    </w:p>
    <w:p w14:paraId="53833F0F" w14:textId="7C941EB6" w:rsidR="00AC2161" w:rsidRPr="00CC0F21" w:rsidRDefault="00AC2161" w:rsidP="001A7314">
      <w:pPr>
        <w:pStyle w:val="Heading1"/>
        <w:rPr>
          <w:color w:val="auto"/>
        </w:rPr>
      </w:pPr>
      <w:bookmarkStart w:id="0" w:name="_Toc104212425"/>
      <w:commentRangeStart w:id="1"/>
      <w:r w:rsidRPr="00CC0F21">
        <w:rPr>
          <w:color w:val="auto"/>
        </w:rPr>
        <w:lastRenderedPageBreak/>
        <w:t>Introduction</w:t>
      </w:r>
      <w:commentRangeEnd w:id="1"/>
      <w:r w:rsidR="009860C1" w:rsidRPr="00CC0F21">
        <w:rPr>
          <w:rStyle w:val="CommentReference"/>
          <w:rFonts w:asciiTheme="minorHAnsi" w:eastAsiaTheme="minorHAnsi" w:hAnsiTheme="minorHAnsi" w:cstheme="minorHAnsi"/>
          <w:color w:val="auto"/>
        </w:rPr>
        <w:commentReference w:id="1"/>
      </w:r>
      <w:bookmarkEnd w:id="0"/>
    </w:p>
    <w:p w14:paraId="46ADEF8C" w14:textId="0AAAB5A0" w:rsidR="00D313D5" w:rsidRPr="00CC0F21" w:rsidRDefault="004F197F" w:rsidP="00DF2015">
      <w:pPr>
        <w:jc w:val="both"/>
        <w:rPr>
          <w:rFonts w:cstheme="minorHAnsi"/>
          <w:i/>
          <w:iCs/>
        </w:rPr>
      </w:pPr>
      <w:r w:rsidRPr="00CC0F21">
        <w:rPr>
          <w:rFonts w:cstheme="minorHAnsi"/>
          <w:i/>
          <w:iCs/>
        </w:rPr>
        <w:t xml:space="preserve">Disclaimer: </w:t>
      </w:r>
      <w:r w:rsidR="00D313D5" w:rsidRPr="00CC0F21">
        <w:rPr>
          <w:rFonts w:cstheme="minorHAnsi"/>
          <w:i/>
          <w:iCs/>
        </w:rPr>
        <w:t>This proposa</w:t>
      </w:r>
      <w:r w:rsidR="00B254D1" w:rsidRPr="00CC0F21">
        <w:rPr>
          <w:rFonts w:cstheme="minorHAnsi"/>
          <w:i/>
          <w:iCs/>
        </w:rPr>
        <w:t xml:space="preserve">l summarises the current thinking </w:t>
      </w:r>
      <w:r w:rsidR="00A516BE" w:rsidRPr="00CC0F21">
        <w:rPr>
          <w:rFonts w:cstheme="minorHAnsi"/>
          <w:i/>
          <w:iCs/>
        </w:rPr>
        <w:t xml:space="preserve">for OBX Tokenomics. This remains to be an active area of research for Obscuro and the wider DeFi </w:t>
      </w:r>
      <w:r w:rsidR="004500FD" w:rsidRPr="00CC0F21">
        <w:rPr>
          <w:rFonts w:cstheme="minorHAnsi"/>
          <w:i/>
          <w:iCs/>
        </w:rPr>
        <w:t>industry</w:t>
      </w:r>
      <w:r w:rsidR="00A516BE" w:rsidRPr="00CC0F21">
        <w:rPr>
          <w:rFonts w:cstheme="minorHAnsi"/>
          <w:i/>
          <w:iCs/>
        </w:rPr>
        <w:t xml:space="preserve"> therefore elements of this proposal are likely to change</w:t>
      </w:r>
      <w:r w:rsidRPr="00CC0F21">
        <w:rPr>
          <w:rFonts w:cstheme="minorHAnsi"/>
          <w:i/>
          <w:iCs/>
        </w:rPr>
        <w:t xml:space="preserve"> </w:t>
      </w:r>
      <w:r w:rsidR="004500FD" w:rsidRPr="00CC0F21">
        <w:rPr>
          <w:rFonts w:cstheme="minorHAnsi"/>
          <w:i/>
          <w:iCs/>
        </w:rPr>
        <w:t>before</w:t>
      </w:r>
      <w:r w:rsidRPr="00CC0F21">
        <w:rPr>
          <w:rFonts w:cstheme="minorHAnsi"/>
          <w:i/>
          <w:iCs/>
        </w:rPr>
        <w:t xml:space="preserve"> a token generation event.</w:t>
      </w:r>
    </w:p>
    <w:p w14:paraId="50771744" w14:textId="4084C727" w:rsidR="00D52B39" w:rsidRPr="00D67E03" w:rsidRDefault="00D52B39" w:rsidP="00992BD2">
      <w:pPr>
        <w:jc w:val="both"/>
      </w:pPr>
      <w:r>
        <w:t xml:space="preserve">A </w:t>
      </w:r>
      <w:r>
        <w:t xml:space="preserve">Layer 2 </w:t>
      </w:r>
      <w:r>
        <w:t>token economy is non-trivial and continues to be an area of much research and debate. This proposal document is just that, a proposal which is intended to deliver a viable starting point for an Obscuro token economy. The economic model is expected to evolve over the lifetime of Obscuro via governance proposals.</w:t>
      </w:r>
    </w:p>
    <w:p w14:paraId="564A25F7" w14:textId="72854F0C" w:rsidR="4EEE4FF8" w:rsidRPr="00CC0F21" w:rsidRDefault="4EEE4FF8" w:rsidP="00DF2015">
      <w:pPr>
        <w:jc w:val="both"/>
        <w:rPr>
          <w:rFonts w:cstheme="minorHAnsi"/>
          <w:szCs w:val="24"/>
        </w:rPr>
      </w:pPr>
      <w:r w:rsidRPr="00CC0F21">
        <w:rPr>
          <w:rFonts w:cstheme="minorHAnsi"/>
        </w:rPr>
        <w:t>Obscuro</w:t>
      </w:r>
      <w:r w:rsidR="422B67D3" w:rsidRPr="00CC0F21">
        <w:rPr>
          <w:rFonts w:cstheme="minorHAnsi"/>
        </w:rPr>
        <w:t xml:space="preserve"> depends </w:t>
      </w:r>
      <w:r w:rsidR="12E18397" w:rsidRPr="00CC0F21">
        <w:rPr>
          <w:rFonts w:cstheme="minorHAnsi"/>
        </w:rPr>
        <w:t>up</w:t>
      </w:r>
      <w:r w:rsidR="422B67D3" w:rsidRPr="00CC0F21">
        <w:rPr>
          <w:rFonts w:cstheme="minorHAnsi"/>
        </w:rPr>
        <w:t xml:space="preserve">on a network of </w:t>
      </w:r>
      <w:r w:rsidR="2C9E799B" w:rsidRPr="00CC0F21">
        <w:rPr>
          <w:rFonts w:cstheme="minorHAnsi"/>
        </w:rPr>
        <w:t xml:space="preserve">intercommunicating </w:t>
      </w:r>
      <w:r w:rsidR="422B67D3" w:rsidRPr="00CC0F21">
        <w:rPr>
          <w:rFonts w:cstheme="minorHAnsi"/>
        </w:rPr>
        <w:t>Obscuro nodes</w:t>
      </w:r>
      <w:r w:rsidR="2C9E799B" w:rsidRPr="00CC0F21">
        <w:rPr>
          <w:rFonts w:cstheme="minorHAnsi"/>
        </w:rPr>
        <w:t xml:space="preserve"> to achieve </w:t>
      </w:r>
      <w:r w:rsidR="12E18397" w:rsidRPr="00CC0F21">
        <w:rPr>
          <w:rFonts w:cstheme="minorHAnsi"/>
        </w:rPr>
        <w:t>its</w:t>
      </w:r>
      <w:r w:rsidR="2C9E799B" w:rsidRPr="00CC0F21">
        <w:rPr>
          <w:rFonts w:cstheme="minorHAnsi"/>
        </w:rPr>
        <w:t xml:space="preserve"> decentralisation</w:t>
      </w:r>
      <w:r w:rsidR="61AF6B5F" w:rsidRPr="00CC0F21">
        <w:rPr>
          <w:rFonts w:cstheme="minorHAnsi"/>
        </w:rPr>
        <w:t>,</w:t>
      </w:r>
      <w:r w:rsidR="2C9E799B" w:rsidRPr="00CC0F21">
        <w:rPr>
          <w:rFonts w:cstheme="minorHAnsi"/>
        </w:rPr>
        <w:t xml:space="preserve"> scalability </w:t>
      </w:r>
      <w:r w:rsidR="61AF6B5F" w:rsidRPr="00CC0F21">
        <w:rPr>
          <w:rFonts w:cstheme="minorHAnsi"/>
        </w:rPr>
        <w:t xml:space="preserve">and privacy </w:t>
      </w:r>
      <w:r w:rsidR="12E18397" w:rsidRPr="00CC0F21">
        <w:rPr>
          <w:rFonts w:cstheme="minorHAnsi"/>
        </w:rPr>
        <w:t>promises.</w:t>
      </w:r>
      <w:r w:rsidRPr="00CC0F21">
        <w:rPr>
          <w:rFonts w:cstheme="minorHAnsi"/>
        </w:rPr>
        <w:t xml:space="preserve"> </w:t>
      </w:r>
      <w:r w:rsidR="12E18397" w:rsidRPr="00CC0F21">
        <w:rPr>
          <w:rFonts w:cstheme="minorHAnsi"/>
        </w:rPr>
        <w:t xml:space="preserve">The Obscuro </w:t>
      </w:r>
      <w:r w:rsidR="008B2E6A">
        <w:rPr>
          <w:rFonts w:cstheme="minorHAnsi"/>
        </w:rPr>
        <w:t>Mainnet</w:t>
      </w:r>
      <w:r w:rsidR="1141E8E3" w:rsidRPr="00CC0F21">
        <w:rPr>
          <w:rFonts w:cstheme="minorHAnsi"/>
        </w:rPr>
        <w:t xml:space="preserve"> </w:t>
      </w:r>
      <w:r w:rsidR="18E59252" w:rsidRPr="00CC0F21">
        <w:rPr>
          <w:rFonts w:cstheme="minorHAnsi"/>
        </w:rPr>
        <w:t>node operators</w:t>
      </w:r>
      <w:r w:rsidR="1141E8E3" w:rsidRPr="00CC0F21">
        <w:rPr>
          <w:rFonts w:cstheme="minorHAnsi"/>
        </w:rPr>
        <w:t xml:space="preserve"> incur</w:t>
      </w:r>
      <w:r w:rsidR="1F81ACE3" w:rsidRPr="00CC0F21">
        <w:rPr>
          <w:rFonts w:cstheme="minorHAnsi"/>
        </w:rPr>
        <w:t xml:space="preserve"> operating</w:t>
      </w:r>
      <w:r w:rsidR="1141E8E3" w:rsidRPr="00CC0F21">
        <w:rPr>
          <w:rFonts w:cstheme="minorHAnsi"/>
        </w:rPr>
        <w:t xml:space="preserve"> costs </w:t>
      </w:r>
      <w:r w:rsidR="61AF6B5F" w:rsidRPr="00CC0F21">
        <w:rPr>
          <w:rFonts w:cstheme="minorHAnsi"/>
        </w:rPr>
        <w:t>for which they need to be re</w:t>
      </w:r>
      <w:r w:rsidR="129A07EC" w:rsidRPr="00CC0F21">
        <w:rPr>
          <w:rFonts w:cstheme="minorHAnsi"/>
        </w:rPr>
        <w:t>mun</w:t>
      </w:r>
      <w:r w:rsidR="61AF6B5F" w:rsidRPr="00CC0F21">
        <w:rPr>
          <w:rFonts w:cstheme="minorHAnsi"/>
        </w:rPr>
        <w:t>erated</w:t>
      </w:r>
      <w:r w:rsidR="1141E8E3" w:rsidRPr="00CC0F21">
        <w:rPr>
          <w:rFonts w:cstheme="minorHAnsi"/>
        </w:rPr>
        <w:t xml:space="preserve">. </w:t>
      </w:r>
      <w:r w:rsidR="1C1EE821" w:rsidRPr="00CC0F21">
        <w:rPr>
          <w:rFonts w:cstheme="minorHAnsi"/>
        </w:rPr>
        <w:t xml:space="preserve">This is achieved through a rewards </w:t>
      </w:r>
      <w:r w:rsidR="01D4B2BC" w:rsidRPr="00CC0F21">
        <w:rPr>
          <w:rFonts w:cstheme="minorHAnsi"/>
        </w:rPr>
        <w:t xml:space="preserve">and incentives </w:t>
      </w:r>
      <w:r w:rsidR="1C1EE821" w:rsidRPr="00CC0F21">
        <w:rPr>
          <w:rFonts w:cstheme="minorHAnsi"/>
        </w:rPr>
        <w:t>model</w:t>
      </w:r>
      <w:r w:rsidR="4D2A9BB1" w:rsidRPr="00CC0F21">
        <w:rPr>
          <w:rFonts w:cstheme="minorHAnsi"/>
        </w:rPr>
        <w:t xml:space="preserve"> </w:t>
      </w:r>
      <w:r w:rsidR="01E5C059" w:rsidRPr="00CC0F21">
        <w:rPr>
          <w:rFonts w:cstheme="minorHAnsi"/>
        </w:rPr>
        <w:t xml:space="preserve">for the </w:t>
      </w:r>
      <w:r w:rsidR="6C50CF0B" w:rsidRPr="00CC0F21">
        <w:rPr>
          <w:rFonts w:cstheme="minorHAnsi"/>
        </w:rPr>
        <w:t>Obscuro toke</w:t>
      </w:r>
      <w:r w:rsidR="01D4B2BC" w:rsidRPr="00CC0F21">
        <w:rPr>
          <w:rFonts w:cstheme="minorHAnsi"/>
        </w:rPr>
        <w:t>n</w:t>
      </w:r>
      <w:r w:rsidR="01E5C059" w:rsidRPr="00CC0F21">
        <w:rPr>
          <w:rFonts w:cstheme="minorHAnsi"/>
        </w:rPr>
        <w:t xml:space="preserve"> called OBX</w:t>
      </w:r>
      <w:r w:rsidR="1C1EE821" w:rsidRPr="00CC0F21">
        <w:rPr>
          <w:rFonts w:cstheme="minorHAnsi"/>
        </w:rPr>
        <w:t xml:space="preserve">. Additionally </w:t>
      </w:r>
      <w:r w:rsidR="00DF45EE" w:rsidRPr="00CC0F21">
        <w:rPr>
          <w:rFonts w:cstheme="minorHAnsi"/>
        </w:rPr>
        <w:t xml:space="preserve">OBX provides </w:t>
      </w:r>
      <w:r w:rsidR="25DFFC6F" w:rsidRPr="00CC0F21">
        <w:rPr>
          <w:rFonts w:cstheme="minorHAnsi"/>
        </w:rPr>
        <w:t xml:space="preserve">the means for the Obscuro community to vote on </w:t>
      </w:r>
      <w:r w:rsidR="282F3B53" w:rsidRPr="00CC0F21">
        <w:rPr>
          <w:rFonts w:cstheme="minorHAnsi"/>
        </w:rPr>
        <w:t xml:space="preserve">change </w:t>
      </w:r>
      <w:r w:rsidR="25DFFC6F" w:rsidRPr="00CC0F21">
        <w:rPr>
          <w:rFonts w:cstheme="minorHAnsi"/>
        </w:rPr>
        <w:t xml:space="preserve">proposals to </w:t>
      </w:r>
      <w:r w:rsidR="282F3B53" w:rsidRPr="00CC0F21">
        <w:rPr>
          <w:rFonts w:cstheme="minorHAnsi"/>
        </w:rPr>
        <w:t>Obscuro</w:t>
      </w:r>
      <w:r w:rsidR="5C683114" w:rsidRPr="00CC0F21">
        <w:rPr>
          <w:rFonts w:cstheme="minorHAnsi"/>
        </w:rPr>
        <w:t xml:space="preserve"> and </w:t>
      </w:r>
      <w:r w:rsidR="5CB5B26F" w:rsidRPr="00CC0F21">
        <w:rPr>
          <w:rFonts w:cstheme="minorHAnsi"/>
        </w:rPr>
        <w:t>for ongoing development of the Obscuro ecosystem.</w:t>
      </w:r>
      <w:r w:rsidR="19B10FEE" w:rsidRPr="00CC0F21">
        <w:rPr>
          <w:rFonts w:cstheme="minorHAnsi"/>
        </w:rPr>
        <w:t xml:space="preserve"> Over 50% of OBX is distributed </w:t>
      </w:r>
      <w:r w:rsidR="64E76B08" w:rsidRPr="00CC0F21">
        <w:rPr>
          <w:rFonts w:cstheme="minorHAnsi"/>
        </w:rPr>
        <w:t xml:space="preserve">directly </w:t>
      </w:r>
      <w:r w:rsidR="19B10FEE" w:rsidRPr="00CC0F21">
        <w:rPr>
          <w:rFonts w:cstheme="minorHAnsi"/>
        </w:rPr>
        <w:t>t</w:t>
      </w:r>
      <w:r w:rsidR="6A15FD71" w:rsidRPr="00CC0F21">
        <w:rPr>
          <w:rFonts w:cstheme="minorHAnsi"/>
        </w:rPr>
        <w:t>o the community so they control the evolution of Obscuro.</w:t>
      </w:r>
    </w:p>
    <w:p w14:paraId="5CC61A50" w14:textId="6B36B282" w:rsidR="59D76693" w:rsidRPr="00CC0F21" w:rsidRDefault="59D76693" w:rsidP="00DF2015">
      <w:pPr>
        <w:jc w:val="both"/>
        <w:rPr>
          <w:rFonts w:eastAsia="Calibri" w:cstheme="minorHAnsi"/>
          <w:szCs w:val="24"/>
        </w:rPr>
      </w:pPr>
      <w:r w:rsidRPr="00CC0F21">
        <w:rPr>
          <w:rFonts w:eastAsia="Calibri" w:cstheme="minorHAnsi"/>
          <w:szCs w:val="24"/>
        </w:rPr>
        <w:t>The Obscuro tokenomics have been designed to be circulatory and self-sustaining with no human intervention and no subsidies. Instead decentralised Obscuro smart contracts handle all token movements (transaction fees, rewards and staking).</w:t>
      </w:r>
    </w:p>
    <w:p w14:paraId="2F4F9B32" w14:textId="1D6E3531" w:rsidR="59D76693" w:rsidRPr="00CC0F21" w:rsidRDefault="59D76693" w:rsidP="00DF2015">
      <w:pPr>
        <w:jc w:val="both"/>
        <w:rPr>
          <w:rFonts w:eastAsia="Calibri" w:cstheme="minorHAnsi"/>
          <w:szCs w:val="24"/>
        </w:rPr>
      </w:pPr>
      <w:r w:rsidRPr="00CC0F21">
        <w:rPr>
          <w:rFonts w:eastAsia="Calibri" w:cstheme="minorHAnsi"/>
          <w:szCs w:val="24"/>
        </w:rPr>
        <w:t>Although OBX is not deflationary, token holders are incentivised to stake as Aggregator node operators or as staking delegates by means of a reward. This will lock up OBX in staking pools and reduce the number of OBX in circulation. As the demand to be able to utilise the Obscuro network grows, the value of OBX subsequently increases. Similarly a decrease in demand is reflected by a decrease in OBX value.</w:t>
      </w:r>
    </w:p>
    <w:p w14:paraId="156A0683" w14:textId="6F99CB62" w:rsidR="004A501D" w:rsidRPr="00CC0F21" w:rsidRDefault="004A501D" w:rsidP="00DF2015">
      <w:pPr>
        <w:jc w:val="both"/>
        <w:rPr>
          <w:rFonts w:cstheme="minorHAnsi"/>
          <w:szCs w:val="24"/>
        </w:rPr>
      </w:pPr>
    </w:p>
    <w:p w14:paraId="0F8F56C7" w14:textId="791CD6A8" w:rsidR="0088755A" w:rsidRPr="00CC0F21" w:rsidRDefault="00FE250E" w:rsidP="00DF2015">
      <w:pPr>
        <w:jc w:val="both"/>
        <w:rPr>
          <w:rFonts w:cstheme="minorHAnsi"/>
        </w:rPr>
      </w:pPr>
      <w:commentRangeStart w:id="2"/>
      <w:commentRangeStart w:id="3"/>
      <w:r w:rsidRPr="00CC0F21">
        <w:rPr>
          <w:rFonts w:cstheme="minorHAnsi"/>
        </w:rPr>
        <w:t>In summary, OBX</w:t>
      </w:r>
      <w:r w:rsidR="0088755A" w:rsidRPr="00CC0F21">
        <w:rPr>
          <w:rFonts w:cstheme="minorHAnsi"/>
        </w:rPr>
        <w:t xml:space="preserve"> has four </w:t>
      </w:r>
      <w:r w:rsidR="00397D1B" w:rsidRPr="00CC0F21">
        <w:rPr>
          <w:rFonts w:cstheme="minorHAnsi"/>
        </w:rPr>
        <w:t>utilities</w:t>
      </w:r>
      <w:r w:rsidR="0088755A" w:rsidRPr="00CC0F21">
        <w:rPr>
          <w:rFonts w:cstheme="minorHAnsi"/>
        </w:rPr>
        <w:t>:</w:t>
      </w:r>
      <w:commentRangeEnd w:id="2"/>
      <w:r w:rsidRPr="00CC0F21">
        <w:rPr>
          <w:rStyle w:val="CommentReference"/>
          <w:rFonts w:cstheme="minorHAnsi"/>
        </w:rPr>
        <w:commentReference w:id="2"/>
      </w:r>
      <w:commentRangeEnd w:id="3"/>
      <w:r w:rsidRPr="00CC0F21">
        <w:rPr>
          <w:rStyle w:val="CommentReference"/>
          <w:rFonts w:cstheme="minorHAnsi"/>
        </w:rPr>
        <w:commentReference w:id="3"/>
      </w:r>
    </w:p>
    <w:p w14:paraId="0900C99E" w14:textId="59B317FC" w:rsidR="0088755A" w:rsidRPr="00CC0F21" w:rsidRDefault="5CB5B26F" w:rsidP="00DF2015">
      <w:pPr>
        <w:pStyle w:val="ListParagraph"/>
        <w:numPr>
          <w:ilvl w:val="0"/>
          <w:numId w:val="9"/>
        </w:numPr>
        <w:jc w:val="both"/>
        <w:rPr>
          <w:rFonts w:cstheme="minorHAnsi"/>
        </w:rPr>
      </w:pPr>
      <w:r w:rsidRPr="00CC0F21">
        <w:rPr>
          <w:rFonts w:cstheme="minorHAnsi"/>
        </w:rPr>
        <w:t>T</w:t>
      </w:r>
      <w:r w:rsidR="42ED2E81" w:rsidRPr="00CC0F21">
        <w:rPr>
          <w:rFonts w:cstheme="minorHAnsi"/>
        </w:rPr>
        <w:t>o provide a</w:t>
      </w:r>
      <w:r w:rsidR="25E713D5" w:rsidRPr="00CC0F21">
        <w:rPr>
          <w:rFonts w:cstheme="minorHAnsi"/>
        </w:rPr>
        <w:t xml:space="preserve"> </w:t>
      </w:r>
      <w:r w:rsidR="42ED2E81" w:rsidRPr="00CC0F21">
        <w:rPr>
          <w:rFonts w:cstheme="minorHAnsi"/>
        </w:rPr>
        <w:t>reward to incentivise users to correctly operate Obscuro nodes</w:t>
      </w:r>
      <w:r w:rsidRPr="00CC0F21">
        <w:rPr>
          <w:rFonts w:cstheme="minorHAnsi"/>
        </w:rPr>
        <w:t>.</w:t>
      </w:r>
    </w:p>
    <w:p w14:paraId="7E436426" w14:textId="363ADC14" w:rsidR="0088755A" w:rsidRPr="00CC0F21" w:rsidRDefault="0088755A" w:rsidP="00DF2015">
      <w:pPr>
        <w:pStyle w:val="ListParagraph"/>
        <w:numPr>
          <w:ilvl w:val="0"/>
          <w:numId w:val="9"/>
        </w:numPr>
        <w:jc w:val="both"/>
        <w:rPr>
          <w:rFonts w:cstheme="minorHAnsi"/>
        </w:rPr>
      </w:pPr>
      <w:r w:rsidRPr="00CC0F21">
        <w:rPr>
          <w:rFonts w:cstheme="minorHAnsi"/>
        </w:rPr>
        <w:t>A medium in which users can pay fees</w:t>
      </w:r>
      <w:r w:rsidR="00FA3D7D" w:rsidRPr="00CC0F21">
        <w:rPr>
          <w:rFonts w:cstheme="minorHAnsi"/>
        </w:rPr>
        <w:t xml:space="preserve"> </w:t>
      </w:r>
      <w:r w:rsidRPr="00CC0F21">
        <w:rPr>
          <w:rFonts w:cstheme="minorHAnsi"/>
        </w:rPr>
        <w:t>and node operators</w:t>
      </w:r>
      <w:r w:rsidR="0020686C" w:rsidRPr="00CC0F21">
        <w:rPr>
          <w:rFonts w:cstheme="minorHAnsi"/>
        </w:rPr>
        <w:t xml:space="preserve"> can pay their </w:t>
      </w:r>
      <w:commentRangeStart w:id="4"/>
      <w:r w:rsidR="0020686C" w:rsidRPr="00CC0F21">
        <w:rPr>
          <w:rFonts w:cstheme="minorHAnsi"/>
        </w:rPr>
        <w:t>stake</w:t>
      </w:r>
      <w:commentRangeEnd w:id="4"/>
      <w:r w:rsidR="003E2534" w:rsidRPr="00CC0F21">
        <w:rPr>
          <w:rStyle w:val="CommentReference"/>
          <w:rFonts w:cstheme="minorHAnsi"/>
        </w:rPr>
        <w:commentReference w:id="4"/>
      </w:r>
      <w:r w:rsidR="0020686C" w:rsidRPr="00CC0F21">
        <w:rPr>
          <w:rFonts w:cstheme="minorHAnsi"/>
        </w:rPr>
        <w:t xml:space="preserve"> and</w:t>
      </w:r>
      <w:r w:rsidRPr="00CC0F21">
        <w:rPr>
          <w:rFonts w:cstheme="minorHAnsi"/>
        </w:rPr>
        <w:t xml:space="preserve"> receive rewards</w:t>
      </w:r>
      <w:r w:rsidR="0020686C" w:rsidRPr="00CC0F21">
        <w:rPr>
          <w:rFonts w:cstheme="minorHAnsi"/>
        </w:rPr>
        <w:t xml:space="preserve"> to cover operational costs</w:t>
      </w:r>
      <w:r w:rsidRPr="00CC0F21">
        <w:rPr>
          <w:rFonts w:cstheme="minorHAnsi"/>
        </w:rPr>
        <w:t>.</w:t>
      </w:r>
    </w:p>
    <w:p w14:paraId="398DD109" w14:textId="1C531750" w:rsidR="00F31E2E" w:rsidRPr="00CC0F21" w:rsidRDefault="00F31E2E" w:rsidP="00DF2015">
      <w:pPr>
        <w:pStyle w:val="ListParagraph"/>
        <w:numPr>
          <w:ilvl w:val="0"/>
          <w:numId w:val="9"/>
        </w:numPr>
        <w:jc w:val="both"/>
        <w:rPr>
          <w:rFonts w:cstheme="minorHAnsi"/>
        </w:rPr>
      </w:pPr>
      <w:r w:rsidRPr="00CC0F21">
        <w:rPr>
          <w:rFonts w:cstheme="minorHAnsi"/>
        </w:rPr>
        <w:t xml:space="preserve">A </w:t>
      </w:r>
      <w:r w:rsidR="003532D0" w:rsidRPr="00CC0F21">
        <w:rPr>
          <w:rFonts w:cstheme="minorHAnsi"/>
        </w:rPr>
        <w:t>m</w:t>
      </w:r>
      <w:r w:rsidR="00501B46" w:rsidRPr="00CC0F21">
        <w:rPr>
          <w:rFonts w:cstheme="minorHAnsi"/>
        </w:rPr>
        <w:t>eans</w:t>
      </w:r>
      <w:r w:rsidRPr="00CC0F21">
        <w:rPr>
          <w:rFonts w:cstheme="minorHAnsi"/>
        </w:rPr>
        <w:t xml:space="preserve"> </w:t>
      </w:r>
      <w:r w:rsidR="00362F4F" w:rsidRPr="00CC0F21">
        <w:rPr>
          <w:rFonts w:cstheme="minorHAnsi"/>
        </w:rPr>
        <w:t>to vote on proposals for changes to Obscuro</w:t>
      </w:r>
      <w:r w:rsidR="003532D0" w:rsidRPr="00CC0F21">
        <w:rPr>
          <w:rFonts w:cstheme="minorHAnsi"/>
        </w:rPr>
        <w:t xml:space="preserve"> via a governance model.</w:t>
      </w:r>
    </w:p>
    <w:p w14:paraId="659C3DA5" w14:textId="5F81ABF3" w:rsidR="00EE4BA0" w:rsidRPr="00CC0F21" w:rsidRDefault="0088755A" w:rsidP="00DF2015">
      <w:pPr>
        <w:pStyle w:val="ListParagraph"/>
        <w:numPr>
          <w:ilvl w:val="0"/>
          <w:numId w:val="9"/>
        </w:numPr>
        <w:jc w:val="both"/>
        <w:rPr>
          <w:rFonts w:cstheme="minorHAnsi"/>
        </w:rPr>
      </w:pPr>
      <w:r w:rsidRPr="00CC0F21">
        <w:rPr>
          <w:rFonts w:cstheme="minorHAnsi"/>
        </w:rPr>
        <w:t xml:space="preserve">A means to fund </w:t>
      </w:r>
      <w:r w:rsidR="00C4287A" w:rsidRPr="00CC0F21">
        <w:rPr>
          <w:rFonts w:cstheme="minorHAnsi"/>
        </w:rPr>
        <w:t xml:space="preserve">and incentivise </w:t>
      </w:r>
      <w:r w:rsidRPr="00CC0F21">
        <w:rPr>
          <w:rFonts w:cstheme="minorHAnsi"/>
        </w:rPr>
        <w:t xml:space="preserve">the ongoing development of the Obscuro </w:t>
      </w:r>
      <w:r w:rsidR="00C4287A" w:rsidRPr="00CC0F21">
        <w:rPr>
          <w:rFonts w:cstheme="minorHAnsi"/>
        </w:rPr>
        <w:t>ecosystem via</w:t>
      </w:r>
      <w:r w:rsidRPr="00CC0F21">
        <w:rPr>
          <w:rFonts w:cstheme="minorHAnsi"/>
        </w:rPr>
        <w:t xml:space="preserve"> </w:t>
      </w:r>
      <w:r w:rsidR="00F31E2E" w:rsidRPr="00CC0F21">
        <w:rPr>
          <w:rFonts w:cstheme="minorHAnsi"/>
        </w:rPr>
        <w:t xml:space="preserve">development opportunities, </w:t>
      </w:r>
      <w:r w:rsidRPr="00CC0F21">
        <w:rPr>
          <w:rFonts w:cstheme="minorHAnsi"/>
        </w:rPr>
        <w:t>grants and competitions.</w:t>
      </w:r>
    </w:p>
    <w:p w14:paraId="0990A5DD" w14:textId="77777777" w:rsidR="002F778C" w:rsidRPr="00CC0F21" w:rsidRDefault="002F778C" w:rsidP="001A7314">
      <w:pPr>
        <w:pStyle w:val="Heading1"/>
        <w:rPr>
          <w:color w:val="auto"/>
        </w:rPr>
      </w:pPr>
    </w:p>
    <w:p w14:paraId="3339D19B" w14:textId="77777777" w:rsidR="009540BE" w:rsidRPr="00CC0F21" w:rsidRDefault="009540BE" w:rsidP="00DF2015">
      <w:pPr>
        <w:jc w:val="both"/>
        <w:rPr>
          <w:rFonts w:eastAsiaTheme="majorEastAsia" w:cstheme="minorHAnsi"/>
          <w:sz w:val="48"/>
          <w:szCs w:val="32"/>
        </w:rPr>
      </w:pPr>
      <w:r w:rsidRPr="00CC0F21">
        <w:rPr>
          <w:rFonts w:cstheme="minorHAnsi"/>
        </w:rPr>
        <w:br w:type="page"/>
      </w:r>
    </w:p>
    <w:p w14:paraId="32D8C3B1" w14:textId="23D4BBEA" w:rsidR="00F175C1" w:rsidRPr="00CC0F21" w:rsidRDefault="00885860" w:rsidP="001A7314">
      <w:pPr>
        <w:pStyle w:val="Heading1"/>
        <w:rPr>
          <w:color w:val="auto"/>
        </w:rPr>
      </w:pPr>
      <w:bookmarkStart w:id="5" w:name="_Toc104212426"/>
      <w:r w:rsidRPr="00CC0F21">
        <w:rPr>
          <w:color w:val="auto"/>
        </w:rPr>
        <w:lastRenderedPageBreak/>
        <w:t xml:space="preserve">Token </w:t>
      </w:r>
      <w:r w:rsidR="00DB56C7" w:rsidRPr="00CC0F21">
        <w:rPr>
          <w:color w:val="auto"/>
        </w:rPr>
        <w:t>Issuance</w:t>
      </w:r>
      <w:r w:rsidR="006379C8" w:rsidRPr="00CC0F21">
        <w:rPr>
          <w:color w:val="auto"/>
        </w:rPr>
        <w:t xml:space="preserve"> and </w:t>
      </w:r>
      <w:r w:rsidR="00F86312" w:rsidRPr="00CC0F21">
        <w:rPr>
          <w:color w:val="auto"/>
        </w:rPr>
        <w:t>Distribution</w:t>
      </w:r>
      <w:bookmarkEnd w:id="5"/>
    </w:p>
    <w:p w14:paraId="0F5C6AC6" w14:textId="09C528CC" w:rsidR="6F66B4CA" w:rsidRPr="00CC0F21" w:rsidRDefault="6F66B4CA" w:rsidP="00DF2015">
      <w:pPr>
        <w:jc w:val="both"/>
        <w:rPr>
          <w:rFonts w:cstheme="minorHAnsi"/>
        </w:rPr>
      </w:pPr>
      <w:r w:rsidRPr="00CC0F21">
        <w:rPr>
          <w:rFonts w:cstheme="minorHAnsi"/>
        </w:rPr>
        <w:t xml:space="preserve">OBX </w:t>
      </w:r>
      <w:r w:rsidR="2ABD8353" w:rsidRPr="00CC0F21">
        <w:rPr>
          <w:rFonts w:cstheme="minorHAnsi"/>
        </w:rPr>
        <w:t>is</w:t>
      </w:r>
      <w:r w:rsidRPr="00CC0F21">
        <w:rPr>
          <w:rFonts w:cstheme="minorHAnsi"/>
        </w:rPr>
        <w:t xml:space="preserve"> issued </w:t>
      </w:r>
      <w:r w:rsidR="3AFCD0B3" w:rsidRPr="00CC0F21">
        <w:rPr>
          <w:rFonts w:cstheme="minorHAnsi"/>
        </w:rPr>
        <w:t>by the Obscuro Foundation</w:t>
      </w:r>
      <w:r w:rsidR="51091DDC" w:rsidRPr="00CC0F21">
        <w:rPr>
          <w:rFonts w:cstheme="minorHAnsi"/>
        </w:rPr>
        <w:t>. This Token Generation Event</w:t>
      </w:r>
      <w:r w:rsidR="329FC642" w:rsidRPr="00CC0F21">
        <w:rPr>
          <w:rFonts w:cstheme="minorHAnsi"/>
        </w:rPr>
        <w:t xml:space="preserve"> (TGE)</w:t>
      </w:r>
      <w:r w:rsidR="51091DDC" w:rsidRPr="00CC0F21">
        <w:rPr>
          <w:rFonts w:cstheme="minorHAnsi"/>
        </w:rPr>
        <w:t xml:space="preserve"> occurs </w:t>
      </w:r>
      <w:r w:rsidRPr="00CC0F21">
        <w:rPr>
          <w:rFonts w:cstheme="minorHAnsi"/>
        </w:rPr>
        <w:t>when the Obscuro Testnet is substantially complete</w:t>
      </w:r>
      <w:r w:rsidR="10A013EE" w:rsidRPr="00CC0F21">
        <w:rPr>
          <w:rFonts w:cstheme="minorHAnsi"/>
        </w:rPr>
        <w:t xml:space="preserve"> and </w:t>
      </w:r>
      <w:r w:rsidR="5AD6F929" w:rsidRPr="00CC0F21">
        <w:rPr>
          <w:rFonts w:cstheme="minorHAnsi"/>
        </w:rPr>
        <w:t xml:space="preserve">application builders and Obscuro participants can meaningfully interact with the Testnet. </w:t>
      </w:r>
      <w:r w:rsidR="591F5DE1" w:rsidRPr="00CC0F21">
        <w:rPr>
          <w:rFonts w:cstheme="minorHAnsi"/>
        </w:rPr>
        <w:t xml:space="preserve">The Obscuro </w:t>
      </w:r>
      <w:r w:rsidR="00A363BB">
        <w:rPr>
          <w:rFonts w:cstheme="minorHAnsi"/>
        </w:rPr>
        <w:t>DAO</w:t>
      </w:r>
      <w:r w:rsidR="591F5DE1" w:rsidRPr="00CC0F21">
        <w:rPr>
          <w:rFonts w:cstheme="minorHAnsi"/>
        </w:rPr>
        <w:t xml:space="preserve"> controls the ongoing tokenomics for Obscuro </w:t>
      </w:r>
      <w:r w:rsidR="00A363BB">
        <w:rPr>
          <w:rFonts w:cstheme="minorHAnsi"/>
        </w:rPr>
        <w:t>Mainnet</w:t>
      </w:r>
      <w:r w:rsidR="591F5DE1" w:rsidRPr="00CC0F21">
        <w:rPr>
          <w:rFonts w:cstheme="minorHAnsi"/>
        </w:rPr>
        <w:t xml:space="preserve"> according to the </w:t>
      </w:r>
      <w:r w:rsidR="00A363BB">
        <w:rPr>
          <w:rFonts w:cstheme="minorHAnsi"/>
        </w:rPr>
        <w:t>DAO</w:t>
      </w:r>
      <w:r w:rsidR="591F5DE1" w:rsidRPr="00CC0F21">
        <w:rPr>
          <w:rFonts w:cstheme="minorHAnsi"/>
        </w:rPr>
        <w:t>’s constitution.</w:t>
      </w:r>
    </w:p>
    <w:p w14:paraId="3D029FAE" w14:textId="16D8E9BB" w:rsidR="006379C8" w:rsidRPr="00CC0F21" w:rsidRDefault="1922D519" w:rsidP="00DF2015">
      <w:pPr>
        <w:jc w:val="both"/>
        <w:rPr>
          <w:rFonts w:cstheme="minorHAnsi"/>
        </w:rPr>
      </w:pPr>
      <w:r w:rsidRPr="00CC0F21">
        <w:rPr>
          <w:rFonts w:cstheme="minorHAnsi"/>
        </w:rPr>
        <w:t xml:space="preserve">Total token supply </w:t>
      </w:r>
      <w:r w:rsidR="47799BB4" w:rsidRPr="00CC0F21">
        <w:rPr>
          <w:rFonts w:cstheme="minorHAnsi"/>
        </w:rPr>
        <w:t>is</w:t>
      </w:r>
      <w:r w:rsidR="1EEFFFDB" w:rsidRPr="00CC0F21">
        <w:rPr>
          <w:rFonts w:cstheme="minorHAnsi"/>
        </w:rPr>
        <w:t xml:space="preserve"> fixed at</w:t>
      </w:r>
      <w:r w:rsidRPr="00CC0F21">
        <w:rPr>
          <w:rFonts w:cstheme="minorHAnsi"/>
        </w:rPr>
        <w:t xml:space="preserve"> 1,000,000,000</w:t>
      </w:r>
      <w:r w:rsidR="404CB4AC" w:rsidRPr="00CC0F21">
        <w:rPr>
          <w:rFonts w:cstheme="minorHAnsi"/>
        </w:rPr>
        <w:t xml:space="preserve"> OBX.</w:t>
      </w:r>
      <w:r w:rsidR="3A21FB7E" w:rsidRPr="00CC0F21">
        <w:rPr>
          <w:rFonts w:cstheme="minorHAnsi"/>
        </w:rPr>
        <w:t xml:space="preserve"> The </w:t>
      </w:r>
      <w:commentRangeStart w:id="6"/>
      <w:r w:rsidR="3A21FB7E" w:rsidRPr="00CC0F21">
        <w:rPr>
          <w:rFonts w:cstheme="minorHAnsi"/>
        </w:rPr>
        <w:t>allocations</w:t>
      </w:r>
      <w:commentRangeEnd w:id="6"/>
      <w:r w:rsidR="00894102" w:rsidRPr="00CC0F21">
        <w:rPr>
          <w:rStyle w:val="CommentReference"/>
          <w:rFonts w:cstheme="minorHAnsi"/>
        </w:rPr>
        <w:commentReference w:id="6"/>
      </w:r>
      <w:r w:rsidR="3A21FB7E" w:rsidRPr="00CC0F21">
        <w:rPr>
          <w:rFonts w:cstheme="minorHAnsi"/>
        </w:rPr>
        <w:t xml:space="preserve"> a</w:t>
      </w:r>
      <w:r w:rsidR="41EF657C" w:rsidRPr="00CC0F21">
        <w:rPr>
          <w:rFonts w:cstheme="minorHAnsi"/>
        </w:rPr>
        <w:t xml:space="preserve">im to reward ongoing participation in Obscuro and </w:t>
      </w:r>
      <w:r w:rsidR="1F3FB706" w:rsidRPr="00CC0F21">
        <w:rPr>
          <w:rFonts w:cstheme="minorHAnsi"/>
        </w:rPr>
        <w:t>minimise</w:t>
      </w:r>
      <w:r w:rsidR="0A5B20DD" w:rsidRPr="00CC0F21">
        <w:rPr>
          <w:rFonts w:cstheme="minorHAnsi"/>
        </w:rPr>
        <w:t xml:space="preserve"> </w:t>
      </w:r>
      <w:r w:rsidR="41EF657C" w:rsidRPr="00CC0F21">
        <w:rPr>
          <w:rFonts w:cstheme="minorHAnsi"/>
        </w:rPr>
        <w:t>short-termism</w:t>
      </w:r>
      <w:r w:rsidR="009401F7" w:rsidRPr="00CC0F21">
        <w:rPr>
          <w:rFonts w:cstheme="minorHAnsi"/>
        </w:rPr>
        <w:t>.</w:t>
      </w:r>
      <w:r w:rsidR="747A8495" w:rsidRPr="00CC0F21">
        <w:rPr>
          <w:rFonts w:cstheme="minorHAnsi"/>
        </w:rPr>
        <w:t xml:space="preserve"> The largest allocations with</w:t>
      </w:r>
      <w:r w:rsidR="2087C8C0" w:rsidRPr="00CC0F21">
        <w:rPr>
          <w:rFonts w:cstheme="minorHAnsi"/>
        </w:rPr>
        <w:t xml:space="preserve"> vesting</w:t>
      </w:r>
      <w:r w:rsidR="3F4F0C56" w:rsidRPr="00CC0F21">
        <w:rPr>
          <w:rFonts w:cstheme="minorHAnsi"/>
        </w:rPr>
        <w:t xml:space="preserve"> from the get-</w:t>
      </w:r>
      <w:r w:rsidR="03B3A3CC" w:rsidRPr="00CC0F21">
        <w:rPr>
          <w:rFonts w:cstheme="minorHAnsi"/>
        </w:rPr>
        <w:t xml:space="preserve">go </w:t>
      </w:r>
      <w:r w:rsidR="3F4F0C56" w:rsidRPr="00CC0F21">
        <w:rPr>
          <w:rFonts w:cstheme="minorHAnsi"/>
        </w:rPr>
        <w:t>are for</w:t>
      </w:r>
      <w:r w:rsidR="747A8495" w:rsidRPr="00CC0F21">
        <w:rPr>
          <w:rFonts w:cstheme="minorHAnsi"/>
        </w:rPr>
        <w:t xml:space="preserve"> </w:t>
      </w:r>
      <w:r w:rsidR="03B3A3CC" w:rsidRPr="00CC0F21">
        <w:rPr>
          <w:rFonts w:cstheme="minorHAnsi"/>
        </w:rPr>
        <w:t>community members,</w:t>
      </w:r>
      <w:r w:rsidR="01633333" w:rsidRPr="00CC0F21">
        <w:rPr>
          <w:rFonts w:cstheme="minorHAnsi"/>
        </w:rPr>
        <w:t xml:space="preserve"> </w:t>
      </w:r>
      <w:r w:rsidR="03B3A3CC" w:rsidRPr="00CC0F21">
        <w:rPr>
          <w:rFonts w:cstheme="minorHAnsi"/>
        </w:rPr>
        <w:t xml:space="preserve">third-party integrators and </w:t>
      </w:r>
      <w:r w:rsidR="2280C74B" w:rsidRPr="00CC0F21">
        <w:rPr>
          <w:rFonts w:cstheme="minorHAnsi"/>
        </w:rPr>
        <w:t>application developers building on top of Obscuro</w:t>
      </w:r>
      <w:r w:rsidR="2A515B1D" w:rsidRPr="00CC0F21">
        <w:rPr>
          <w:rFonts w:cstheme="minorHAnsi"/>
        </w:rPr>
        <w:t xml:space="preserve"> so they can grow and succe</w:t>
      </w:r>
      <w:r w:rsidR="25E713D5" w:rsidRPr="00CC0F21">
        <w:rPr>
          <w:rFonts w:cstheme="minorHAnsi"/>
        </w:rPr>
        <w:t>ed</w:t>
      </w:r>
      <w:r w:rsidR="2A515B1D" w:rsidRPr="00CC0F21">
        <w:rPr>
          <w:rFonts w:cstheme="minorHAnsi"/>
        </w:rPr>
        <w:t xml:space="preserve"> alongside Obscuro.</w:t>
      </w:r>
    </w:p>
    <w:p w14:paraId="394D71DD" w14:textId="6E2E9F62" w:rsidR="000E4ED6" w:rsidRPr="00CC0F21" w:rsidRDefault="007F3E23" w:rsidP="00DF2015">
      <w:pPr>
        <w:jc w:val="both"/>
        <w:rPr>
          <w:rFonts w:cstheme="minorHAnsi"/>
        </w:rPr>
      </w:pPr>
      <w:r w:rsidRPr="00CC0F21">
        <w:rPr>
          <w:rFonts w:cstheme="minorHAnsi"/>
        </w:rPr>
        <w:t>An airdrop has been intentionally omitted from the allocation because</w:t>
      </w:r>
      <w:r w:rsidR="004A1EAC" w:rsidRPr="00CC0F21">
        <w:rPr>
          <w:rFonts w:cstheme="minorHAnsi"/>
        </w:rPr>
        <w:t xml:space="preserve"> </w:t>
      </w:r>
      <w:r w:rsidR="00722DD9" w:rsidRPr="00CC0F21">
        <w:rPr>
          <w:rFonts w:cstheme="minorHAnsi"/>
        </w:rPr>
        <w:t>typically they</w:t>
      </w:r>
      <w:r w:rsidR="004A1EAC" w:rsidRPr="00CC0F21">
        <w:rPr>
          <w:rFonts w:cstheme="minorHAnsi"/>
        </w:rPr>
        <w:t xml:space="preserve"> </w:t>
      </w:r>
      <w:commentRangeStart w:id="7"/>
      <w:r w:rsidR="004A1EAC" w:rsidRPr="00CC0F21">
        <w:rPr>
          <w:rFonts w:cstheme="minorHAnsi"/>
        </w:rPr>
        <w:t xml:space="preserve">do not </w:t>
      </w:r>
      <w:commentRangeStart w:id="8"/>
      <w:r w:rsidR="004A1EAC" w:rsidRPr="00CC0F21">
        <w:rPr>
          <w:rFonts w:cstheme="minorHAnsi"/>
        </w:rPr>
        <w:t xml:space="preserve">benefit </w:t>
      </w:r>
      <w:r w:rsidR="00722DD9" w:rsidRPr="00CC0F21">
        <w:rPr>
          <w:rFonts w:cstheme="minorHAnsi"/>
        </w:rPr>
        <w:t xml:space="preserve">projects in </w:t>
      </w:r>
      <w:commentRangeEnd w:id="7"/>
      <w:r w:rsidRPr="00CC0F21">
        <w:rPr>
          <w:rStyle w:val="CommentReference"/>
          <w:rFonts w:cstheme="minorHAnsi"/>
        </w:rPr>
        <w:commentReference w:id="7"/>
      </w:r>
      <w:commentRangeEnd w:id="8"/>
      <w:r w:rsidRPr="00CC0F21">
        <w:rPr>
          <w:rStyle w:val="CommentReference"/>
          <w:rFonts w:cstheme="minorHAnsi"/>
        </w:rPr>
        <w:commentReference w:id="8"/>
      </w:r>
      <w:r w:rsidR="00722DD9" w:rsidRPr="00CC0F21">
        <w:rPr>
          <w:rFonts w:cstheme="minorHAnsi"/>
        </w:rPr>
        <w:t>the medium to long term</w:t>
      </w:r>
      <w:r w:rsidR="005166B6" w:rsidRPr="00CC0F21">
        <w:rPr>
          <w:rFonts w:cstheme="minorHAnsi"/>
        </w:rPr>
        <w:t>.</w:t>
      </w:r>
    </w:p>
    <w:p w14:paraId="03B5F497" w14:textId="5B1C159A" w:rsidR="73ACB50B" w:rsidRPr="00CC0F21" w:rsidRDefault="73ACB50B" w:rsidP="00DF2015">
      <w:pPr>
        <w:jc w:val="both"/>
        <w:rPr>
          <w:rFonts w:cstheme="minorHAnsi"/>
          <w:szCs w:val="24"/>
        </w:rPr>
      </w:pPr>
    </w:p>
    <w:tbl>
      <w:tblPr>
        <w:tblStyle w:val="TableGrid"/>
        <w:tblW w:w="6609" w:type="dxa"/>
        <w:jc w:val="center"/>
        <w:tblLook w:val="04A0" w:firstRow="1" w:lastRow="0" w:firstColumn="1" w:lastColumn="0" w:noHBand="0" w:noVBand="1"/>
      </w:tblPr>
      <w:tblGrid>
        <w:gridCol w:w="2769"/>
        <w:gridCol w:w="1935"/>
        <w:gridCol w:w="1905"/>
      </w:tblGrid>
      <w:tr w:rsidR="00CC0F21" w:rsidRPr="00CC0F21" w14:paraId="1A200176" w14:textId="77777777" w:rsidTr="00644573">
        <w:trPr>
          <w:jc w:val="center"/>
        </w:trPr>
        <w:tc>
          <w:tcPr>
            <w:tcW w:w="2769" w:type="dxa"/>
            <w:shd w:val="clear" w:color="auto" w:fill="000000" w:themeFill="text1"/>
            <w:vAlign w:val="center"/>
          </w:tcPr>
          <w:p w14:paraId="605AEA44" w14:textId="77777777" w:rsidR="1FE64B49" w:rsidRPr="00CC0F21" w:rsidRDefault="1FE64B49" w:rsidP="00644573">
            <w:pPr>
              <w:jc w:val="center"/>
              <w:rPr>
                <w:rFonts w:cstheme="minorHAnsi"/>
                <w:b/>
                <w:bCs/>
                <w:szCs w:val="24"/>
              </w:rPr>
            </w:pPr>
            <w:r w:rsidRPr="00CC0F21">
              <w:rPr>
                <w:rFonts w:cstheme="minorHAnsi"/>
                <w:b/>
                <w:bCs/>
                <w:szCs w:val="24"/>
              </w:rPr>
              <w:t>Recipient</w:t>
            </w:r>
          </w:p>
        </w:tc>
        <w:tc>
          <w:tcPr>
            <w:tcW w:w="1935" w:type="dxa"/>
            <w:shd w:val="clear" w:color="auto" w:fill="000000" w:themeFill="text1"/>
            <w:vAlign w:val="center"/>
          </w:tcPr>
          <w:p w14:paraId="3D781668" w14:textId="77777777" w:rsidR="1FE64B49" w:rsidRPr="00CC0F21" w:rsidRDefault="1FE64B49" w:rsidP="00644573">
            <w:pPr>
              <w:jc w:val="center"/>
              <w:rPr>
                <w:rFonts w:cstheme="minorHAnsi"/>
                <w:b/>
                <w:bCs/>
                <w:szCs w:val="24"/>
              </w:rPr>
            </w:pPr>
            <w:r w:rsidRPr="00CC0F21">
              <w:rPr>
                <w:rFonts w:cstheme="minorHAnsi"/>
                <w:b/>
                <w:bCs/>
                <w:szCs w:val="24"/>
              </w:rPr>
              <w:t>Token Amount</w:t>
            </w:r>
          </w:p>
        </w:tc>
        <w:tc>
          <w:tcPr>
            <w:tcW w:w="1905" w:type="dxa"/>
            <w:shd w:val="clear" w:color="auto" w:fill="000000" w:themeFill="text1"/>
            <w:vAlign w:val="center"/>
          </w:tcPr>
          <w:p w14:paraId="1FE76C87" w14:textId="77777777" w:rsidR="1FE64B49" w:rsidRPr="00CC0F21" w:rsidRDefault="1FE64B49" w:rsidP="00644573">
            <w:pPr>
              <w:jc w:val="center"/>
              <w:rPr>
                <w:rFonts w:cstheme="minorHAnsi"/>
                <w:b/>
                <w:bCs/>
                <w:szCs w:val="24"/>
              </w:rPr>
            </w:pPr>
            <w:commentRangeStart w:id="9"/>
            <w:r w:rsidRPr="00CC0F21">
              <w:rPr>
                <w:rFonts w:cstheme="minorHAnsi"/>
                <w:b/>
                <w:bCs/>
                <w:szCs w:val="24"/>
              </w:rPr>
              <w:t>Allocation</w:t>
            </w:r>
            <w:commentRangeEnd w:id="9"/>
            <w:r w:rsidRPr="00CC0F21">
              <w:rPr>
                <w:rStyle w:val="CommentReference"/>
                <w:rFonts w:cstheme="minorHAnsi"/>
              </w:rPr>
              <w:commentReference w:id="9"/>
            </w:r>
          </w:p>
        </w:tc>
      </w:tr>
      <w:tr w:rsidR="00CC0F21" w:rsidRPr="00CC0F21" w14:paraId="6EF65016" w14:textId="77777777" w:rsidTr="00644573">
        <w:trPr>
          <w:jc w:val="center"/>
        </w:trPr>
        <w:tc>
          <w:tcPr>
            <w:tcW w:w="2769" w:type="dxa"/>
          </w:tcPr>
          <w:p w14:paraId="070D5614" w14:textId="52C9BE85" w:rsidR="73ACB50B" w:rsidRPr="00CC0F21" w:rsidRDefault="00644573" w:rsidP="00DF2015">
            <w:pPr>
              <w:jc w:val="both"/>
              <w:rPr>
                <w:rFonts w:cstheme="minorHAnsi"/>
                <w:szCs w:val="24"/>
              </w:rPr>
            </w:pPr>
            <w:r>
              <w:rPr>
                <w:rFonts w:cstheme="minorHAnsi"/>
                <w:szCs w:val="24"/>
              </w:rPr>
              <w:t xml:space="preserve">Contributor </w:t>
            </w:r>
            <w:r w:rsidR="73ACB50B" w:rsidRPr="00CC0F21">
              <w:rPr>
                <w:rFonts w:cstheme="minorHAnsi"/>
                <w:szCs w:val="24"/>
              </w:rPr>
              <w:t>Whitelist</w:t>
            </w:r>
          </w:p>
        </w:tc>
        <w:tc>
          <w:tcPr>
            <w:tcW w:w="1935" w:type="dxa"/>
            <w:vAlign w:val="center"/>
          </w:tcPr>
          <w:p w14:paraId="059A5769" w14:textId="24018AC8" w:rsidR="73ACB50B" w:rsidRPr="00CC0F21" w:rsidRDefault="73ACB50B" w:rsidP="00DF2015">
            <w:pPr>
              <w:spacing w:line="259" w:lineRule="auto"/>
              <w:jc w:val="both"/>
              <w:rPr>
                <w:rFonts w:cstheme="minorHAnsi"/>
                <w:szCs w:val="24"/>
              </w:rPr>
            </w:pPr>
            <w:r w:rsidRPr="00CC0F21">
              <w:rPr>
                <w:rFonts w:cstheme="minorHAnsi"/>
                <w:szCs w:val="24"/>
              </w:rPr>
              <w:t>20,000,000</w:t>
            </w:r>
          </w:p>
        </w:tc>
        <w:tc>
          <w:tcPr>
            <w:tcW w:w="1905" w:type="dxa"/>
            <w:vAlign w:val="center"/>
          </w:tcPr>
          <w:p w14:paraId="53A4437F" w14:textId="79BDC064" w:rsidR="73ACB50B" w:rsidRPr="00CC0F21" w:rsidRDefault="73ACB50B" w:rsidP="00DF2015">
            <w:pPr>
              <w:jc w:val="both"/>
              <w:rPr>
                <w:rFonts w:cstheme="minorHAnsi"/>
                <w:szCs w:val="24"/>
              </w:rPr>
            </w:pPr>
            <w:r w:rsidRPr="00CC0F21">
              <w:rPr>
                <w:rFonts w:cstheme="minorHAnsi"/>
                <w:szCs w:val="24"/>
              </w:rPr>
              <w:t>2%</w:t>
            </w:r>
          </w:p>
        </w:tc>
      </w:tr>
      <w:tr w:rsidR="00CC0F21" w:rsidRPr="00CC0F21" w14:paraId="2BBADC56" w14:textId="77777777" w:rsidTr="00644573">
        <w:trPr>
          <w:jc w:val="center"/>
        </w:trPr>
        <w:tc>
          <w:tcPr>
            <w:tcW w:w="2769" w:type="dxa"/>
          </w:tcPr>
          <w:p w14:paraId="7FEC8406" w14:textId="023E0E66" w:rsidR="73ACB50B" w:rsidRPr="00CC0F21" w:rsidRDefault="73ACB50B" w:rsidP="00DF2015">
            <w:pPr>
              <w:jc w:val="both"/>
              <w:rPr>
                <w:rFonts w:cstheme="minorHAnsi"/>
                <w:szCs w:val="24"/>
              </w:rPr>
            </w:pPr>
            <w:r w:rsidRPr="00CC0F21">
              <w:rPr>
                <w:rFonts w:cstheme="minorHAnsi"/>
                <w:szCs w:val="24"/>
              </w:rPr>
              <w:t>Public Sale</w:t>
            </w:r>
          </w:p>
        </w:tc>
        <w:tc>
          <w:tcPr>
            <w:tcW w:w="1935" w:type="dxa"/>
            <w:vAlign w:val="center"/>
          </w:tcPr>
          <w:p w14:paraId="25318709" w14:textId="36D569E7" w:rsidR="73ACB50B" w:rsidRPr="00CC0F21" w:rsidRDefault="73ACB50B" w:rsidP="00DF2015">
            <w:pPr>
              <w:spacing w:line="259" w:lineRule="auto"/>
              <w:jc w:val="both"/>
              <w:rPr>
                <w:rFonts w:cstheme="minorHAnsi"/>
                <w:szCs w:val="24"/>
              </w:rPr>
            </w:pPr>
            <w:r w:rsidRPr="00CC0F21">
              <w:rPr>
                <w:rFonts w:cstheme="minorHAnsi"/>
                <w:szCs w:val="24"/>
              </w:rPr>
              <w:t>26,000,000</w:t>
            </w:r>
          </w:p>
        </w:tc>
        <w:tc>
          <w:tcPr>
            <w:tcW w:w="1905" w:type="dxa"/>
            <w:vAlign w:val="center"/>
          </w:tcPr>
          <w:p w14:paraId="5FDA5DD4" w14:textId="729823E3" w:rsidR="73ACB50B" w:rsidRPr="00CC0F21" w:rsidRDefault="73ACB50B" w:rsidP="00DF2015">
            <w:pPr>
              <w:jc w:val="both"/>
              <w:rPr>
                <w:rFonts w:cstheme="minorHAnsi"/>
                <w:szCs w:val="24"/>
              </w:rPr>
            </w:pPr>
            <w:r w:rsidRPr="00CC0F21">
              <w:rPr>
                <w:rFonts w:cstheme="minorHAnsi"/>
                <w:szCs w:val="24"/>
              </w:rPr>
              <w:t>2.6%</w:t>
            </w:r>
          </w:p>
        </w:tc>
      </w:tr>
      <w:tr w:rsidR="00CC0F21" w:rsidRPr="00CC0F21" w14:paraId="4BF5E3BA" w14:textId="77777777" w:rsidTr="00644573">
        <w:trPr>
          <w:jc w:val="center"/>
        </w:trPr>
        <w:tc>
          <w:tcPr>
            <w:tcW w:w="2769" w:type="dxa"/>
          </w:tcPr>
          <w:p w14:paraId="783B1069" w14:textId="580E3398" w:rsidR="73ACB50B" w:rsidRPr="00CC0F21" w:rsidRDefault="73ACB50B" w:rsidP="00DF2015">
            <w:pPr>
              <w:jc w:val="both"/>
              <w:rPr>
                <w:rFonts w:cstheme="minorHAnsi"/>
                <w:szCs w:val="24"/>
              </w:rPr>
            </w:pPr>
            <w:r w:rsidRPr="00CC0F21">
              <w:rPr>
                <w:rFonts w:cstheme="minorHAnsi"/>
                <w:szCs w:val="24"/>
              </w:rPr>
              <w:t>Foundation Fund</w:t>
            </w:r>
          </w:p>
        </w:tc>
        <w:tc>
          <w:tcPr>
            <w:tcW w:w="1935" w:type="dxa"/>
            <w:vAlign w:val="center"/>
          </w:tcPr>
          <w:p w14:paraId="0CFEB0EB" w14:textId="1B01E48D" w:rsidR="73ACB50B" w:rsidRPr="00CC0F21" w:rsidRDefault="73ACB50B" w:rsidP="00DF2015">
            <w:pPr>
              <w:spacing w:line="259" w:lineRule="auto"/>
              <w:jc w:val="both"/>
              <w:rPr>
                <w:rFonts w:cstheme="minorHAnsi"/>
                <w:szCs w:val="24"/>
              </w:rPr>
            </w:pPr>
            <w:r w:rsidRPr="00CC0F21">
              <w:rPr>
                <w:rFonts w:cstheme="minorHAnsi"/>
                <w:szCs w:val="24"/>
              </w:rPr>
              <w:t>227,000,000</w:t>
            </w:r>
          </w:p>
        </w:tc>
        <w:tc>
          <w:tcPr>
            <w:tcW w:w="1905" w:type="dxa"/>
            <w:vAlign w:val="center"/>
          </w:tcPr>
          <w:p w14:paraId="37975466" w14:textId="7EB6197A" w:rsidR="73ACB50B" w:rsidRPr="00CC0F21" w:rsidRDefault="73ACB50B" w:rsidP="00DF2015">
            <w:pPr>
              <w:jc w:val="both"/>
              <w:rPr>
                <w:rFonts w:cstheme="minorHAnsi"/>
                <w:szCs w:val="24"/>
              </w:rPr>
            </w:pPr>
            <w:r w:rsidRPr="00CC0F21">
              <w:rPr>
                <w:rFonts w:cstheme="minorHAnsi"/>
                <w:szCs w:val="24"/>
              </w:rPr>
              <w:t>22.7%</w:t>
            </w:r>
          </w:p>
        </w:tc>
      </w:tr>
      <w:tr w:rsidR="00CC0F21" w:rsidRPr="00CC0F21" w14:paraId="51C742E7" w14:textId="77777777" w:rsidTr="00644573">
        <w:trPr>
          <w:jc w:val="center"/>
        </w:trPr>
        <w:tc>
          <w:tcPr>
            <w:tcW w:w="2769" w:type="dxa"/>
          </w:tcPr>
          <w:p w14:paraId="7DB4D741" w14:textId="47F585D3" w:rsidR="73ACB50B" w:rsidRPr="00CC0F21" w:rsidRDefault="73ACB50B" w:rsidP="00DF2015">
            <w:pPr>
              <w:jc w:val="both"/>
              <w:rPr>
                <w:rFonts w:cstheme="minorHAnsi"/>
                <w:szCs w:val="24"/>
              </w:rPr>
            </w:pPr>
            <w:r w:rsidRPr="00CC0F21">
              <w:rPr>
                <w:rFonts w:cstheme="minorHAnsi"/>
                <w:szCs w:val="24"/>
              </w:rPr>
              <w:t>Ecosystem Fund</w:t>
            </w:r>
          </w:p>
        </w:tc>
        <w:tc>
          <w:tcPr>
            <w:tcW w:w="1935" w:type="dxa"/>
            <w:vAlign w:val="center"/>
          </w:tcPr>
          <w:p w14:paraId="2F2D17C1" w14:textId="6CBA133B" w:rsidR="73ACB50B" w:rsidRPr="00CC0F21" w:rsidRDefault="73ACB50B" w:rsidP="00DF2015">
            <w:pPr>
              <w:spacing w:line="259" w:lineRule="auto"/>
              <w:jc w:val="both"/>
              <w:rPr>
                <w:rFonts w:cstheme="minorHAnsi"/>
                <w:szCs w:val="24"/>
              </w:rPr>
            </w:pPr>
            <w:r w:rsidRPr="00CC0F21">
              <w:rPr>
                <w:rFonts w:cstheme="minorHAnsi"/>
                <w:szCs w:val="24"/>
              </w:rPr>
              <w:t>227,000,000</w:t>
            </w:r>
          </w:p>
        </w:tc>
        <w:tc>
          <w:tcPr>
            <w:tcW w:w="1905" w:type="dxa"/>
            <w:vAlign w:val="center"/>
          </w:tcPr>
          <w:p w14:paraId="7C23B2F0" w14:textId="54E807CC" w:rsidR="73ACB50B" w:rsidRPr="00CC0F21" w:rsidRDefault="73ACB50B" w:rsidP="00DF2015">
            <w:pPr>
              <w:jc w:val="both"/>
              <w:rPr>
                <w:rFonts w:cstheme="minorHAnsi"/>
                <w:szCs w:val="24"/>
              </w:rPr>
            </w:pPr>
            <w:r w:rsidRPr="00CC0F21">
              <w:rPr>
                <w:rFonts w:cstheme="minorHAnsi"/>
                <w:szCs w:val="24"/>
              </w:rPr>
              <w:t>22.7%</w:t>
            </w:r>
          </w:p>
        </w:tc>
      </w:tr>
      <w:tr w:rsidR="00CC0F21" w:rsidRPr="00CC0F21" w14:paraId="06CD64DA" w14:textId="77777777" w:rsidTr="00644573">
        <w:trPr>
          <w:jc w:val="center"/>
        </w:trPr>
        <w:tc>
          <w:tcPr>
            <w:tcW w:w="2769" w:type="dxa"/>
          </w:tcPr>
          <w:p w14:paraId="5FD57EEA" w14:textId="77777777" w:rsidR="1FE64B49" w:rsidRPr="00CC0F21" w:rsidRDefault="1FE64B49" w:rsidP="00DF2015">
            <w:pPr>
              <w:jc w:val="both"/>
              <w:rPr>
                <w:rFonts w:cstheme="minorHAnsi"/>
                <w:szCs w:val="24"/>
              </w:rPr>
            </w:pPr>
            <w:r w:rsidRPr="00CC0F21">
              <w:rPr>
                <w:rFonts w:cstheme="minorHAnsi"/>
                <w:szCs w:val="24"/>
              </w:rPr>
              <w:t>Pre-Seed Investor</w:t>
            </w:r>
          </w:p>
        </w:tc>
        <w:tc>
          <w:tcPr>
            <w:tcW w:w="3840" w:type="dxa"/>
            <w:gridSpan w:val="2"/>
            <w:vMerge w:val="restart"/>
            <w:vAlign w:val="center"/>
          </w:tcPr>
          <w:p w14:paraId="57801253" w14:textId="3B06F4A5" w:rsidR="4C2DE1DF" w:rsidRPr="00CC0F21" w:rsidRDefault="09254920" w:rsidP="00DF2015">
            <w:pPr>
              <w:spacing w:line="259" w:lineRule="auto"/>
              <w:jc w:val="both"/>
              <w:rPr>
                <w:rFonts w:cstheme="minorHAnsi"/>
                <w:i/>
                <w:iCs/>
                <w:szCs w:val="24"/>
              </w:rPr>
            </w:pPr>
            <w:r w:rsidRPr="00CC0F21">
              <w:rPr>
                <w:rFonts w:cstheme="minorHAnsi"/>
                <w:i/>
                <w:iCs/>
                <w:szCs w:val="24"/>
              </w:rPr>
              <w:t>To be finalised</w:t>
            </w:r>
          </w:p>
        </w:tc>
      </w:tr>
      <w:tr w:rsidR="00CC0F21" w:rsidRPr="00CC0F21" w14:paraId="7938A4F3" w14:textId="77777777" w:rsidTr="00644573">
        <w:trPr>
          <w:jc w:val="center"/>
        </w:trPr>
        <w:tc>
          <w:tcPr>
            <w:tcW w:w="2769" w:type="dxa"/>
          </w:tcPr>
          <w:p w14:paraId="03E6A1DB" w14:textId="77777777" w:rsidR="1FE64B49" w:rsidRPr="00CC0F21" w:rsidRDefault="1FE64B49" w:rsidP="00DF2015">
            <w:pPr>
              <w:jc w:val="both"/>
              <w:rPr>
                <w:rFonts w:cstheme="minorHAnsi"/>
                <w:szCs w:val="24"/>
              </w:rPr>
            </w:pPr>
            <w:r w:rsidRPr="00CC0F21">
              <w:rPr>
                <w:rFonts w:cstheme="minorHAnsi"/>
                <w:szCs w:val="24"/>
              </w:rPr>
              <w:t>Other Investors</w:t>
            </w:r>
          </w:p>
        </w:tc>
        <w:tc>
          <w:tcPr>
            <w:tcW w:w="3840" w:type="dxa"/>
            <w:gridSpan w:val="2"/>
            <w:vMerge/>
          </w:tcPr>
          <w:p w14:paraId="4B02F50A" w14:textId="77777777" w:rsidR="00F93C57" w:rsidRPr="00CC0F21" w:rsidRDefault="00F93C57" w:rsidP="00DF2015">
            <w:pPr>
              <w:jc w:val="both"/>
              <w:rPr>
                <w:rFonts w:cstheme="minorHAnsi"/>
              </w:rPr>
            </w:pPr>
          </w:p>
        </w:tc>
      </w:tr>
      <w:tr w:rsidR="00CC0F21" w:rsidRPr="00CC0F21" w14:paraId="771BDB17" w14:textId="77777777" w:rsidTr="00644573">
        <w:trPr>
          <w:trHeight w:val="300"/>
          <w:jc w:val="center"/>
        </w:trPr>
        <w:tc>
          <w:tcPr>
            <w:tcW w:w="2769" w:type="dxa"/>
          </w:tcPr>
          <w:p w14:paraId="12D8D9EC" w14:textId="77777777" w:rsidR="1FE64B49" w:rsidRPr="00CC0F21" w:rsidRDefault="1FE64B49" w:rsidP="00DF2015">
            <w:pPr>
              <w:jc w:val="both"/>
              <w:rPr>
                <w:rFonts w:cstheme="minorHAnsi"/>
                <w:szCs w:val="24"/>
              </w:rPr>
            </w:pPr>
            <w:r w:rsidRPr="00CC0F21">
              <w:rPr>
                <w:rFonts w:cstheme="minorHAnsi"/>
                <w:szCs w:val="24"/>
              </w:rPr>
              <w:t>Core Team</w:t>
            </w:r>
          </w:p>
        </w:tc>
        <w:tc>
          <w:tcPr>
            <w:tcW w:w="3840" w:type="dxa"/>
            <w:gridSpan w:val="2"/>
            <w:vMerge/>
          </w:tcPr>
          <w:p w14:paraId="108BA56C" w14:textId="77777777" w:rsidR="00F93C57" w:rsidRPr="00CC0F21" w:rsidRDefault="00F93C57" w:rsidP="00DF2015">
            <w:pPr>
              <w:jc w:val="both"/>
              <w:rPr>
                <w:rFonts w:cstheme="minorHAnsi"/>
              </w:rPr>
            </w:pPr>
          </w:p>
        </w:tc>
      </w:tr>
    </w:tbl>
    <w:p w14:paraId="11A24947" w14:textId="77777777" w:rsidR="00CC0F21" w:rsidRPr="00CC0F21" w:rsidRDefault="00CC0F21" w:rsidP="00CC0F21">
      <w:pPr>
        <w:pStyle w:val="Heading2"/>
        <w:rPr>
          <w:color w:val="auto"/>
        </w:rPr>
      </w:pPr>
    </w:p>
    <w:p w14:paraId="5DC116B9" w14:textId="36590F07" w:rsidR="00CC0F21" w:rsidRPr="00CC0F21" w:rsidRDefault="00CC0F21" w:rsidP="00CC0F21">
      <w:pPr>
        <w:pStyle w:val="Heading2"/>
        <w:rPr>
          <w:color w:val="auto"/>
        </w:rPr>
      </w:pPr>
      <w:bookmarkStart w:id="10" w:name="_Toc104212427"/>
      <w:r w:rsidRPr="00CC0F21">
        <w:rPr>
          <w:color w:val="auto"/>
        </w:rPr>
        <w:t>Token Supply</w:t>
      </w:r>
      <w:bookmarkEnd w:id="10"/>
    </w:p>
    <w:p w14:paraId="5391A294" w14:textId="1FAD1047" w:rsidR="00CC0F21" w:rsidRPr="00CC0F21" w:rsidRDefault="00CC0F21" w:rsidP="00CC0F21">
      <w:pPr>
        <w:jc w:val="both"/>
        <w:rPr>
          <w:rFonts w:cstheme="minorHAnsi"/>
        </w:rPr>
      </w:pPr>
      <w:r w:rsidRPr="00CC0F21">
        <w:rPr>
          <w:rFonts w:eastAsia="Calibri" w:cstheme="minorHAnsi"/>
          <w:szCs w:val="24"/>
        </w:rPr>
        <w:t>There is a fixed supply of OBX.</w:t>
      </w:r>
      <w:r w:rsidRPr="00CC0F21">
        <w:rPr>
          <w:rFonts w:cstheme="minorHAnsi"/>
        </w:rPr>
        <w:t xml:space="preserve"> The distribution of tokens and the flow of tokens between participants in the Obscuro network means that over time the size of the token pools change but the number of tokens in existence does not change (there is no minting or burning). The Foundation and the Ecosystem pools decrease in size as grants are awarded to application developers to encourage participation in the Obscuro ecosystem and tokens are sold to fund the ongoing development of the platform. </w:t>
      </w:r>
      <w:commentRangeStart w:id="11"/>
      <w:r w:rsidRPr="00CC0F21">
        <w:rPr>
          <w:rFonts w:cstheme="minorHAnsi"/>
        </w:rPr>
        <w:t xml:space="preserve">Rollup rewards </w:t>
      </w:r>
      <w:commentRangeEnd w:id="11"/>
      <w:r w:rsidRPr="00CC0F21">
        <w:rPr>
          <w:rStyle w:val="CommentReference"/>
          <w:rFonts w:cstheme="minorHAnsi"/>
        </w:rPr>
        <w:commentReference w:id="11"/>
      </w:r>
      <w:r w:rsidRPr="00CC0F21">
        <w:rPr>
          <w:rFonts w:cstheme="minorHAnsi"/>
        </w:rPr>
        <w:t>for early bootstrapping of the Obscuro network could be funded from these pools. The governance protocols will determine whether or not this is the case.</w:t>
      </w:r>
    </w:p>
    <w:p w14:paraId="1516ECC6" w14:textId="77777777" w:rsidR="00CC0F21" w:rsidRPr="00CC0F21" w:rsidRDefault="00CC0F21" w:rsidP="00CC0F21">
      <w:pPr>
        <w:jc w:val="both"/>
        <w:rPr>
          <w:rFonts w:cstheme="minorHAnsi"/>
        </w:rPr>
      </w:pPr>
      <w:r w:rsidRPr="00CC0F21">
        <w:rPr>
          <w:rFonts w:cstheme="minorHAnsi"/>
        </w:rPr>
        <w:t>There is an occasion where tokens will be slashed although this is expected to be very rare. Specifically, Aggregator operators that use a hacked enclave on their node in an attempt to break the ledger’s integrity will be discovered by the protocol. Their punishment is to have their stake slashed and returned to the ecosystem pool.</w:t>
      </w:r>
    </w:p>
    <w:p w14:paraId="416E4035" w14:textId="6A285B26" w:rsidR="591F5DE1" w:rsidRPr="00CC0F21" w:rsidRDefault="591F5DE1" w:rsidP="00DF2015">
      <w:pPr>
        <w:jc w:val="both"/>
        <w:rPr>
          <w:rFonts w:cstheme="minorHAnsi"/>
          <w:szCs w:val="24"/>
        </w:rPr>
      </w:pPr>
    </w:p>
    <w:p w14:paraId="3BC8053F" w14:textId="77777777" w:rsidR="00CC0F21" w:rsidRPr="00CC0F21" w:rsidRDefault="00CC0F21" w:rsidP="00CC0F21">
      <w:pPr>
        <w:pStyle w:val="Heading2"/>
        <w:rPr>
          <w:rFonts w:eastAsia="Yu Gothic Light"/>
          <w:color w:val="auto"/>
          <w:szCs w:val="48"/>
        </w:rPr>
      </w:pPr>
      <w:bookmarkStart w:id="12" w:name="_Toc104212428"/>
      <w:bookmarkStart w:id="13" w:name="_Toc104212434"/>
      <w:r w:rsidRPr="00CC0F21">
        <w:rPr>
          <w:color w:val="auto"/>
        </w:rPr>
        <w:lastRenderedPageBreak/>
        <w:t xml:space="preserve">Token </w:t>
      </w:r>
      <w:commentRangeStart w:id="14"/>
      <w:r w:rsidRPr="00CC0F21">
        <w:rPr>
          <w:color w:val="auto"/>
        </w:rPr>
        <w:t>Staking</w:t>
      </w:r>
      <w:commentRangeEnd w:id="14"/>
      <w:r w:rsidRPr="00CC0F21">
        <w:rPr>
          <w:rStyle w:val="CommentReference"/>
          <w:rFonts w:asciiTheme="minorHAnsi" w:eastAsiaTheme="minorHAnsi" w:hAnsiTheme="minorHAnsi" w:cstheme="minorBidi"/>
          <w:color w:val="auto"/>
        </w:rPr>
        <w:commentReference w:id="14"/>
      </w:r>
      <w:r w:rsidRPr="00CC0F21">
        <w:rPr>
          <w:color w:val="auto"/>
        </w:rPr>
        <w:t xml:space="preserve"> and Delegated Staking</w:t>
      </w:r>
      <w:bookmarkEnd w:id="13"/>
    </w:p>
    <w:p w14:paraId="492084C0" w14:textId="43D417B9" w:rsidR="00FA2C28" w:rsidRPr="00F72B78" w:rsidRDefault="00CC0F21" w:rsidP="00FA2C28">
      <w:pPr>
        <w:jc w:val="both"/>
        <w:rPr>
          <w:rFonts w:cstheme="minorHAnsi"/>
          <w:szCs w:val="24"/>
        </w:rPr>
      </w:pPr>
      <w:commentRangeStart w:id="15"/>
      <w:r w:rsidRPr="00CC0F21">
        <w:rPr>
          <w:rFonts w:cstheme="minorHAnsi"/>
          <w:szCs w:val="24"/>
        </w:rPr>
        <w:t xml:space="preserve">Aggregator nodes </w:t>
      </w:r>
      <w:commentRangeEnd w:id="15"/>
      <w:r w:rsidR="00E556E8">
        <w:rPr>
          <w:rStyle w:val="CommentReference"/>
        </w:rPr>
        <w:commentReference w:id="15"/>
      </w:r>
      <w:r w:rsidRPr="00CC0F21">
        <w:rPr>
          <w:rFonts w:cstheme="minorHAnsi"/>
          <w:szCs w:val="24"/>
        </w:rPr>
        <w:t xml:space="preserve">must stake OBX when they initially join Obscuro </w:t>
      </w:r>
      <w:r w:rsidR="00260EC9">
        <w:rPr>
          <w:rFonts w:cstheme="minorHAnsi"/>
          <w:szCs w:val="24"/>
        </w:rPr>
        <w:t>Mainnet</w:t>
      </w:r>
      <w:r w:rsidRPr="00CC0F21">
        <w:rPr>
          <w:rFonts w:cstheme="minorHAnsi"/>
          <w:szCs w:val="24"/>
        </w:rPr>
        <w:t xml:space="preserve"> as a means for the node operator to demonstrate their intention to maintain privacy, ledger integrity and not attempt to disrupt the safety of the network. The stake is intentionally set at a high value so the loss of stake is material to the operator. </w:t>
      </w:r>
      <w:r w:rsidR="003C0B2C">
        <w:rPr>
          <w:rFonts w:cstheme="minorHAnsi"/>
          <w:szCs w:val="24"/>
        </w:rPr>
        <w:t xml:space="preserve">During the early life of Obscuro </w:t>
      </w:r>
      <w:r w:rsidR="00260EC9">
        <w:rPr>
          <w:rFonts w:cstheme="minorHAnsi"/>
          <w:szCs w:val="24"/>
        </w:rPr>
        <w:t>Mainnet</w:t>
      </w:r>
      <w:r w:rsidR="00FA6417">
        <w:rPr>
          <w:rFonts w:cstheme="minorHAnsi"/>
          <w:szCs w:val="24"/>
        </w:rPr>
        <w:t xml:space="preserve"> the </w:t>
      </w:r>
      <w:r w:rsidR="00CB36DA">
        <w:rPr>
          <w:rFonts w:cstheme="minorHAnsi"/>
          <w:szCs w:val="24"/>
        </w:rPr>
        <w:t xml:space="preserve">total </w:t>
      </w:r>
      <w:r w:rsidR="00FA6417">
        <w:rPr>
          <w:rFonts w:cstheme="minorHAnsi"/>
          <w:szCs w:val="24"/>
        </w:rPr>
        <w:t>minimum stake</w:t>
      </w:r>
      <w:r w:rsidR="00313BE9">
        <w:rPr>
          <w:rFonts w:cstheme="minorHAnsi"/>
          <w:szCs w:val="24"/>
        </w:rPr>
        <w:t xml:space="preserve"> </w:t>
      </w:r>
      <w:r w:rsidR="00F33BE3">
        <w:rPr>
          <w:rFonts w:cstheme="minorHAnsi"/>
          <w:szCs w:val="24"/>
        </w:rPr>
        <w:t xml:space="preserve">for all nodes </w:t>
      </w:r>
      <w:r w:rsidR="003C0B2C">
        <w:rPr>
          <w:rFonts w:cstheme="minorHAnsi"/>
          <w:szCs w:val="24"/>
        </w:rPr>
        <w:t xml:space="preserve">is set to </w:t>
      </w:r>
      <w:r w:rsidR="001753C2">
        <w:rPr>
          <w:rFonts w:cstheme="minorHAnsi"/>
          <w:szCs w:val="24"/>
          <w:highlight w:val="yellow"/>
        </w:rPr>
        <w:t>8,000,000</w:t>
      </w:r>
      <w:r w:rsidR="003C0B2C" w:rsidRPr="003C0B2C">
        <w:rPr>
          <w:rFonts w:cstheme="minorHAnsi"/>
          <w:szCs w:val="24"/>
          <w:highlight w:val="yellow"/>
        </w:rPr>
        <w:t xml:space="preserve"> OBX</w:t>
      </w:r>
      <w:r w:rsidR="00FA2C28">
        <w:rPr>
          <w:rFonts w:cstheme="minorHAnsi"/>
          <w:szCs w:val="24"/>
        </w:rPr>
        <w:t xml:space="preserve">, or </w:t>
      </w:r>
      <w:r w:rsidR="00801220">
        <w:rPr>
          <w:rFonts w:cstheme="minorHAnsi"/>
          <w:szCs w:val="24"/>
          <w:highlight w:val="yellow"/>
        </w:rPr>
        <w:t>50</w:t>
      </w:r>
      <w:r w:rsidR="00FA2C28" w:rsidRPr="001C2E51">
        <w:rPr>
          <w:rFonts w:cstheme="minorHAnsi"/>
          <w:szCs w:val="24"/>
          <w:highlight w:val="yellow"/>
        </w:rPr>
        <w:t>%</w:t>
      </w:r>
      <w:r w:rsidR="00FA2C28">
        <w:rPr>
          <w:rFonts w:cstheme="minorHAnsi"/>
          <w:szCs w:val="24"/>
        </w:rPr>
        <w:t xml:space="preserve"> of the total OBX tokens distributed</w:t>
      </w:r>
      <w:r w:rsidR="00FA2C28">
        <w:rPr>
          <w:rFonts w:cstheme="minorHAnsi"/>
          <w:szCs w:val="24"/>
        </w:rPr>
        <w:t xml:space="preserve"> at that time</w:t>
      </w:r>
      <w:r w:rsidR="00FA2C28">
        <w:rPr>
          <w:rFonts w:cstheme="minorHAnsi"/>
          <w:szCs w:val="24"/>
        </w:rPr>
        <w:t>.</w:t>
      </w:r>
    </w:p>
    <w:p w14:paraId="037E0972" w14:textId="137F03DD" w:rsidR="00CC0F21" w:rsidRPr="00CC0F21" w:rsidRDefault="00CC0F21" w:rsidP="00CC0F21">
      <w:pPr>
        <w:jc w:val="both"/>
        <w:rPr>
          <w:rFonts w:cstheme="minorHAnsi"/>
          <w:szCs w:val="24"/>
        </w:rPr>
      </w:pPr>
      <w:r w:rsidRPr="00CC0F21">
        <w:rPr>
          <w:rFonts w:cstheme="minorHAnsi"/>
          <w:szCs w:val="24"/>
        </w:rPr>
        <w:t xml:space="preserve">The amount required to stake will be reviewed and set by the Obscuro DAO as the Obscuro </w:t>
      </w:r>
      <w:r w:rsidR="00B11102">
        <w:rPr>
          <w:rFonts w:cstheme="minorHAnsi"/>
          <w:szCs w:val="24"/>
        </w:rPr>
        <w:t>Mainnet</w:t>
      </w:r>
      <w:r w:rsidRPr="00CC0F21">
        <w:rPr>
          <w:rFonts w:cstheme="minorHAnsi"/>
          <w:szCs w:val="24"/>
        </w:rPr>
        <w:t xml:space="preserve"> total value locked (TVL) increases. Increasing the minimum stake as TVL increases continues to economically disincentivise would-be malicious actors from disrupting the network as the </w:t>
      </w:r>
      <w:r w:rsidR="005F6108">
        <w:rPr>
          <w:rFonts w:cstheme="minorHAnsi"/>
          <w:szCs w:val="24"/>
        </w:rPr>
        <w:t>theoretical</w:t>
      </w:r>
      <w:r w:rsidRPr="00CC0F21">
        <w:rPr>
          <w:rFonts w:cstheme="minorHAnsi"/>
          <w:szCs w:val="24"/>
        </w:rPr>
        <w:t xml:space="preserve"> gain from a malicious event grows.</w:t>
      </w:r>
    </w:p>
    <w:p w14:paraId="153D1FCD" w14:textId="085603B4" w:rsidR="00CC0F21" w:rsidRDefault="00CC0F21" w:rsidP="00CC0F21">
      <w:pPr>
        <w:jc w:val="both"/>
        <w:rPr>
          <w:rFonts w:cstheme="minorHAnsi"/>
          <w:szCs w:val="24"/>
        </w:rPr>
      </w:pPr>
      <w:r w:rsidRPr="00CC0F21">
        <w:rPr>
          <w:rFonts w:cstheme="minorHAnsi"/>
          <w:szCs w:val="24"/>
        </w:rPr>
        <w:t xml:space="preserve">Delegated staking is also available to allow others without access to large amounts of OBX to </w:t>
      </w:r>
      <w:r w:rsidR="005F6108">
        <w:rPr>
          <w:rFonts w:cstheme="minorHAnsi"/>
          <w:szCs w:val="24"/>
        </w:rPr>
        <w:t>participate in</w:t>
      </w:r>
      <w:r w:rsidRPr="00CC0F21">
        <w:rPr>
          <w:rFonts w:cstheme="minorHAnsi"/>
          <w:szCs w:val="24"/>
        </w:rPr>
        <w:t xml:space="preserve"> Obscuro </w:t>
      </w:r>
      <w:r w:rsidR="00B11102">
        <w:rPr>
          <w:rFonts w:cstheme="minorHAnsi"/>
          <w:szCs w:val="24"/>
        </w:rPr>
        <w:t>Mainnet</w:t>
      </w:r>
      <w:r w:rsidR="00922642">
        <w:rPr>
          <w:rFonts w:cstheme="minorHAnsi"/>
          <w:szCs w:val="24"/>
        </w:rPr>
        <w:t xml:space="preserve">. Delegated stakes are evenly distributed across Aggregator nodes </w:t>
      </w:r>
      <w:r w:rsidRPr="00CC0F21">
        <w:rPr>
          <w:rFonts w:cstheme="minorHAnsi"/>
          <w:szCs w:val="24"/>
        </w:rPr>
        <w:t xml:space="preserve">above the minimum stake per node. </w:t>
      </w:r>
      <w:r w:rsidR="00351ECE">
        <w:rPr>
          <w:rFonts w:cstheme="minorHAnsi"/>
          <w:szCs w:val="24"/>
        </w:rPr>
        <w:t>Delegated staking is not available for Verifier nodes because there is not a stake requirement for Verifier nodes to join the Obscuro network.</w:t>
      </w:r>
      <w:r w:rsidR="00351ECE">
        <w:rPr>
          <w:rFonts w:cstheme="minorHAnsi"/>
          <w:szCs w:val="24"/>
        </w:rPr>
        <w:t xml:space="preserve"> Delegates are in</w:t>
      </w:r>
      <w:r w:rsidRPr="00CC0F21">
        <w:rPr>
          <w:rFonts w:cstheme="minorHAnsi"/>
          <w:szCs w:val="24"/>
        </w:rPr>
        <w:t xml:space="preserve"> a position to take a proportion of the rollup reward</w:t>
      </w:r>
      <w:r w:rsidR="001A4A14">
        <w:rPr>
          <w:rFonts w:cstheme="minorHAnsi"/>
          <w:szCs w:val="24"/>
        </w:rPr>
        <w:t xml:space="preserve"> issued to the Aggregator node that wins the rollup submission lottery</w:t>
      </w:r>
      <w:r w:rsidRPr="00CC0F21">
        <w:rPr>
          <w:rFonts w:cstheme="minorHAnsi"/>
          <w:szCs w:val="24"/>
        </w:rPr>
        <w:t>.</w:t>
      </w:r>
      <w:r w:rsidR="00DD77B0">
        <w:rPr>
          <w:rFonts w:cstheme="minorHAnsi"/>
          <w:szCs w:val="24"/>
        </w:rPr>
        <w:t xml:space="preserve"> Moreover</w:t>
      </w:r>
      <w:r w:rsidR="00445E05">
        <w:rPr>
          <w:rFonts w:cstheme="minorHAnsi"/>
          <w:szCs w:val="24"/>
        </w:rPr>
        <w:t xml:space="preserve">, by evenly distributing </w:t>
      </w:r>
      <w:r w:rsidR="00C31889">
        <w:rPr>
          <w:rFonts w:cstheme="minorHAnsi"/>
          <w:szCs w:val="24"/>
        </w:rPr>
        <w:t xml:space="preserve">staking across all </w:t>
      </w:r>
      <w:r w:rsidR="004E4685">
        <w:rPr>
          <w:rFonts w:cstheme="minorHAnsi"/>
          <w:szCs w:val="24"/>
        </w:rPr>
        <w:t xml:space="preserve">Aggregator </w:t>
      </w:r>
      <w:r w:rsidR="00C31889">
        <w:rPr>
          <w:rFonts w:cstheme="minorHAnsi"/>
          <w:szCs w:val="24"/>
        </w:rPr>
        <w:t xml:space="preserve">nodes the tendency for delegates </w:t>
      </w:r>
      <w:r w:rsidR="00AA7118">
        <w:rPr>
          <w:rFonts w:cstheme="minorHAnsi"/>
          <w:szCs w:val="24"/>
        </w:rPr>
        <w:t xml:space="preserve">to cluster around a very small number of nodes is not encouraged. </w:t>
      </w:r>
      <w:r w:rsidR="009F6DB6">
        <w:rPr>
          <w:rFonts w:cstheme="minorHAnsi"/>
          <w:szCs w:val="24"/>
        </w:rPr>
        <w:t>T</w:t>
      </w:r>
      <w:r w:rsidR="00C66012">
        <w:rPr>
          <w:rFonts w:cstheme="minorHAnsi"/>
          <w:szCs w:val="24"/>
        </w:rPr>
        <w:t>here is no concept of Aggregator nodes with larger stakes having an improved chance of winning the rollup submission lottery therefore Obscuro Mainnet is prevented from</w:t>
      </w:r>
      <w:r w:rsidR="00A12D50">
        <w:rPr>
          <w:rFonts w:cstheme="minorHAnsi"/>
          <w:szCs w:val="24"/>
        </w:rPr>
        <w:t xml:space="preserve"> </w:t>
      </w:r>
      <w:r w:rsidR="00C66012">
        <w:rPr>
          <w:rFonts w:cstheme="minorHAnsi"/>
          <w:szCs w:val="24"/>
        </w:rPr>
        <w:t>trending</w:t>
      </w:r>
      <w:r w:rsidR="00D67E03">
        <w:rPr>
          <w:rFonts w:cstheme="minorHAnsi"/>
          <w:szCs w:val="24"/>
        </w:rPr>
        <w:t xml:space="preserve"> towards centralisation</w:t>
      </w:r>
      <w:r w:rsidR="00251DCB">
        <w:rPr>
          <w:rFonts w:cstheme="minorHAnsi"/>
          <w:szCs w:val="24"/>
        </w:rPr>
        <w:t xml:space="preserve"> which would erode </w:t>
      </w:r>
      <w:r w:rsidR="00840FAF">
        <w:rPr>
          <w:rFonts w:cstheme="minorHAnsi"/>
          <w:szCs w:val="24"/>
        </w:rPr>
        <w:t>how highly available Aggregator</w:t>
      </w:r>
      <w:r w:rsidR="00351ECE">
        <w:rPr>
          <w:rFonts w:cstheme="minorHAnsi"/>
          <w:szCs w:val="24"/>
        </w:rPr>
        <w:t xml:space="preserve"> nodes </w:t>
      </w:r>
      <w:r w:rsidR="00840FAF">
        <w:rPr>
          <w:rFonts w:cstheme="minorHAnsi"/>
          <w:szCs w:val="24"/>
        </w:rPr>
        <w:t>are</w:t>
      </w:r>
      <w:r w:rsidR="00C66012">
        <w:rPr>
          <w:rFonts w:cstheme="minorHAnsi"/>
          <w:szCs w:val="24"/>
        </w:rPr>
        <w:t>.</w:t>
      </w:r>
    </w:p>
    <w:p w14:paraId="64F9B697" w14:textId="193EF91A" w:rsidR="00CC0F21" w:rsidRPr="00CC0F21" w:rsidRDefault="00CC0F21" w:rsidP="00CC0F21">
      <w:pPr>
        <w:jc w:val="both"/>
        <w:rPr>
          <w:rFonts w:cstheme="minorHAnsi"/>
          <w:szCs w:val="24"/>
        </w:rPr>
      </w:pPr>
      <w:r w:rsidRPr="00CC0F21">
        <w:rPr>
          <w:rFonts w:cstheme="minorHAnsi"/>
          <w:szCs w:val="24"/>
        </w:rPr>
        <w:t>The diagram below summarises the different types of staking and the distribution of delegated stak</w:t>
      </w:r>
      <w:r w:rsidR="00595776">
        <w:rPr>
          <w:rFonts w:cstheme="minorHAnsi"/>
          <w:szCs w:val="24"/>
        </w:rPr>
        <w:t>es</w:t>
      </w:r>
      <w:r w:rsidRPr="00CC0F21">
        <w:rPr>
          <w:rFonts w:cstheme="minorHAnsi"/>
          <w:szCs w:val="24"/>
        </w:rPr>
        <w:t>.</w:t>
      </w:r>
    </w:p>
    <w:p w14:paraId="4985B7B9" w14:textId="4FB67911" w:rsidR="00CC0F21" w:rsidRDefault="00CC0F21" w:rsidP="00CC0F21">
      <w:pPr>
        <w:jc w:val="center"/>
        <w:rPr>
          <w:rFonts w:cstheme="minorHAnsi"/>
          <w:szCs w:val="24"/>
        </w:rPr>
      </w:pPr>
      <w:r w:rsidRPr="00CC0F21">
        <w:rPr>
          <w:noProof/>
        </w:rPr>
        <w:drawing>
          <wp:inline distT="0" distB="0" distL="0" distR="0" wp14:anchorId="48792C18" wp14:editId="2630D1D0">
            <wp:extent cx="3991554" cy="3155810"/>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6316" b="9284"/>
                    <a:stretch/>
                  </pic:blipFill>
                  <pic:spPr bwMode="auto">
                    <a:xfrm>
                      <a:off x="0" y="0"/>
                      <a:ext cx="4038489" cy="3192918"/>
                    </a:xfrm>
                    <a:prstGeom prst="rect">
                      <a:avLst/>
                    </a:prstGeom>
                    <a:noFill/>
                    <a:ln>
                      <a:noFill/>
                    </a:ln>
                    <a:extLst>
                      <a:ext uri="{53640926-AAD7-44D8-BBD7-CCE9431645EC}">
                        <a14:shadowObscured xmlns:a14="http://schemas.microsoft.com/office/drawing/2010/main"/>
                      </a:ext>
                    </a:extLst>
                  </pic:spPr>
                </pic:pic>
              </a:graphicData>
            </a:graphic>
          </wp:inline>
        </w:drawing>
      </w:r>
    </w:p>
    <w:p w14:paraId="66E39FFB" w14:textId="77777777" w:rsidR="005D71F0" w:rsidRPr="00CC0F21" w:rsidRDefault="005D71F0" w:rsidP="005D71F0">
      <w:pPr>
        <w:pStyle w:val="ListParagraph"/>
        <w:numPr>
          <w:ilvl w:val="0"/>
          <w:numId w:val="22"/>
        </w:numPr>
        <w:jc w:val="both"/>
        <w:rPr>
          <w:rFonts w:cstheme="minorHAnsi"/>
          <w:szCs w:val="24"/>
        </w:rPr>
      </w:pPr>
      <w:r w:rsidRPr="00CC0F21">
        <w:rPr>
          <w:rFonts w:cstheme="minorHAnsi"/>
          <w:szCs w:val="24"/>
        </w:rPr>
        <w:lastRenderedPageBreak/>
        <w:t>Aggregator nodes 1 and 2 have the minimum stake value provided by the node operator and they are participants on the Obscuro network. Node 3 does not have the minimum stake therefore it is not a member of the Obscuro network.</w:t>
      </w:r>
    </w:p>
    <w:p w14:paraId="457D5419" w14:textId="77777777" w:rsidR="005D71F0" w:rsidRPr="00CC0F21" w:rsidRDefault="005D71F0" w:rsidP="005D71F0">
      <w:pPr>
        <w:pStyle w:val="ListParagraph"/>
        <w:numPr>
          <w:ilvl w:val="0"/>
          <w:numId w:val="22"/>
        </w:numPr>
        <w:jc w:val="both"/>
        <w:rPr>
          <w:rFonts w:cstheme="minorHAnsi"/>
          <w:szCs w:val="24"/>
        </w:rPr>
      </w:pPr>
      <w:r w:rsidRPr="00CC0F21">
        <w:rPr>
          <w:rFonts w:cstheme="minorHAnsi"/>
          <w:szCs w:val="24"/>
        </w:rPr>
        <w:t>The delegated stake is evenly distributed between all the nodes on the Obscuro network.</w:t>
      </w:r>
    </w:p>
    <w:p w14:paraId="74101CD8" w14:textId="77777777" w:rsidR="005D71F0" w:rsidRDefault="005D71F0" w:rsidP="005D71F0">
      <w:pPr>
        <w:pStyle w:val="ListParagraph"/>
        <w:numPr>
          <w:ilvl w:val="0"/>
          <w:numId w:val="22"/>
        </w:numPr>
        <w:jc w:val="both"/>
        <w:rPr>
          <w:rFonts w:cstheme="minorHAnsi"/>
          <w:szCs w:val="24"/>
        </w:rPr>
      </w:pPr>
      <w:r w:rsidRPr="00CC0F21">
        <w:rPr>
          <w:rFonts w:cstheme="minorHAnsi"/>
          <w:szCs w:val="24"/>
        </w:rPr>
        <w:t>Node 2 has won the rollup lottery. The rollup reward is taken from the pool of transaction fees and shared proportionally amongst the node operator and delegates for Node 2 in line with the proportion of their staked value.</w:t>
      </w:r>
    </w:p>
    <w:p w14:paraId="7C276A7E" w14:textId="77777777" w:rsidR="00CC0F21" w:rsidRPr="00CC0F21" w:rsidRDefault="00CC0F21" w:rsidP="00CC0F21">
      <w:pPr>
        <w:pStyle w:val="Heading2"/>
        <w:rPr>
          <w:rFonts w:eastAsia="Yu Gothic Light"/>
          <w:color w:val="auto"/>
          <w:szCs w:val="48"/>
        </w:rPr>
      </w:pPr>
      <w:bookmarkStart w:id="16" w:name="_Toc104212435"/>
      <w:r w:rsidRPr="00CC0F21">
        <w:rPr>
          <w:color w:val="auto"/>
        </w:rPr>
        <w:t>Rewards and Fees</w:t>
      </w:r>
      <w:bookmarkEnd w:id="16"/>
    </w:p>
    <w:p w14:paraId="0F2D62C8" w14:textId="3ED2001C" w:rsidR="00CC0F21" w:rsidRPr="00CC0F21" w:rsidRDefault="00CC0F21" w:rsidP="00CC0F21">
      <w:pPr>
        <w:jc w:val="both"/>
      </w:pPr>
      <w:r w:rsidRPr="00CC0F21">
        <w:t>Rollup rewards and active node rewards are paid out from a pool of OBX maintained by transactions fees paid in OBX. Because Obscuro does not link fees and rewards directly, the intention is to find a stable equilibrium between the amounts paid into the pool by end user transactions and the amounts paid out to nodes for their service. This equilibrium is established when the transaction fees can pay for the Ethereum gas costs to achieve a rollup submission interval of less than 1 minute. In periods when the number of transactions is high the pool will grow and the surplus will be used in periods when the number of transactions is lower in order to maintain the rollup submission inter</w:t>
      </w:r>
      <w:r w:rsidR="0043681B">
        <w:t>v</w:t>
      </w:r>
      <w:r w:rsidRPr="00CC0F21">
        <w:t>al thus providing a predictable user experience. This is called the ‘float’.</w:t>
      </w:r>
    </w:p>
    <w:p w14:paraId="5B3341A3" w14:textId="77777777" w:rsidR="00CC0F21" w:rsidRPr="00CC0F21" w:rsidRDefault="00CC0F21" w:rsidP="00CC0F21">
      <w:pPr>
        <w:jc w:val="both"/>
        <w:rPr>
          <w:rFonts w:cstheme="minorHAnsi"/>
        </w:rPr>
      </w:pPr>
      <w:r w:rsidRPr="00CC0F21">
        <w:rPr>
          <w:rFonts w:cstheme="minorHAnsi"/>
        </w:rPr>
        <w:t>The stable relationship between expenses and rewards for the Verifier and Aggregator can be summarised as follows:</w:t>
      </w:r>
    </w:p>
    <w:p w14:paraId="5869DFC8" w14:textId="77777777" w:rsidR="00CC0F21" w:rsidRPr="00CC0F21" w:rsidRDefault="00CC0F21" w:rsidP="00CC0F21">
      <w:pPr>
        <w:jc w:val="center"/>
        <w:rPr>
          <w:rFonts w:cstheme="minorHAnsi"/>
        </w:rPr>
      </w:pPr>
      <w:r w:rsidRPr="00CC0F21">
        <w:rPr>
          <w:rFonts w:cstheme="minorHAnsi"/>
        </w:rPr>
        <w:drawing>
          <wp:inline distT="0" distB="0" distL="0" distR="0" wp14:anchorId="131CE4D0" wp14:editId="03330CD1">
            <wp:extent cx="5863512" cy="2560320"/>
            <wp:effectExtent l="0" t="0" r="4445" b="0"/>
            <wp:docPr id="43" name="Picture 43" descr="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reemap chart&#10;&#10;Description automatically generated with medium confidence"/>
                    <pic:cNvPicPr>
                      <a:picLocks noChangeAspect="1" noChangeArrowheads="1"/>
                    </pic:cNvPicPr>
                  </pic:nvPicPr>
                  <pic:blipFill>
                    <a:blip r:embed="rId16" cstate="print">
                      <a:extLst>
                        <a:ext uri="{BEBA8EAE-BF5A-486C-A8C5-ECC9F3942E4B}">
                          <a14:imgProps xmlns:a14="http://schemas.microsoft.com/office/drawing/2010/main">
                            <a14:imgLayer r:embed="rId17">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890713" cy="2572197"/>
                    </a:xfrm>
                    <a:prstGeom prst="rect">
                      <a:avLst/>
                    </a:prstGeom>
                    <a:noFill/>
                    <a:ln>
                      <a:noFill/>
                    </a:ln>
                  </pic:spPr>
                </pic:pic>
              </a:graphicData>
            </a:graphic>
          </wp:inline>
        </w:drawing>
      </w:r>
    </w:p>
    <w:p w14:paraId="70BAE620" w14:textId="77777777" w:rsidR="00CC0F21" w:rsidRPr="00CC0F21" w:rsidRDefault="00CC0F21" w:rsidP="00CC0F21">
      <w:pPr>
        <w:pStyle w:val="Caption"/>
        <w:jc w:val="both"/>
        <w:rPr>
          <w:rFonts w:cstheme="minorHAnsi"/>
          <w:color w:val="auto"/>
        </w:rPr>
      </w:pPr>
      <w:r w:rsidRPr="00CC0F21">
        <w:rPr>
          <w:rFonts w:cstheme="minorHAnsi"/>
          <w:color w:val="auto"/>
        </w:rPr>
        <w:t>Figure 2: Node expenses and rewards. Thanks to Polo for granting permission to use this image.</w:t>
      </w:r>
    </w:p>
    <w:p w14:paraId="4D1B5E19" w14:textId="3FD46CB4" w:rsidR="00CC0F21" w:rsidRPr="00CC0F21" w:rsidRDefault="00F17261" w:rsidP="00CC0F21">
      <w:pPr>
        <w:jc w:val="both"/>
        <w:rPr>
          <w:rFonts w:cstheme="minorHAnsi"/>
        </w:rPr>
      </w:pPr>
      <w:r>
        <w:rPr>
          <w:rFonts w:cstheme="minorHAnsi"/>
        </w:rPr>
        <w:t>T</w:t>
      </w:r>
      <w:r w:rsidR="00CC0F21" w:rsidRPr="00CC0F21">
        <w:rPr>
          <w:rFonts w:cstheme="minorHAnsi"/>
        </w:rPr>
        <w:t>he Aggregator benefit can be expressed as:</w:t>
      </w:r>
    </w:p>
    <w:p w14:paraId="2DF5C451" w14:textId="4E367AE8" w:rsidR="00CC0F21" w:rsidRPr="00CC0F21" w:rsidRDefault="00F17261" w:rsidP="00CC0F21">
      <w:pPr>
        <w:jc w:val="both"/>
        <w:rPr>
          <w:rFonts w:cstheme="minorHAnsi"/>
          <w:i/>
          <w:iCs/>
        </w:rPr>
      </w:pPr>
      <m:oMathPara>
        <m:oMath>
          <m:r>
            <w:rPr>
              <w:rFonts w:ascii="Cambria Math" w:hAnsi="Cambria Math" w:cstheme="minorHAnsi"/>
              <w:sz w:val="22"/>
              <w:szCs w:val="20"/>
            </w:rPr>
            <m:t>Aggregator benefit</m:t>
          </m:r>
          <m:r>
            <w:rPr>
              <w:rFonts w:ascii="Cambria Math" w:hAnsi="Cambria Math" w:cstheme="minorHAnsi"/>
              <w:sz w:val="22"/>
              <w:szCs w:val="20"/>
            </w:rPr>
            <m:t xml:space="preserve"> received=</m:t>
          </m:r>
          <m:d>
            <m:dPr>
              <m:ctrlPr>
                <w:rPr>
                  <w:rFonts w:ascii="Cambria Math" w:hAnsi="Cambria Math" w:cstheme="minorHAnsi"/>
                  <w:i/>
                  <w:iCs/>
                  <w:sz w:val="22"/>
                  <w:szCs w:val="20"/>
                </w:rPr>
              </m:ctrlPr>
            </m:dPr>
            <m:e>
              <m:r>
                <w:rPr>
                  <w:rFonts w:ascii="Cambria Math" w:hAnsi="Cambria Math" w:cstheme="minorHAnsi"/>
                  <w:sz w:val="22"/>
                  <w:szCs w:val="20"/>
                </w:rPr>
                <m:t>reward for rollup publication+active node reward-rollup publication cost</m:t>
              </m:r>
            </m:e>
          </m:d>
          <m:r>
            <w:rPr>
              <w:rFonts w:ascii="Cambria Math" w:hAnsi="Cambria Math" w:cstheme="minorHAnsi"/>
              <w:sz w:val="22"/>
              <w:szCs w:val="20"/>
            </w:rPr>
            <m:t>×percentage proportion of</m:t>
          </m:r>
          <m:r>
            <w:rPr>
              <w:rFonts w:ascii="Cambria Math" w:hAnsi="Cambria Math" w:cstheme="minorHAnsi"/>
              <w:sz w:val="22"/>
              <w:szCs w:val="20"/>
            </w:rPr>
            <m:t>total</m:t>
          </m:r>
          <m:r>
            <w:rPr>
              <w:rFonts w:ascii="Cambria Math" w:hAnsi="Cambria Math" w:cstheme="minorHAnsi"/>
              <w:sz w:val="22"/>
              <w:szCs w:val="20"/>
            </w:rPr>
            <m:t xml:space="preserve"> stake</m:t>
          </m:r>
          <m:r>
            <w:rPr>
              <w:rFonts w:ascii="Cambria Math" w:hAnsi="Cambria Math" w:cstheme="minorHAnsi"/>
              <w:sz w:val="22"/>
              <w:szCs w:val="20"/>
            </w:rPr>
            <m:t xml:space="preserve"> on </m:t>
          </m:r>
          <m:r>
            <w:rPr>
              <w:rFonts w:ascii="Cambria Math" w:hAnsi="Cambria Math" w:cstheme="minorHAnsi"/>
              <w:sz w:val="22"/>
              <w:szCs w:val="20"/>
            </w:rPr>
            <m:t>Mainnet</m:t>
          </m:r>
        </m:oMath>
      </m:oMathPara>
    </w:p>
    <w:p w14:paraId="603A1872" w14:textId="5505798A" w:rsidR="591F5DE1" w:rsidRPr="00CC0F21" w:rsidRDefault="00C23638" w:rsidP="00CC0F21">
      <w:pPr>
        <w:pStyle w:val="Heading2"/>
        <w:rPr>
          <w:color w:val="auto"/>
        </w:rPr>
      </w:pPr>
      <w:r w:rsidRPr="00CC0F21">
        <w:rPr>
          <w:color w:val="auto"/>
        </w:rPr>
        <w:lastRenderedPageBreak/>
        <w:t>Public Sale and Whitelist</w:t>
      </w:r>
      <w:bookmarkEnd w:id="12"/>
    </w:p>
    <w:p w14:paraId="55DAE936" w14:textId="296CA8C2" w:rsidR="591F5DE1" w:rsidRPr="00CC0F21" w:rsidRDefault="00307822" w:rsidP="00DF2015">
      <w:pPr>
        <w:jc w:val="both"/>
        <w:rPr>
          <w:rFonts w:cstheme="minorHAnsi"/>
        </w:rPr>
      </w:pPr>
      <w:r w:rsidRPr="00CC0F21">
        <w:rPr>
          <w:rFonts w:cstheme="minorHAnsi"/>
        </w:rPr>
        <w:t xml:space="preserve">The </w:t>
      </w:r>
      <w:r w:rsidR="00075C1D" w:rsidRPr="00CC0F21">
        <w:rPr>
          <w:rFonts w:cstheme="minorHAnsi"/>
        </w:rPr>
        <w:t>P</w:t>
      </w:r>
      <w:r w:rsidRPr="00CC0F21">
        <w:rPr>
          <w:rFonts w:cstheme="minorHAnsi"/>
        </w:rPr>
        <w:t xml:space="preserve">ublic </w:t>
      </w:r>
      <w:r w:rsidR="00075C1D" w:rsidRPr="00CC0F21">
        <w:rPr>
          <w:rFonts w:cstheme="minorHAnsi"/>
        </w:rPr>
        <w:t>S</w:t>
      </w:r>
      <w:r w:rsidRPr="00CC0F21">
        <w:rPr>
          <w:rFonts w:cstheme="minorHAnsi"/>
        </w:rPr>
        <w:t xml:space="preserve">ale and </w:t>
      </w:r>
      <w:r w:rsidR="00075C1D" w:rsidRPr="00CC0F21">
        <w:rPr>
          <w:rFonts w:cstheme="minorHAnsi"/>
        </w:rPr>
        <w:t>W</w:t>
      </w:r>
      <w:r w:rsidRPr="00CC0F21">
        <w:rPr>
          <w:rFonts w:cstheme="minorHAnsi"/>
        </w:rPr>
        <w:t>hitelist are</w:t>
      </w:r>
      <w:r w:rsidR="00CE63E5" w:rsidRPr="00CC0F21">
        <w:rPr>
          <w:rFonts w:cstheme="minorHAnsi"/>
        </w:rPr>
        <w:t xml:space="preserve"> important for Obscuro to gain early traction in the wider community</w:t>
      </w:r>
      <w:r w:rsidR="005F3A8E" w:rsidRPr="00CC0F21">
        <w:rPr>
          <w:rFonts w:cstheme="minorHAnsi"/>
        </w:rPr>
        <w:t xml:space="preserve">, </w:t>
      </w:r>
      <w:r w:rsidR="007B18EE" w:rsidRPr="00CC0F21">
        <w:rPr>
          <w:rFonts w:cstheme="minorHAnsi"/>
        </w:rPr>
        <w:t xml:space="preserve">achieve organic growth </w:t>
      </w:r>
      <w:r w:rsidR="005F3A8E" w:rsidRPr="00CC0F21">
        <w:rPr>
          <w:rFonts w:cstheme="minorHAnsi"/>
        </w:rPr>
        <w:t xml:space="preserve">and </w:t>
      </w:r>
      <w:r w:rsidR="00AF1E27" w:rsidRPr="00CC0F21">
        <w:rPr>
          <w:rFonts w:cstheme="minorHAnsi"/>
        </w:rPr>
        <w:t>for</w:t>
      </w:r>
      <w:r w:rsidR="004C72D8" w:rsidRPr="00CC0F21">
        <w:rPr>
          <w:rFonts w:cstheme="minorHAnsi"/>
        </w:rPr>
        <w:t xml:space="preserve"> early</w:t>
      </w:r>
      <w:r w:rsidR="00AF1E27" w:rsidRPr="00CC0F21">
        <w:rPr>
          <w:rFonts w:cstheme="minorHAnsi"/>
        </w:rPr>
        <w:t xml:space="preserve"> contributors to be recognised</w:t>
      </w:r>
      <w:r w:rsidRPr="00CC0F21">
        <w:rPr>
          <w:rFonts w:cstheme="minorHAnsi"/>
        </w:rPr>
        <w:t xml:space="preserve"> for their efforts. It is gratifying and empowering for community members to be rewarded for being active contributors to a project as opposed to receiving the same treatment as people arriving with potentially no genuine enthusiasm for the project. It is also in the interest of the project to identify the value-adding community members and incentivise them to remain active and continue adding value to Obscuro over the long term. </w:t>
      </w:r>
    </w:p>
    <w:p w14:paraId="58BEAF6A" w14:textId="7BBE2A36" w:rsidR="591F5DE1" w:rsidRPr="00CC0F21" w:rsidRDefault="00D15DBA" w:rsidP="00DF2015">
      <w:pPr>
        <w:jc w:val="both"/>
        <w:rPr>
          <w:rFonts w:cstheme="minorHAnsi"/>
        </w:rPr>
      </w:pPr>
      <w:r w:rsidRPr="00CC0F21">
        <w:rPr>
          <w:rFonts w:cstheme="minorHAnsi"/>
        </w:rPr>
        <w:t>The</w:t>
      </w:r>
      <w:r w:rsidR="001A1FD4" w:rsidRPr="00CC0F21">
        <w:rPr>
          <w:rFonts w:cstheme="minorHAnsi"/>
        </w:rPr>
        <w:t xml:space="preserve"> W</w:t>
      </w:r>
      <w:r w:rsidRPr="00CC0F21">
        <w:rPr>
          <w:rFonts w:cstheme="minorHAnsi"/>
        </w:rPr>
        <w:t xml:space="preserve">hitelist will be 2% of the </w:t>
      </w:r>
      <w:r w:rsidR="00B057CC" w:rsidRPr="00CC0F21">
        <w:rPr>
          <w:rFonts w:cstheme="minorHAnsi"/>
        </w:rPr>
        <w:t>total token allocation</w:t>
      </w:r>
      <w:r w:rsidRPr="00CC0F21">
        <w:rPr>
          <w:rFonts w:cstheme="minorHAnsi"/>
        </w:rPr>
        <w:t xml:space="preserve"> pool</w:t>
      </w:r>
      <w:r w:rsidR="00171E5C" w:rsidRPr="00CC0F21">
        <w:rPr>
          <w:rFonts w:cstheme="minorHAnsi"/>
        </w:rPr>
        <w:t xml:space="preserve">. </w:t>
      </w:r>
      <w:r w:rsidRPr="00CC0F21">
        <w:rPr>
          <w:rFonts w:cstheme="minorHAnsi"/>
        </w:rPr>
        <w:t>Whitelist tokens will be distributed to contributors from the Obscuro community after the launch of Obscuro Mainnet at no cost to the contributor. Contributions</w:t>
      </w:r>
      <w:r w:rsidR="001A1FD4" w:rsidRPr="00CC0F21">
        <w:rPr>
          <w:rFonts w:cstheme="minorHAnsi"/>
        </w:rPr>
        <w:t xml:space="preserve"> are defined, captured, tracked and </w:t>
      </w:r>
      <w:r w:rsidR="008924AC" w:rsidRPr="00CC0F21">
        <w:rPr>
          <w:rFonts w:cstheme="minorHAnsi"/>
        </w:rPr>
        <w:t>scored</w:t>
      </w:r>
      <w:r w:rsidR="00110EE6" w:rsidRPr="00CC0F21">
        <w:rPr>
          <w:rFonts w:cstheme="minorHAnsi"/>
        </w:rPr>
        <w:t xml:space="preserve"> using a decentralised task management tool called Dework. The Dework bounty score</w:t>
      </w:r>
      <w:r w:rsidRPr="00CC0F21">
        <w:rPr>
          <w:rFonts w:cstheme="minorHAnsi"/>
        </w:rPr>
        <w:t xml:space="preserve"> </w:t>
      </w:r>
      <w:r w:rsidR="00110EE6" w:rsidRPr="00CC0F21">
        <w:rPr>
          <w:rFonts w:cstheme="minorHAnsi"/>
        </w:rPr>
        <w:t>indicates</w:t>
      </w:r>
      <w:r w:rsidRPr="00CC0F21">
        <w:rPr>
          <w:rFonts w:cstheme="minorHAnsi"/>
        </w:rPr>
        <w:t xml:space="preserve"> </w:t>
      </w:r>
      <w:r w:rsidR="00110EE6" w:rsidRPr="00CC0F21">
        <w:rPr>
          <w:rFonts w:cstheme="minorHAnsi"/>
        </w:rPr>
        <w:t>how much of the Whitelist pool a contributor is entitled to</w:t>
      </w:r>
      <w:r w:rsidRPr="00CC0F21">
        <w:rPr>
          <w:rFonts w:cstheme="minorHAnsi"/>
        </w:rPr>
        <w:t>.</w:t>
      </w:r>
      <w:r w:rsidR="0025286D" w:rsidRPr="00CC0F21">
        <w:rPr>
          <w:rFonts w:cstheme="minorHAnsi"/>
        </w:rPr>
        <w:t xml:space="preserve"> Each contributor's token allocation will be a percentage of their total contributions against the entire community contribution up to the day of Obscuro Mainnet launch.</w:t>
      </w:r>
    </w:p>
    <w:p w14:paraId="7F27FFAC" w14:textId="60ED2C40" w:rsidR="591F5DE1" w:rsidRPr="00CC0F21" w:rsidRDefault="59E193A8" w:rsidP="00DF2015">
      <w:pPr>
        <w:jc w:val="both"/>
        <w:rPr>
          <w:rFonts w:cstheme="minorHAnsi"/>
        </w:rPr>
      </w:pPr>
      <w:r w:rsidRPr="00CC0F21">
        <w:rPr>
          <w:rFonts w:cstheme="minorHAnsi"/>
        </w:rPr>
        <w:t>The Public Sale event and Whitelist distribution will be conducted through a reputable third</w:t>
      </w:r>
      <w:r w:rsidR="39282E06" w:rsidRPr="00CC0F21">
        <w:rPr>
          <w:rFonts w:cstheme="minorHAnsi"/>
        </w:rPr>
        <w:t>-</w:t>
      </w:r>
      <w:r w:rsidRPr="00CC0F21">
        <w:rPr>
          <w:rFonts w:cstheme="minorHAnsi"/>
        </w:rPr>
        <w:t xml:space="preserve">party private sale manager so regulatory checks </w:t>
      </w:r>
      <w:r w:rsidR="278FE3A7" w:rsidRPr="00CC0F21">
        <w:rPr>
          <w:rFonts w:cstheme="minorHAnsi"/>
        </w:rPr>
        <w:t>are</w:t>
      </w:r>
      <w:r w:rsidRPr="00CC0F21">
        <w:rPr>
          <w:rFonts w:cstheme="minorHAnsi"/>
        </w:rPr>
        <w:t xml:space="preserve"> completed with confidence.</w:t>
      </w:r>
      <w:r w:rsidR="73ACB50B" w:rsidRPr="00CC0F21">
        <w:rPr>
          <w:rFonts w:cstheme="minorHAnsi"/>
        </w:rPr>
        <w:t xml:space="preserve"> </w:t>
      </w:r>
    </w:p>
    <w:p w14:paraId="4E147614" w14:textId="2AB029FC" w:rsidR="00001AF3" w:rsidRPr="00CC0F21" w:rsidRDefault="00541B35" w:rsidP="00CC0F21">
      <w:pPr>
        <w:pStyle w:val="Heading2"/>
        <w:rPr>
          <w:color w:val="auto"/>
        </w:rPr>
      </w:pPr>
      <w:bookmarkStart w:id="17" w:name="_Toc104212429"/>
      <w:r w:rsidRPr="00CC0F21">
        <w:rPr>
          <w:color w:val="auto"/>
        </w:rPr>
        <w:t>Foundation Fund</w:t>
      </w:r>
      <w:bookmarkEnd w:id="17"/>
    </w:p>
    <w:p w14:paraId="46AC2FFC" w14:textId="48770701" w:rsidR="591F5DE1" w:rsidRPr="00CC0F21" w:rsidRDefault="591F5DE1" w:rsidP="00DF2015">
      <w:pPr>
        <w:jc w:val="both"/>
        <w:rPr>
          <w:rFonts w:cstheme="minorHAnsi"/>
          <w:szCs w:val="24"/>
        </w:rPr>
      </w:pPr>
      <w:r w:rsidRPr="00CC0F21">
        <w:rPr>
          <w:rFonts w:cstheme="minorHAnsi"/>
        </w:rPr>
        <w:t>The Foundation token fund exists for several reasons. First, this fund will pay out active node rewards and rollup rewards to Verifier and Aggregator nodes on Obscuro Mainnet. Second, the Foundation is empowered to engage with engineering talent to further develop the Obscuro platform using tokens as a form of incentive. Third, governance change proposals are voted on through a vote entitlement for token holders.</w:t>
      </w:r>
    </w:p>
    <w:p w14:paraId="16921F57" w14:textId="16D9E31E" w:rsidR="00541B35" w:rsidRPr="00CC0F21" w:rsidRDefault="00541B35" w:rsidP="00CC0F21">
      <w:pPr>
        <w:pStyle w:val="Heading2"/>
        <w:rPr>
          <w:color w:val="auto"/>
        </w:rPr>
      </w:pPr>
      <w:bookmarkStart w:id="18" w:name="_Toc104212430"/>
      <w:commentRangeStart w:id="19"/>
      <w:r w:rsidRPr="00CC0F21">
        <w:rPr>
          <w:color w:val="auto"/>
        </w:rPr>
        <w:t>Ecosystem Fund</w:t>
      </w:r>
      <w:commentRangeEnd w:id="19"/>
      <w:r w:rsidRPr="00CC0F21">
        <w:rPr>
          <w:rStyle w:val="CommentReference"/>
          <w:rFonts w:asciiTheme="minorHAnsi" w:hAnsiTheme="minorHAnsi" w:cstheme="minorHAnsi"/>
          <w:color w:val="auto"/>
        </w:rPr>
        <w:commentReference w:id="19"/>
      </w:r>
      <w:bookmarkEnd w:id="18"/>
    </w:p>
    <w:p w14:paraId="43F3BA61" w14:textId="1162A252" w:rsidR="008924AC" w:rsidRPr="00CC0F21" w:rsidRDefault="591F5DE1" w:rsidP="00DF2015">
      <w:pPr>
        <w:jc w:val="both"/>
        <w:rPr>
          <w:rFonts w:cstheme="minorHAnsi"/>
          <w:szCs w:val="24"/>
        </w:rPr>
      </w:pPr>
      <w:r w:rsidRPr="00CC0F21">
        <w:rPr>
          <w:rFonts w:cstheme="minorHAnsi"/>
          <w:szCs w:val="24"/>
        </w:rPr>
        <w:t>The Ecosystem token fund exists to develop and evolve the Obscuro ecosystem using three primary methods. First, offer grants and incentives to application builders to deploy their applications to Obscuro Mainnet.</w:t>
      </w:r>
      <w:r w:rsidR="00B90889">
        <w:rPr>
          <w:rFonts w:cstheme="minorHAnsi"/>
          <w:szCs w:val="24"/>
        </w:rPr>
        <w:t xml:space="preserve"> </w:t>
      </w:r>
      <w:r w:rsidR="00B90889">
        <w:rPr>
          <w:rFonts w:cstheme="minorHAnsi"/>
          <w:szCs w:val="24"/>
        </w:rPr>
        <w:t>3% of the Ecosystem Fund is set aside for application builder incentives.</w:t>
      </w:r>
      <w:r w:rsidRPr="00CC0F21">
        <w:rPr>
          <w:rFonts w:cstheme="minorHAnsi"/>
          <w:szCs w:val="24"/>
        </w:rPr>
        <w:t xml:space="preserve"> Second, execute a marketing strategy to increase awareness in Obscuro. Third, incentivise members of the community to make meaningful contributions to Obscuro over the long term.</w:t>
      </w:r>
      <w:r w:rsidR="00501A40">
        <w:rPr>
          <w:rFonts w:cstheme="minorHAnsi"/>
          <w:szCs w:val="24"/>
        </w:rPr>
        <w:t xml:space="preserve"> </w:t>
      </w:r>
    </w:p>
    <w:p w14:paraId="43BD291E" w14:textId="209003F5" w:rsidR="591F5DE1" w:rsidRPr="00CC0F21" w:rsidRDefault="591F5DE1" w:rsidP="00CC0F21">
      <w:pPr>
        <w:pStyle w:val="Heading2"/>
        <w:rPr>
          <w:color w:val="auto"/>
        </w:rPr>
      </w:pPr>
      <w:bookmarkStart w:id="20" w:name="_Toc104212431"/>
      <w:r w:rsidRPr="00CC0F21">
        <w:rPr>
          <w:color w:val="auto"/>
        </w:rPr>
        <w:t>Investors and Core Team</w:t>
      </w:r>
      <w:bookmarkEnd w:id="20"/>
    </w:p>
    <w:p w14:paraId="2C996CA6" w14:textId="77777777" w:rsidR="00CC0F21" w:rsidRPr="00CC0F21" w:rsidRDefault="591F5DE1" w:rsidP="00CC0F21">
      <w:pPr>
        <w:jc w:val="both"/>
        <w:rPr>
          <w:rFonts w:cstheme="minorHAnsi"/>
          <w:szCs w:val="24"/>
        </w:rPr>
      </w:pPr>
      <w:r w:rsidRPr="00CC0F21">
        <w:rPr>
          <w:rFonts w:cstheme="minorHAnsi"/>
          <w:szCs w:val="24"/>
        </w:rPr>
        <w:t>Providing investors and the core team with the opportunity to participate in the Obscuro network is an important part of their contribution to the wider Obscuro ecosystem. Token allocations to these groups encourage continued engagement, interest and contributions.</w:t>
      </w:r>
      <w:bookmarkStart w:id="21" w:name="_Toc104212432"/>
    </w:p>
    <w:p w14:paraId="7C67914F" w14:textId="4E018D60" w:rsidR="00477622" w:rsidRPr="00CC0F21" w:rsidRDefault="00B910BB" w:rsidP="00CC0F21">
      <w:pPr>
        <w:pStyle w:val="Heading2"/>
        <w:rPr>
          <w:color w:val="auto"/>
        </w:rPr>
      </w:pPr>
      <w:r w:rsidRPr="00CC0F21">
        <w:rPr>
          <w:color w:val="auto"/>
        </w:rPr>
        <w:lastRenderedPageBreak/>
        <w:t xml:space="preserve">Token </w:t>
      </w:r>
      <w:r w:rsidR="00477622" w:rsidRPr="00CC0F21">
        <w:rPr>
          <w:color w:val="auto"/>
        </w:rPr>
        <w:t>Vesting</w:t>
      </w:r>
      <w:bookmarkEnd w:id="21"/>
    </w:p>
    <w:p w14:paraId="3572646D" w14:textId="7E8A23ED" w:rsidR="00477622" w:rsidRPr="00CC0F21" w:rsidRDefault="6A144AC5" w:rsidP="00DF2015">
      <w:pPr>
        <w:jc w:val="both"/>
        <w:rPr>
          <w:rFonts w:cstheme="minorHAnsi"/>
        </w:rPr>
      </w:pPr>
      <w:r w:rsidRPr="00CC0F21">
        <w:rPr>
          <w:rFonts w:cstheme="minorHAnsi"/>
        </w:rPr>
        <w:t xml:space="preserve">Token vesting periods are </w:t>
      </w:r>
      <w:r w:rsidR="71F75CF0" w:rsidRPr="00CC0F21">
        <w:rPr>
          <w:rFonts w:cstheme="minorHAnsi"/>
        </w:rPr>
        <w:t>a mix</w:t>
      </w:r>
      <w:r w:rsidR="485187A6" w:rsidRPr="00CC0F21">
        <w:rPr>
          <w:rFonts w:cstheme="minorHAnsi"/>
        </w:rPr>
        <w:t>ture</w:t>
      </w:r>
      <w:r w:rsidR="71F75CF0" w:rsidRPr="00CC0F21">
        <w:rPr>
          <w:rFonts w:cstheme="minorHAnsi"/>
        </w:rPr>
        <w:t xml:space="preserve"> of time-based and milestone-based </w:t>
      </w:r>
      <w:r w:rsidR="485187A6" w:rsidRPr="00CC0F21">
        <w:rPr>
          <w:rFonts w:cstheme="minorHAnsi"/>
        </w:rPr>
        <w:t>outcomes</w:t>
      </w:r>
      <w:r w:rsidR="71F75CF0" w:rsidRPr="00CC0F21">
        <w:rPr>
          <w:rFonts w:cstheme="minorHAnsi"/>
        </w:rPr>
        <w:t>.</w:t>
      </w:r>
      <w:r w:rsidR="7432DD8C" w:rsidRPr="00CC0F21">
        <w:rPr>
          <w:rFonts w:cstheme="minorHAnsi"/>
        </w:rPr>
        <w:t xml:space="preserve"> </w:t>
      </w:r>
      <w:r w:rsidR="334CB2D3" w:rsidRPr="00CC0F21">
        <w:rPr>
          <w:rFonts w:cstheme="minorHAnsi"/>
        </w:rPr>
        <w:t>Th</w:t>
      </w:r>
      <w:r w:rsidR="64FF3176" w:rsidRPr="00CC0F21">
        <w:rPr>
          <w:rFonts w:cstheme="minorHAnsi"/>
        </w:rPr>
        <w:t>e vesting periods have been designed</w:t>
      </w:r>
      <w:r w:rsidR="334CB2D3" w:rsidRPr="00CC0F21">
        <w:rPr>
          <w:rFonts w:cstheme="minorHAnsi"/>
        </w:rPr>
        <w:t xml:space="preserve"> </w:t>
      </w:r>
      <w:r w:rsidR="64FF3176" w:rsidRPr="00CC0F21">
        <w:rPr>
          <w:rFonts w:cstheme="minorHAnsi"/>
        </w:rPr>
        <w:t xml:space="preserve">to strike a balance between allowing utility in Obscuro Mainnet from the get-go and </w:t>
      </w:r>
      <w:r w:rsidR="4F676DD6" w:rsidRPr="00CC0F21">
        <w:rPr>
          <w:rFonts w:cstheme="minorHAnsi"/>
        </w:rPr>
        <w:t>encouraging continued high-quality development</w:t>
      </w:r>
      <w:r w:rsidR="3F74B913" w:rsidRPr="00CC0F21">
        <w:rPr>
          <w:rFonts w:cstheme="minorHAnsi"/>
        </w:rPr>
        <w:t xml:space="preserve"> and commitment to</w:t>
      </w:r>
      <w:r w:rsidR="485187A6" w:rsidRPr="00CC0F21">
        <w:rPr>
          <w:rFonts w:cstheme="minorHAnsi"/>
        </w:rPr>
        <w:t xml:space="preserve"> the</w:t>
      </w:r>
      <w:r w:rsidR="3F74B913" w:rsidRPr="00CC0F21">
        <w:rPr>
          <w:rFonts w:cstheme="minorHAnsi"/>
        </w:rPr>
        <w:t xml:space="preserve"> Obscuro </w:t>
      </w:r>
      <w:r w:rsidR="485187A6" w:rsidRPr="00CC0F21">
        <w:rPr>
          <w:rFonts w:cstheme="minorHAnsi"/>
        </w:rPr>
        <w:t xml:space="preserve">ecosystem </w:t>
      </w:r>
      <w:r w:rsidR="7FC5EB50" w:rsidRPr="00CC0F21">
        <w:rPr>
          <w:rFonts w:cstheme="minorHAnsi"/>
        </w:rPr>
        <w:t>over a number of years.</w:t>
      </w:r>
    </w:p>
    <w:p w14:paraId="5280E92A" w14:textId="563FF70F" w:rsidR="09254920" w:rsidRPr="00CC0F21" w:rsidRDefault="09254920" w:rsidP="00DF2015">
      <w:pPr>
        <w:jc w:val="both"/>
        <w:rPr>
          <w:rFonts w:cstheme="minorHAnsi"/>
          <w:szCs w:val="24"/>
        </w:rPr>
      </w:pPr>
      <w:r w:rsidRPr="00CC0F21">
        <w:rPr>
          <w:rFonts w:cstheme="minorHAnsi"/>
          <w:szCs w:val="24"/>
        </w:rPr>
        <w:t>Tokens distributed to the Whitelist vest over the course of 20 months to encourage continued engagement with Obscuro and discourage early dumping.</w:t>
      </w:r>
    </w:p>
    <w:p w14:paraId="53FFE9B9" w14:textId="75D9F5B1" w:rsidR="498226B9" w:rsidRPr="00CC0F21" w:rsidRDefault="498226B9" w:rsidP="00DF2015">
      <w:pPr>
        <w:jc w:val="both"/>
        <w:rPr>
          <w:rFonts w:cstheme="minorHAnsi"/>
        </w:rPr>
      </w:pPr>
      <w:r w:rsidRPr="00CC0F21">
        <w:rPr>
          <w:rFonts w:cstheme="minorHAnsi"/>
        </w:rPr>
        <w:t>Tokens distribut</w:t>
      </w:r>
      <w:r w:rsidR="77A11E00" w:rsidRPr="00CC0F21">
        <w:rPr>
          <w:rFonts w:cstheme="minorHAnsi"/>
        </w:rPr>
        <w:t>ed</w:t>
      </w:r>
      <w:r w:rsidRPr="00CC0F21">
        <w:rPr>
          <w:rFonts w:cstheme="minorHAnsi"/>
        </w:rPr>
        <w:t xml:space="preserve"> to </w:t>
      </w:r>
      <w:r w:rsidR="77A11E00" w:rsidRPr="00CC0F21">
        <w:rPr>
          <w:rFonts w:cstheme="minorHAnsi"/>
        </w:rPr>
        <w:t>the Public Sale</w:t>
      </w:r>
      <w:r w:rsidRPr="00CC0F21">
        <w:rPr>
          <w:rFonts w:cstheme="minorHAnsi"/>
        </w:rPr>
        <w:t xml:space="preserve"> vest immediately so they can </w:t>
      </w:r>
      <w:r w:rsidR="7CEDA8FA" w:rsidRPr="00CC0F21">
        <w:rPr>
          <w:rFonts w:cstheme="minorHAnsi"/>
        </w:rPr>
        <w:t xml:space="preserve">be used to participate in the </w:t>
      </w:r>
      <w:r w:rsidR="4A0EC111" w:rsidRPr="00CC0F21">
        <w:rPr>
          <w:rFonts w:cstheme="minorHAnsi"/>
        </w:rPr>
        <w:t>Obscuro Mainnet as early as possible. Specially, tokens can be used by application users to pay transaction fees, for node operators to stake and for members of the community to participate in delegated staking.</w:t>
      </w:r>
    </w:p>
    <w:p w14:paraId="5BC70567" w14:textId="6363B0FF" w:rsidR="59D76693" w:rsidRPr="00CC0F21" w:rsidRDefault="59D76693" w:rsidP="00DF2015">
      <w:pPr>
        <w:jc w:val="both"/>
        <w:rPr>
          <w:rFonts w:cstheme="minorHAnsi"/>
          <w:szCs w:val="24"/>
        </w:rPr>
      </w:pPr>
      <w:r w:rsidRPr="00CC0F21">
        <w:rPr>
          <w:rFonts w:cstheme="minorHAnsi"/>
          <w:szCs w:val="24"/>
        </w:rPr>
        <w:t xml:space="preserve">Tokens distributed to the Foundation Fund </w:t>
      </w:r>
      <w:r w:rsidR="004C6184">
        <w:rPr>
          <w:rFonts w:cstheme="minorHAnsi"/>
          <w:szCs w:val="24"/>
        </w:rPr>
        <w:t xml:space="preserve">and Ecosystem Fund </w:t>
      </w:r>
      <w:r w:rsidRPr="00CC0F21">
        <w:rPr>
          <w:rFonts w:cstheme="minorHAnsi"/>
          <w:szCs w:val="24"/>
        </w:rPr>
        <w:t>are released linearly at 5% per month to avoid downward pressure on the value of OBX and instead maintain a value at which rewards can continue to be paid without subsidies.</w:t>
      </w:r>
    </w:p>
    <w:p w14:paraId="492AE84D" w14:textId="09D70D82" w:rsidR="00477622" w:rsidRPr="00CC0F21" w:rsidRDefault="4A0EC111" w:rsidP="00DF2015">
      <w:pPr>
        <w:jc w:val="both"/>
        <w:rPr>
          <w:rFonts w:cstheme="minorHAnsi"/>
        </w:rPr>
      </w:pPr>
      <w:r w:rsidRPr="00CC0F21">
        <w:rPr>
          <w:rFonts w:cstheme="minorHAnsi"/>
        </w:rPr>
        <w:t>Tokens distributed to Investors and the Core Team are initially locked followed by a multi-year unlock to keep investor sentiment high, encourage long term focus in their investment and clearly demonstrate their commitment to the success of Obscuro.</w:t>
      </w:r>
    </w:p>
    <w:p w14:paraId="6BE68FAA" w14:textId="51994193" w:rsidR="0172EE41" w:rsidRPr="00CC0F21" w:rsidRDefault="0172EE41" w:rsidP="00DF2015">
      <w:pPr>
        <w:jc w:val="both"/>
        <w:rPr>
          <w:rFonts w:cstheme="minorHAnsi"/>
          <w:szCs w:val="24"/>
        </w:rPr>
      </w:pPr>
    </w:p>
    <w:tbl>
      <w:tblPr>
        <w:tblStyle w:val="TableGrid"/>
        <w:tblW w:w="9286" w:type="dxa"/>
        <w:jc w:val="center"/>
        <w:tblCellMar>
          <w:top w:w="85" w:type="dxa"/>
          <w:bottom w:w="85" w:type="dxa"/>
        </w:tblCellMar>
        <w:tblLook w:val="04A0" w:firstRow="1" w:lastRow="0" w:firstColumn="1" w:lastColumn="0" w:noHBand="0" w:noVBand="1"/>
      </w:tblPr>
      <w:tblGrid>
        <w:gridCol w:w="2055"/>
        <w:gridCol w:w="1506"/>
        <w:gridCol w:w="1553"/>
        <w:gridCol w:w="4172"/>
      </w:tblGrid>
      <w:tr w:rsidR="00CC0F21" w:rsidRPr="00CC0F21" w14:paraId="0326844E" w14:textId="77777777" w:rsidTr="001A7314">
        <w:trPr>
          <w:jc w:val="center"/>
        </w:trPr>
        <w:tc>
          <w:tcPr>
            <w:tcW w:w="2055" w:type="dxa"/>
            <w:shd w:val="clear" w:color="auto" w:fill="000000" w:themeFill="text1"/>
            <w:vAlign w:val="center"/>
          </w:tcPr>
          <w:p w14:paraId="38BAF626" w14:textId="77777777" w:rsidR="005131C5" w:rsidRPr="00CC0F21" w:rsidRDefault="4EF20AEF" w:rsidP="00C56C12">
            <w:pPr>
              <w:jc w:val="center"/>
              <w:rPr>
                <w:rFonts w:cstheme="minorHAnsi"/>
                <w:b/>
                <w:bCs/>
              </w:rPr>
            </w:pPr>
            <w:r w:rsidRPr="00CC0F21">
              <w:rPr>
                <w:rFonts w:cstheme="minorHAnsi"/>
                <w:b/>
                <w:bCs/>
              </w:rPr>
              <w:t>Token Distribution</w:t>
            </w:r>
          </w:p>
        </w:tc>
        <w:tc>
          <w:tcPr>
            <w:tcW w:w="1506" w:type="dxa"/>
            <w:shd w:val="clear" w:color="auto" w:fill="000000" w:themeFill="text1"/>
            <w:vAlign w:val="center"/>
          </w:tcPr>
          <w:p w14:paraId="7781E9DE" w14:textId="2454CEB0" w:rsidR="005131C5" w:rsidRPr="00CC0F21" w:rsidRDefault="104D25BE" w:rsidP="00C56C12">
            <w:pPr>
              <w:spacing w:line="259" w:lineRule="auto"/>
              <w:jc w:val="center"/>
              <w:rPr>
                <w:rFonts w:cstheme="minorHAnsi"/>
                <w:b/>
                <w:bCs/>
              </w:rPr>
            </w:pPr>
            <w:r w:rsidRPr="00CC0F21">
              <w:rPr>
                <w:rFonts w:cstheme="minorHAnsi"/>
                <w:b/>
                <w:bCs/>
              </w:rPr>
              <w:t>Token A</w:t>
            </w:r>
            <w:r w:rsidR="3963D49A" w:rsidRPr="00CC0F21">
              <w:rPr>
                <w:rFonts w:cstheme="minorHAnsi"/>
                <w:b/>
                <w:bCs/>
              </w:rPr>
              <w:t>mount</w:t>
            </w:r>
          </w:p>
        </w:tc>
        <w:tc>
          <w:tcPr>
            <w:tcW w:w="1553" w:type="dxa"/>
            <w:shd w:val="clear" w:color="auto" w:fill="000000" w:themeFill="text1"/>
            <w:vAlign w:val="center"/>
          </w:tcPr>
          <w:p w14:paraId="7B0F2A06" w14:textId="059E03DC" w:rsidR="09254920" w:rsidRPr="00CC0F21" w:rsidRDefault="09254920" w:rsidP="00C56C12">
            <w:pPr>
              <w:jc w:val="center"/>
              <w:rPr>
                <w:rFonts w:cstheme="minorHAnsi"/>
                <w:b/>
                <w:bCs/>
                <w:szCs w:val="24"/>
              </w:rPr>
            </w:pPr>
            <w:r w:rsidRPr="00CC0F21">
              <w:rPr>
                <w:rFonts w:cstheme="minorHAnsi"/>
                <w:b/>
                <w:bCs/>
                <w:szCs w:val="24"/>
              </w:rPr>
              <w:t>Vesting Basis</w:t>
            </w:r>
          </w:p>
        </w:tc>
        <w:tc>
          <w:tcPr>
            <w:tcW w:w="4172" w:type="dxa"/>
            <w:shd w:val="clear" w:color="auto" w:fill="000000" w:themeFill="text1"/>
            <w:vAlign w:val="center"/>
          </w:tcPr>
          <w:p w14:paraId="6A420E2B" w14:textId="0A2BD6A7" w:rsidR="005131C5" w:rsidRPr="00CC0F21" w:rsidRDefault="2925E8F4" w:rsidP="00C56C12">
            <w:pPr>
              <w:jc w:val="center"/>
              <w:rPr>
                <w:rFonts w:cstheme="minorHAnsi"/>
                <w:b/>
                <w:bCs/>
              </w:rPr>
            </w:pPr>
            <w:commentRangeStart w:id="22"/>
            <w:r w:rsidRPr="00CC0F21">
              <w:rPr>
                <w:rFonts w:cstheme="minorHAnsi"/>
                <w:b/>
                <w:bCs/>
              </w:rPr>
              <w:t>Vesting</w:t>
            </w:r>
            <w:commentRangeEnd w:id="22"/>
            <w:r w:rsidR="005131C5" w:rsidRPr="00CC0F21">
              <w:rPr>
                <w:rStyle w:val="CommentReference"/>
                <w:rFonts w:cstheme="minorHAnsi"/>
              </w:rPr>
              <w:commentReference w:id="22"/>
            </w:r>
            <w:r w:rsidR="0D879237" w:rsidRPr="00CC0F21">
              <w:rPr>
                <w:rFonts w:cstheme="minorHAnsi"/>
                <w:b/>
                <w:bCs/>
              </w:rPr>
              <w:t xml:space="preserve"> (NOTE: subject to lead investor review)</w:t>
            </w:r>
          </w:p>
        </w:tc>
      </w:tr>
      <w:tr w:rsidR="00CC0F21" w:rsidRPr="00CC0F21" w14:paraId="15804896" w14:textId="77777777" w:rsidTr="234B0F2B">
        <w:trPr>
          <w:jc w:val="center"/>
        </w:trPr>
        <w:tc>
          <w:tcPr>
            <w:tcW w:w="2055" w:type="dxa"/>
          </w:tcPr>
          <w:p w14:paraId="5A9ADFF3" w14:textId="00ACF0D3" w:rsidR="0172EE41" w:rsidRPr="00CC0F21" w:rsidRDefault="00FC5936" w:rsidP="00DF2015">
            <w:pPr>
              <w:jc w:val="both"/>
              <w:rPr>
                <w:rFonts w:cstheme="minorHAnsi"/>
                <w:szCs w:val="24"/>
              </w:rPr>
            </w:pPr>
            <w:r>
              <w:rPr>
                <w:rFonts w:cstheme="minorHAnsi"/>
                <w:szCs w:val="24"/>
              </w:rPr>
              <w:t xml:space="preserve">Contributor </w:t>
            </w:r>
            <w:r w:rsidR="0172EE41" w:rsidRPr="00CC0F21">
              <w:rPr>
                <w:rFonts w:cstheme="minorHAnsi"/>
                <w:szCs w:val="24"/>
              </w:rPr>
              <w:t>Whitelist</w:t>
            </w:r>
          </w:p>
        </w:tc>
        <w:tc>
          <w:tcPr>
            <w:tcW w:w="1506" w:type="dxa"/>
          </w:tcPr>
          <w:p w14:paraId="29C6CEA1" w14:textId="23236671" w:rsidR="0172EE41" w:rsidRPr="00CC0F21" w:rsidRDefault="0172EE41" w:rsidP="00DF2015">
            <w:pPr>
              <w:jc w:val="both"/>
              <w:rPr>
                <w:rFonts w:cstheme="minorHAnsi"/>
                <w:szCs w:val="24"/>
              </w:rPr>
            </w:pPr>
            <w:r w:rsidRPr="00CC0F21">
              <w:rPr>
                <w:rFonts w:cstheme="minorHAnsi"/>
                <w:szCs w:val="24"/>
              </w:rPr>
              <w:t>20,000,000</w:t>
            </w:r>
          </w:p>
        </w:tc>
        <w:tc>
          <w:tcPr>
            <w:tcW w:w="1553" w:type="dxa"/>
          </w:tcPr>
          <w:p w14:paraId="66725B2A" w14:textId="50EE9812" w:rsidR="0172EE41" w:rsidRPr="00CC0F21" w:rsidRDefault="0172EE41" w:rsidP="00DF2015">
            <w:pPr>
              <w:jc w:val="both"/>
              <w:rPr>
                <w:rFonts w:cstheme="minorHAnsi"/>
                <w:szCs w:val="24"/>
              </w:rPr>
            </w:pPr>
            <w:r w:rsidRPr="00CC0F21">
              <w:rPr>
                <w:rFonts w:cstheme="minorHAnsi"/>
                <w:szCs w:val="24"/>
              </w:rPr>
              <w:t>Milestone</w:t>
            </w:r>
          </w:p>
        </w:tc>
        <w:tc>
          <w:tcPr>
            <w:tcW w:w="4172" w:type="dxa"/>
          </w:tcPr>
          <w:p w14:paraId="7EAF8ED3" w14:textId="31C38A9C" w:rsidR="19A22880" w:rsidRPr="00CC0F21" w:rsidRDefault="19A22880" w:rsidP="00DF2015">
            <w:pPr>
              <w:jc w:val="both"/>
              <w:rPr>
                <w:rFonts w:cstheme="minorHAnsi"/>
              </w:rPr>
            </w:pPr>
            <w:r w:rsidRPr="00CC0F21">
              <w:rPr>
                <w:rFonts w:cstheme="minorHAnsi"/>
              </w:rPr>
              <w:t>Linear unlock of 5% per month from Obscuro Mainnet launch</w:t>
            </w:r>
          </w:p>
        </w:tc>
      </w:tr>
      <w:tr w:rsidR="00CC0F21" w:rsidRPr="00CC0F21" w14:paraId="1734BE00" w14:textId="77777777" w:rsidTr="234B0F2B">
        <w:trPr>
          <w:jc w:val="center"/>
        </w:trPr>
        <w:tc>
          <w:tcPr>
            <w:tcW w:w="2055" w:type="dxa"/>
          </w:tcPr>
          <w:p w14:paraId="2EBEDCD3" w14:textId="0B06EED3" w:rsidR="0172EE41" w:rsidRPr="00CC0F21" w:rsidRDefault="0172EE41" w:rsidP="00DF2015">
            <w:pPr>
              <w:jc w:val="both"/>
              <w:rPr>
                <w:rFonts w:cstheme="minorHAnsi"/>
                <w:szCs w:val="24"/>
              </w:rPr>
            </w:pPr>
            <w:r w:rsidRPr="00CC0F21">
              <w:rPr>
                <w:rFonts w:cstheme="minorHAnsi"/>
                <w:szCs w:val="24"/>
              </w:rPr>
              <w:t>Public Sale</w:t>
            </w:r>
          </w:p>
        </w:tc>
        <w:tc>
          <w:tcPr>
            <w:tcW w:w="1506" w:type="dxa"/>
          </w:tcPr>
          <w:p w14:paraId="14155687" w14:textId="1D8DCD52" w:rsidR="0172EE41" w:rsidRPr="00CC0F21" w:rsidRDefault="0172EE41" w:rsidP="00DF2015">
            <w:pPr>
              <w:jc w:val="both"/>
              <w:rPr>
                <w:rFonts w:cstheme="minorHAnsi"/>
                <w:szCs w:val="24"/>
              </w:rPr>
            </w:pPr>
            <w:r w:rsidRPr="00CC0F21">
              <w:rPr>
                <w:rFonts w:cstheme="minorHAnsi"/>
                <w:szCs w:val="24"/>
              </w:rPr>
              <w:t>26,000,000</w:t>
            </w:r>
          </w:p>
        </w:tc>
        <w:tc>
          <w:tcPr>
            <w:tcW w:w="1553" w:type="dxa"/>
          </w:tcPr>
          <w:p w14:paraId="6BCAD780" w14:textId="4D5A0C3E" w:rsidR="0172EE41" w:rsidRPr="00CC0F21" w:rsidRDefault="0172EE41" w:rsidP="00DF2015">
            <w:pPr>
              <w:jc w:val="both"/>
              <w:rPr>
                <w:rFonts w:cstheme="minorHAnsi"/>
                <w:szCs w:val="24"/>
              </w:rPr>
            </w:pPr>
            <w:r w:rsidRPr="00CC0F21">
              <w:rPr>
                <w:rFonts w:cstheme="minorHAnsi"/>
                <w:szCs w:val="24"/>
              </w:rPr>
              <w:t>Time</w:t>
            </w:r>
          </w:p>
        </w:tc>
        <w:tc>
          <w:tcPr>
            <w:tcW w:w="4172" w:type="dxa"/>
          </w:tcPr>
          <w:p w14:paraId="2A6BDCDD" w14:textId="52CB8D00" w:rsidR="0172EE41" w:rsidRPr="00CC0F21" w:rsidRDefault="0172EE41" w:rsidP="00DF2015">
            <w:pPr>
              <w:jc w:val="both"/>
              <w:rPr>
                <w:rFonts w:cstheme="minorHAnsi"/>
                <w:szCs w:val="24"/>
              </w:rPr>
            </w:pPr>
            <w:r w:rsidRPr="00CC0F21">
              <w:rPr>
                <w:rFonts w:cstheme="minorHAnsi"/>
                <w:szCs w:val="24"/>
              </w:rPr>
              <w:t>100% at TGE</w:t>
            </w:r>
          </w:p>
        </w:tc>
      </w:tr>
      <w:tr w:rsidR="00CC0F21" w:rsidRPr="00CC0F21" w14:paraId="1536F673" w14:textId="77777777" w:rsidTr="234B0F2B">
        <w:trPr>
          <w:jc w:val="center"/>
        </w:trPr>
        <w:tc>
          <w:tcPr>
            <w:tcW w:w="2055" w:type="dxa"/>
          </w:tcPr>
          <w:p w14:paraId="65E2B7B7" w14:textId="4DA7A131" w:rsidR="0172EE41" w:rsidRPr="00CC0F21" w:rsidRDefault="0172EE41" w:rsidP="00DF2015">
            <w:pPr>
              <w:jc w:val="both"/>
              <w:rPr>
                <w:rFonts w:cstheme="minorHAnsi"/>
                <w:szCs w:val="24"/>
              </w:rPr>
            </w:pPr>
            <w:r w:rsidRPr="00CC0F21">
              <w:rPr>
                <w:rFonts w:cstheme="minorHAnsi"/>
                <w:szCs w:val="24"/>
              </w:rPr>
              <w:t>Foundation Fund</w:t>
            </w:r>
          </w:p>
        </w:tc>
        <w:tc>
          <w:tcPr>
            <w:tcW w:w="1506" w:type="dxa"/>
          </w:tcPr>
          <w:p w14:paraId="24D425EF" w14:textId="4A5426F5" w:rsidR="0172EE41" w:rsidRPr="00CC0F21" w:rsidRDefault="0172EE41" w:rsidP="00DF2015">
            <w:pPr>
              <w:jc w:val="both"/>
              <w:rPr>
                <w:rFonts w:cstheme="minorHAnsi"/>
                <w:szCs w:val="24"/>
              </w:rPr>
            </w:pPr>
            <w:r w:rsidRPr="00CC0F21">
              <w:rPr>
                <w:rFonts w:cstheme="minorHAnsi"/>
                <w:szCs w:val="24"/>
              </w:rPr>
              <w:t>227,000,000</w:t>
            </w:r>
          </w:p>
        </w:tc>
        <w:tc>
          <w:tcPr>
            <w:tcW w:w="1553" w:type="dxa"/>
          </w:tcPr>
          <w:p w14:paraId="69E6E432" w14:textId="1D413FAB" w:rsidR="0172EE41" w:rsidRPr="00CC0F21" w:rsidRDefault="00973A4D" w:rsidP="00DF2015">
            <w:pPr>
              <w:jc w:val="both"/>
              <w:rPr>
                <w:rFonts w:cstheme="minorHAnsi"/>
                <w:szCs w:val="24"/>
              </w:rPr>
            </w:pPr>
            <w:r>
              <w:rPr>
                <w:rFonts w:cstheme="minorHAnsi"/>
                <w:szCs w:val="24"/>
              </w:rPr>
              <w:t>Milestone</w:t>
            </w:r>
          </w:p>
        </w:tc>
        <w:tc>
          <w:tcPr>
            <w:tcW w:w="4172" w:type="dxa"/>
          </w:tcPr>
          <w:p w14:paraId="25F2E017" w14:textId="1D32BB67" w:rsidR="0172EE41" w:rsidRPr="00CC0F21" w:rsidRDefault="0172EE41" w:rsidP="00DF2015">
            <w:pPr>
              <w:jc w:val="both"/>
              <w:rPr>
                <w:rFonts w:cstheme="minorHAnsi"/>
                <w:szCs w:val="24"/>
              </w:rPr>
            </w:pPr>
            <w:r w:rsidRPr="00CC0F21">
              <w:rPr>
                <w:rFonts w:cstheme="minorHAnsi"/>
                <w:szCs w:val="24"/>
              </w:rPr>
              <w:t>Linear unlock of 5% per month from</w:t>
            </w:r>
            <w:r w:rsidR="004B736C">
              <w:rPr>
                <w:rFonts w:cstheme="minorHAnsi"/>
                <w:szCs w:val="24"/>
              </w:rPr>
              <w:t xml:space="preserve"> </w:t>
            </w:r>
            <w:r w:rsidRPr="00CC0F21">
              <w:rPr>
                <w:rFonts w:cstheme="minorHAnsi"/>
                <w:szCs w:val="24"/>
              </w:rPr>
              <w:t>Obscuro Mainnet launch</w:t>
            </w:r>
          </w:p>
        </w:tc>
      </w:tr>
      <w:tr w:rsidR="00CC0F21" w:rsidRPr="00CC0F21" w14:paraId="7083410D" w14:textId="77777777" w:rsidTr="234B0F2B">
        <w:trPr>
          <w:jc w:val="center"/>
        </w:trPr>
        <w:tc>
          <w:tcPr>
            <w:tcW w:w="2055" w:type="dxa"/>
          </w:tcPr>
          <w:p w14:paraId="69845250" w14:textId="01E9AF06" w:rsidR="0172EE41" w:rsidRPr="00CC0F21" w:rsidRDefault="0172EE41" w:rsidP="00DF2015">
            <w:pPr>
              <w:jc w:val="both"/>
              <w:rPr>
                <w:rFonts w:cstheme="minorHAnsi"/>
                <w:szCs w:val="24"/>
              </w:rPr>
            </w:pPr>
            <w:r w:rsidRPr="00CC0F21">
              <w:rPr>
                <w:rFonts w:cstheme="minorHAnsi"/>
                <w:szCs w:val="24"/>
              </w:rPr>
              <w:t>Ecosystem Fund</w:t>
            </w:r>
          </w:p>
        </w:tc>
        <w:tc>
          <w:tcPr>
            <w:tcW w:w="1506" w:type="dxa"/>
          </w:tcPr>
          <w:p w14:paraId="286597D2" w14:textId="3E1E3785" w:rsidR="0172EE41" w:rsidRPr="00CC0F21" w:rsidRDefault="0172EE41" w:rsidP="00DF2015">
            <w:pPr>
              <w:jc w:val="both"/>
              <w:rPr>
                <w:rFonts w:cstheme="minorHAnsi"/>
                <w:szCs w:val="24"/>
              </w:rPr>
            </w:pPr>
            <w:r w:rsidRPr="00CC0F21">
              <w:rPr>
                <w:rFonts w:cstheme="minorHAnsi"/>
                <w:szCs w:val="24"/>
              </w:rPr>
              <w:t>227,000,000</w:t>
            </w:r>
          </w:p>
        </w:tc>
        <w:tc>
          <w:tcPr>
            <w:tcW w:w="1553" w:type="dxa"/>
          </w:tcPr>
          <w:p w14:paraId="1D81B75F" w14:textId="21D2408F" w:rsidR="0172EE41" w:rsidRPr="00CC0F21" w:rsidRDefault="00985754" w:rsidP="00DF2015">
            <w:pPr>
              <w:jc w:val="both"/>
              <w:rPr>
                <w:rFonts w:cstheme="minorHAnsi"/>
                <w:szCs w:val="24"/>
              </w:rPr>
            </w:pPr>
            <w:r>
              <w:rPr>
                <w:rFonts w:cstheme="minorHAnsi"/>
                <w:szCs w:val="24"/>
              </w:rPr>
              <w:t>Milestone</w:t>
            </w:r>
          </w:p>
        </w:tc>
        <w:tc>
          <w:tcPr>
            <w:tcW w:w="4172" w:type="dxa"/>
          </w:tcPr>
          <w:p w14:paraId="3F56A66E" w14:textId="11ED0C21" w:rsidR="0172EE41" w:rsidRPr="00CC0F21" w:rsidRDefault="00985754" w:rsidP="00DF2015">
            <w:pPr>
              <w:jc w:val="both"/>
              <w:rPr>
                <w:rFonts w:cstheme="minorHAnsi"/>
                <w:szCs w:val="24"/>
              </w:rPr>
            </w:pPr>
            <w:r w:rsidRPr="00CC0F21">
              <w:rPr>
                <w:rFonts w:cstheme="minorHAnsi"/>
                <w:szCs w:val="24"/>
              </w:rPr>
              <w:t>Linear unlock of 5% per month from</w:t>
            </w:r>
            <w:r>
              <w:rPr>
                <w:rFonts w:cstheme="minorHAnsi"/>
                <w:szCs w:val="24"/>
              </w:rPr>
              <w:t xml:space="preserve"> </w:t>
            </w:r>
            <w:r w:rsidRPr="00CC0F21">
              <w:rPr>
                <w:rFonts w:cstheme="minorHAnsi"/>
                <w:szCs w:val="24"/>
              </w:rPr>
              <w:t>Obscuro Mainnet launch</w:t>
            </w:r>
          </w:p>
        </w:tc>
      </w:tr>
      <w:tr w:rsidR="00CC0F21" w:rsidRPr="00CC0F21" w14:paraId="5A24A4EF" w14:textId="77777777" w:rsidTr="00F56DBE">
        <w:trPr>
          <w:jc w:val="center"/>
        </w:trPr>
        <w:tc>
          <w:tcPr>
            <w:tcW w:w="2055" w:type="dxa"/>
          </w:tcPr>
          <w:p w14:paraId="77AE6166" w14:textId="77777777" w:rsidR="00484450" w:rsidRPr="00CC0F21" w:rsidRDefault="00484450" w:rsidP="00DF2015">
            <w:pPr>
              <w:jc w:val="both"/>
              <w:rPr>
                <w:rFonts w:cstheme="minorHAnsi"/>
              </w:rPr>
            </w:pPr>
            <w:r w:rsidRPr="00CC0F21">
              <w:rPr>
                <w:rFonts w:cstheme="minorHAnsi"/>
              </w:rPr>
              <w:t>Pre-Seed Investor</w:t>
            </w:r>
          </w:p>
        </w:tc>
        <w:tc>
          <w:tcPr>
            <w:tcW w:w="1506" w:type="dxa"/>
            <w:vMerge w:val="restart"/>
            <w:vAlign w:val="center"/>
          </w:tcPr>
          <w:p w14:paraId="77DB87AE" w14:textId="14955362" w:rsidR="00484450" w:rsidRPr="00CC0F21" w:rsidRDefault="09254920" w:rsidP="00DF2015">
            <w:pPr>
              <w:jc w:val="both"/>
              <w:rPr>
                <w:rFonts w:cstheme="minorHAnsi"/>
                <w:i/>
                <w:iCs/>
              </w:rPr>
            </w:pPr>
            <w:r w:rsidRPr="00CC0F21">
              <w:rPr>
                <w:rFonts w:cstheme="minorHAnsi"/>
                <w:i/>
                <w:iCs/>
              </w:rPr>
              <w:t>To be finalised</w:t>
            </w:r>
          </w:p>
        </w:tc>
        <w:tc>
          <w:tcPr>
            <w:tcW w:w="1553" w:type="dxa"/>
          </w:tcPr>
          <w:p w14:paraId="4E75303B" w14:textId="4174EAB7" w:rsidR="09254920" w:rsidRPr="00CC0F21" w:rsidRDefault="09254920" w:rsidP="00DF2015">
            <w:pPr>
              <w:jc w:val="both"/>
              <w:rPr>
                <w:rFonts w:cstheme="minorHAnsi"/>
                <w:szCs w:val="24"/>
              </w:rPr>
            </w:pPr>
            <w:r w:rsidRPr="00CC0F21">
              <w:rPr>
                <w:rFonts w:cstheme="minorHAnsi"/>
                <w:szCs w:val="24"/>
              </w:rPr>
              <w:t>Time</w:t>
            </w:r>
          </w:p>
        </w:tc>
        <w:tc>
          <w:tcPr>
            <w:tcW w:w="4172" w:type="dxa"/>
          </w:tcPr>
          <w:p w14:paraId="2B3CE4DC" w14:textId="2E56119E" w:rsidR="00484450" w:rsidRPr="00CC0F21" w:rsidRDefault="5B2C395C" w:rsidP="00DF2015">
            <w:pPr>
              <w:jc w:val="both"/>
              <w:rPr>
                <w:rFonts w:cstheme="minorHAnsi"/>
              </w:rPr>
            </w:pPr>
            <w:r w:rsidRPr="00CC0F21">
              <w:rPr>
                <w:rFonts w:cstheme="minorHAnsi"/>
              </w:rPr>
              <w:t xml:space="preserve">5% at TGE then monthly linear unlock after for </w:t>
            </w:r>
            <w:r w:rsidR="4AA5B429" w:rsidRPr="00CC0F21">
              <w:rPr>
                <w:rFonts w:cstheme="minorHAnsi"/>
              </w:rPr>
              <w:t>3</w:t>
            </w:r>
            <w:r w:rsidRPr="00CC0F21">
              <w:rPr>
                <w:rFonts w:cstheme="minorHAnsi"/>
              </w:rPr>
              <w:t xml:space="preserve"> year</w:t>
            </w:r>
            <w:r w:rsidR="4AA5B429" w:rsidRPr="00CC0F21">
              <w:rPr>
                <w:rFonts w:cstheme="minorHAnsi"/>
              </w:rPr>
              <w:t>s</w:t>
            </w:r>
          </w:p>
        </w:tc>
      </w:tr>
      <w:tr w:rsidR="00CC0F21" w:rsidRPr="00CC0F21" w14:paraId="4C29BE90" w14:textId="77777777" w:rsidTr="234B0F2B">
        <w:trPr>
          <w:jc w:val="center"/>
        </w:trPr>
        <w:tc>
          <w:tcPr>
            <w:tcW w:w="2055" w:type="dxa"/>
          </w:tcPr>
          <w:p w14:paraId="4AD85CEF" w14:textId="3FF5650A" w:rsidR="00484450" w:rsidRPr="00CC0F21" w:rsidRDefault="00484450" w:rsidP="00DF2015">
            <w:pPr>
              <w:jc w:val="both"/>
              <w:rPr>
                <w:rFonts w:cstheme="minorHAnsi"/>
              </w:rPr>
            </w:pPr>
            <w:commentRangeStart w:id="23"/>
            <w:r w:rsidRPr="00CC0F21">
              <w:rPr>
                <w:rFonts w:cstheme="minorHAnsi"/>
              </w:rPr>
              <w:t>Other Investors</w:t>
            </w:r>
            <w:commentRangeEnd w:id="23"/>
            <w:r w:rsidR="00C47FC9" w:rsidRPr="00CC0F21">
              <w:rPr>
                <w:rStyle w:val="CommentReference"/>
                <w:rFonts w:cstheme="minorHAnsi"/>
              </w:rPr>
              <w:commentReference w:id="23"/>
            </w:r>
          </w:p>
        </w:tc>
        <w:tc>
          <w:tcPr>
            <w:tcW w:w="1506" w:type="dxa"/>
            <w:vMerge/>
          </w:tcPr>
          <w:p w14:paraId="69721D2E" w14:textId="0775DF0D" w:rsidR="00484450" w:rsidRPr="00CC0F21" w:rsidRDefault="00484450" w:rsidP="00DF2015">
            <w:pPr>
              <w:jc w:val="both"/>
              <w:rPr>
                <w:rFonts w:cstheme="minorHAnsi"/>
              </w:rPr>
            </w:pPr>
          </w:p>
        </w:tc>
        <w:tc>
          <w:tcPr>
            <w:tcW w:w="1553" w:type="dxa"/>
          </w:tcPr>
          <w:p w14:paraId="2978C453" w14:textId="65CFFA05" w:rsidR="09254920" w:rsidRPr="00CC0F21" w:rsidRDefault="09254920" w:rsidP="00DF2015">
            <w:pPr>
              <w:jc w:val="both"/>
              <w:rPr>
                <w:rFonts w:cstheme="minorHAnsi"/>
                <w:szCs w:val="24"/>
              </w:rPr>
            </w:pPr>
            <w:r w:rsidRPr="00CC0F21">
              <w:rPr>
                <w:rFonts w:cstheme="minorHAnsi"/>
                <w:szCs w:val="24"/>
              </w:rPr>
              <w:t>Time</w:t>
            </w:r>
          </w:p>
        </w:tc>
        <w:tc>
          <w:tcPr>
            <w:tcW w:w="4172" w:type="dxa"/>
          </w:tcPr>
          <w:p w14:paraId="0FE7D6D7" w14:textId="470FEB64" w:rsidR="00484450" w:rsidRPr="00CC0F21" w:rsidRDefault="5B2C395C" w:rsidP="00DF2015">
            <w:pPr>
              <w:jc w:val="both"/>
              <w:rPr>
                <w:rFonts w:cstheme="minorHAnsi"/>
              </w:rPr>
            </w:pPr>
            <w:r w:rsidRPr="00CC0F21">
              <w:rPr>
                <w:rFonts w:cstheme="minorHAnsi"/>
              </w:rPr>
              <w:t xml:space="preserve">5% at TGE then monthly linear unlock after for </w:t>
            </w:r>
            <w:r w:rsidR="4AA5B429" w:rsidRPr="00CC0F21">
              <w:rPr>
                <w:rFonts w:cstheme="minorHAnsi"/>
              </w:rPr>
              <w:t>3</w:t>
            </w:r>
            <w:r w:rsidRPr="00CC0F21">
              <w:rPr>
                <w:rFonts w:cstheme="minorHAnsi"/>
              </w:rPr>
              <w:t xml:space="preserve"> year</w:t>
            </w:r>
            <w:r w:rsidR="4AA5B429" w:rsidRPr="00CC0F21">
              <w:rPr>
                <w:rFonts w:cstheme="minorHAnsi"/>
              </w:rPr>
              <w:t>s</w:t>
            </w:r>
          </w:p>
        </w:tc>
      </w:tr>
      <w:tr w:rsidR="003D2F96" w:rsidRPr="00CC0F21" w14:paraId="2EDFD783" w14:textId="77777777" w:rsidTr="234B0F2B">
        <w:trPr>
          <w:jc w:val="center"/>
        </w:trPr>
        <w:tc>
          <w:tcPr>
            <w:tcW w:w="2055" w:type="dxa"/>
          </w:tcPr>
          <w:p w14:paraId="78806696" w14:textId="3CC70F66" w:rsidR="005131C5" w:rsidRPr="00CC0F21" w:rsidRDefault="005131C5" w:rsidP="00DF2015">
            <w:pPr>
              <w:jc w:val="both"/>
              <w:rPr>
                <w:rFonts w:cstheme="minorHAnsi"/>
              </w:rPr>
            </w:pPr>
            <w:r w:rsidRPr="00CC0F21">
              <w:rPr>
                <w:rFonts w:cstheme="minorHAnsi"/>
              </w:rPr>
              <w:t>Core Team</w:t>
            </w:r>
          </w:p>
        </w:tc>
        <w:tc>
          <w:tcPr>
            <w:tcW w:w="1506" w:type="dxa"/>
            <w:vMerge/>
          </w:tcPr>
          <w:p w14:paraId="70EC853F" w14:textId="38F7D755" w:rsidR="005131C5" w:rsidRPr="00CC0F21" w:rsidRDefault="005131C5" w:rsidP="00DF2015">
            <w:pPr>
              <w:jc w:val="both"/>
              <w:rPr>
                <w:rFonts w:cstheme="minorHAnsi"/>
              </w:rPr>
            </w:pPr>
          </w:p>
        </w:tc>
        <w:tc>
          <w:tcPr>
            <w:tcW w:w="1553" w:type="dxa"/>
          </w:tcPr>
          <w:p w14:paraId="63B2C8F9" w14:textId="2C899108" w:rsidR="09254920" w:rsidRPr="00CC0F21" w:rsidRDefault="09254920" w:rsidP="00DF2015">
            <w:pPr>
              <w:jc w:val="both"/>
              <w:rPr>
                <w:rFonts w:cstheme="minorHAnsi"/>
                <w:szCs w:val="24"/>
              </w:rPr>
            </w:pPr>
            <w:r w:rsidRPr="00CC0F21">
              <w:rPr>
                <w:rFonts w:cstheme="minorHAnsi"/>
                <w:szCs w:val="24"/>
              </w:rPr>
              <w:t>Milestone</w:t>
            </w:r>
          </w:p>
        </w:tc>
        <w:tc>
          <w:tcPr>
            <w:tcW w:w="4172" w:type="dxa"/>
          </w:tcPr>
          <w:p w14:paraId="594A4B7F" w14:textId="3DEFDCC1" w:rsidR="00F860DE" w:rsidRPr="00CC0F21" w:rsidRDefault="104D25BE" w:rsidP="00DF2015">
            <w:pPr>
              <w:jc w:val="both"/>
              <w:rPr>
                <w:rFonts w:cstheme="minorHAnsi"/>
              </w:rPr>
            </w:pPr>
            <w:r w:rsidRPr="00CC0F21">
              <w:rPr>
                <w:rFonts w:cstheme="minorHAnsi"/>
              </w:rPr>
              <w:t xml:space="preserve">33% at </w:t>
            </w:r>
            <w:r w:rsidR="0AEEECCB" w:rsidRPr="00CC0F21">
              <w:rPr>
                <w:rFonts w:cstheme="minorHAnsi"/>
              </w:rPr>
              <w:t>Obscuro Mainnet launch</w:t>
            </w:r>
            <w:r w:rsidR="228C1585" w:rsidRPr="00CC0F21">
              <w:rPr>
                <w:rFonts w:cstheme="minorHAnsi"/>
              </w:rPr>
              <w:t xml:space="preserve"> </w:t>
            </w:r>
          </w:p>
          <w:p w14:paraId="46A1239B" w14:textId="0CC33B2B" w:rsidR="005131C5" w:rsidRPr="00CC0F21" w:rsidRDefault="2AADFF2E" w:rsidP="00DF2015">
            <w:pPr>
              <w:jc w:val="both"/>
              <w:rPr>
                <w:rFonts w:cstheme="minorHAnsi"/>
              </w:rPr>
            </w:pPr>
            <w:r w:rsidRPr="00CC0F21">
              <w:rPr>
                <w:rFonts w:cstheme="minorHAnsi"/>
              </w:rPr>
              <w:t xml:space="preserve">66% monthly </w:t>
            </w:r>
            <w:r w:rsidR="0AAAE9C5" w:rsidRPr="00CC0F21">
              <w:rPr>
                <w:rFonts w:cstheme="minorHAnsi"/>
              </w:rPr>
              <w:t xml:space="preserve">linear </w:t>
            </w:r>
            <w:r w:rsidR="7074460C" w:rsidRPr="00CC0F21">
              <w:rPr>
                <w:rFonts w:cstheme="minorHAnsi"/>
              </w:rPr>
              <w:t>unlock for 2 years</w:t>
            </w:r>
          </w:p>
        </w:tc>
      </w:tr>
    </w:tbl>
    <w:p w14:paraId="16D9B329" w14:textId="77777777" w:rsidR="005131C5" w:rsidRPr="00CC0F21" w:rsidRDefault="005131C5" w:rsidP="00DF2015">
      <w:pPr>
        <w:jc w:val="both"/>
        <w:rPr>
          <w:rFonts w:cstheme="minorHAnsi"/>
        </w:rPr>
      </w:pPr>
    </w:p>
    <w:p w14:paraId="7210E7DF" w14:textId="5FD663BC" w:rsidR="004657CE" w:rsidRPr="004657CE" w:rsidRDefault="002064DE" w:rsidP="004657CE">
      <w:pPr>
        <w:spacing w:after="0" w:line="240" w:lineRule="auto"/>
        <w:rPr>
          <w:rFonts w:ascii="Times New Roman" w:eastAsia="Times New Roman" w:hAnsi="Times New Roman" w:cs="Times New Roman"/>
          <w:szCs w:val="24"/>
          <w:lang w:eastAsia="en-GB"/>
        </w:rPr>
      </w:pPr>
      <w:r>
        <w:rPr>
          <w:noProof/>
        </w:rPr>
        <w:lastRenderedPageBreak/>
        <w:drawing>
          <wp:inline distT="0" distB="0" distL="0" distR="0" wp14:anchorId="3EBD1E54" wp14:editId="038EBC63">
            <wp:extent cx="5904230" cy="3616325"/>
            <wp:effectExtent l="0" t="0" r="1270" b="3175"/>
            <wp:docPr id="1" name="Chart 1">
              <a:extLst xmlns:a="http://schemas.openxmlformats.org/drawingml/2006/main">
                <a:ext uri="{FF2B5EF4-FFF2-40B4-BE49-F238E27FC236}">
                  <a16:creationId xmlns:a16="http://schemas.microsoft.com/office/drawing/2014/main" id="{B7E7181F-C3F8-846D-17C3-1B0B102332AA}"/>
                </a:ext>
                <a:ext uri="{147F2762-F138-4A5C-976F-8EAC2B608ADB}">
                  <a16:predDERef xmlns:a16="http://schemas.microsoft.com/office/drawing/2014/main" pred="{D80C2066-E287-A7B1-3101-C929FC5522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072444" w14:textId="0151348A" w:rsidR="59D76693" w:rsidRPr="00CC0F21" w:rsidRDefault="59D76693" w:rsidP="00DF2015">
      <w:pPr>
        <w:jc w:val="both"/>
        <w:rPr>
          <w:rFonts w:cstheme="minorHAnsi"/>
        </w:rPr>
      </w:pPr>
    </w:p>
    <w:p w14:paraId="7141D194" w14:textId="76555322" w:rsidR="00CC0F21" w:rsidRDefault="00CC0F21" w:rsidP="001A7314">
      <w:pPr>
        <w:pStyle w:val="Heading1"/>
        <w:rPr>
          <w:color w:val="auto"/>
        </w:rPr>
      </w:pPr>
      <w:bookmarkStart w:id="24" w:name="_Toc104212433"/>
      <w:r w:rsidRPr="00CC0F21">
        <w:rPr>
          <w:color w:val="auto"/>
        </w:rPr>
        <w:t xml:space="preserve">Token </w:t>
      </w:r>
      <w:r w:rsidR="00CE506F">
        <w:rPr>
          <w:color w:val="auto"/>
        </w:rPr>
        <w:t>Pricing and Yield</w:t>
      </w:r>
    </w:p>
    <w:p w14:paraId="1A325C5C" w14:textId="42A5E4A8" w:rsidR="6C0345C6" w:rsidRPr="00CC0F21" w:rsidRDefault="00CC0F21" w:rsidP="00CC0F21">
      <w:pPr>
        <w:pStyle w:val="Heading2"/>
        <w:rPr>
          <w:color w:val="auto"/>
        </w:rPr>
      </w:pPr>
      <w:r w:rsidRPr="00CC0F21">
        <w:rPr>
          <w:color w:val="auto"/>
        </w:rPr>
        <w:t xml:space="preserve">Initial Token </w:t>
      </w:r>
      <w:r w:rsidR="21CA2D5D" w:rsidRPr="00CC0F21">
        <w:rPr>
          <w:color w:val="auto"/>
        </w:rPr>
        <w:t>Price</w:t>
      </w:r>
      <w:bookmarkEnd w:id="24"/>
    </w:p>
    <w:p w14:paraId="09A9A9EF" w14:textId="337C32E4" w:rsidR="045838E4" w:rsidRPr="00CC0F21" w:rsidRDefault="045838E4" w:rsidP="00DF2015">
      <w:pPr>
        <w:jc w:val="both"/>
        <w:rPr>
          <w:rFonts w:cstheme="minorHAnsi"/>
        </w:rPr>
      </w:pPr>
      <w:r w:rsidRPr="00CC0F21">
        <w:rPr>
          <w:rFonts w:cstheme="minorHAnsi"/>
        </w:rPr>
        <w:t xml:space="preserve">Value can be thought of in many different ways and the price of OBX </w:t>
      </w:r>
      <w:r w:rsidR="7EA7EB36" w:rsidRPr="00CC0F21">
        <w:rPr>
          <w:rFonts w:cstheme="minorHAnsi"/>
        </w:rPr>
        <w:t xml:space="preserve">fulfils </w:t>
      </w:r>
      <w:r w:rsidR="301F5FBA" w:rsidRPr="00CC0F21">
        <w:rPr>
          <w:rFonts w:cstheme="minorHAnsi"/>
        </w:rPr>
        <w:t>several</w:t>
      </w:r>
      <w:r w:rsidR="7EA7EB36" w:rsidRPr="00CC0F21">
        <w:rPr>
          <w:rFonts w:cstheme="minorHAnsi"/>
        </w:rPr>
        <w:t xml:space="preserve"> requirements.</w:t>
      </w:r>
      <w:r w:rsidR="291F40B6" w:rsidRPr="00CC0F21">
        <w:rPr>
          <w:rFonts w:cstheme="minorHAnsi"/>
        </w:rPr>
        <w:t xml:space="preserve"> </w:t>
      </w:r>
      <w:r w:rsidR="7EA7EB36" w:rsidRPr="00CC0F21">
        <w:rPr>
          <w:rFonts w:cstheme="minorHAnsi"/>
        </w:rPr>
        <w:t>First</w:t>
      </w:r>
      <w:r w:rsidR="526EC2F9" w:rsidRPr="00CC0F21">
        <w:rPr>
          <w:rFonts w:cstheme="minorHAnsi"/>
        </w:rPr>
        <w:t>,</w:t>
      </w:r>
      <w:r w:rsidR="71095F6E" w:rsidRPr="00CC0F21">
        <w:rPr>
          <w:rFonts w:cstheme="minorHAnsi"/>
        </w:rPr>
        <w:t xml:space="preserve"> Obscuro node operators are re</w:t>
      </w:r>
      <w:r w:rsidR="2D09E503" w:rsidRPr="00CC0F21">
        <w:rPr>
          <w:rFonts w:cstheme="minorHAnsi"/>
        </w:rPr>
        <w:t>mun</w:t>
      </w:r>
      <w:r w:rsidR="71095F6E" w:rsidRPr="00CC0F21">
        <w:rPr>
          <w:rFonts w:cstheme="minorHAnsi"/>
        </w:rPr>
        <w:t>erated for their operational costs</w:t>
      </w:r>
      <w:r w:rsidR="526EC2F9" w:rsidRPr="00CC0F21">
        <w:rPr>
          <w:rFonts w:cstheme="minorHAnsi"/>
        </w:rPr>
        <w:t>.</w:t>
      </w:r>
    </w:p>
    <w:p w14:paraId="37B335F2" w14:textId="1507C8E4" w:rsidR="140C2795" w:rsidRPr="00CC0F21" w:rsidRDefault="140C2795" w:rsidP="00DF2015">
      <w:pPr>
        <w:jc w:val="both"/>
        <w:rPr>
          <w:rFonts w:cstheme="minorHAnsi"/>
        </w:rPr>
      </w:pPr>
      <w:r w:rsidRPr="00CC0F21">
        <w:rPr>
          <w:rFonts w:cstheme="minorHAnsi"/>
        </w:rPr>
        <w:t>Second,</w:t>
      </w:r>
      <w:r w:rsidR="71095F6E" w:rsidRPr="00CC0F21">
        <w:rPr>
          <w:rFonts w:cstheme="minorHAnsi"/>
        </w:rPr>
        <w:t xml:space="preserve"> </w:t>
      </w:r>
      <w:commentRangeStart w:id="25"/>
      <w:commentRangeEnd w:id="25"/>
      <w:r w:rsidRPr="00CC0F21">
        <w:rPr>
          <w:rStyle w:val="CommentReference"/>
          <w:rFonts w:cstheme="minorHAnsi"/>
        </w:rPr>
        <w:commentReference w:id="25"/>
      </w:r>
      <w:r w:rsidR="59419E58" w:rsidRPr="00CC0F21">
        <w:rPr>
          <w:rFonts w:cstheme="minorHAnsi"/>
        </w:rPr>
        <w:t xml:space="preserve"> </w:t>
      </w:r>
      <w:r w:rsidR="1141E8E3" w:rsidRPr="00CC0F21">
        <w:rPr>
          <w:rFonts w:cstheme="minorHAnsi"/>
        </w:rPr>
        <w:t xml:space="preserve">Obscuro’s </w:t>
      </w:r>
      <w:r w:rsidR="1879A8F8" w:rsidRPr="00CC0F21">
        <w:rPr>
          <w:rFonts w:cstheme="minorHAnsi"/>
        </w:rPr>
        <w:t>decentralisation</w:t>
      </w:r>
      <w:r w:rsidR="1141E8E3" w:rsidRPr="00CC0F21">
        <w:rPr>
          <w:rFonts w:cstheme="minorHAnsi"/>
        </w:rPr>
        <w:t xml:space="preserve"> depends, in part, on the ability to </w:t>
      </w:r>
      <w:r w:rsidR="6435B022" w:rsidRPr="00CC0F21">
        <w:rPr>
          <w:rFonts w:cstheme="minorHAnsi"/>
        </w:rPr>
        <w:t xml:space="preserve">make it economically unviable </w:t>
      </w:r>
      <w:r w:rsidR="3B0C636C" w:rsidRPr="00CC0F21">
        <w:rPr>
          <w:rFonts w:cstheme="minorHAnsi"/>
        </w:rPr>
        <w:t>to control the majority of nodes in the Obscuro network.</w:t>
      </w:r>
      <w:r w:rsidR="1141E8E3" w:rsidRPr="00CC0F21">
        <w:rPr>
          <w:rFonts w:cstheme="minorHAnsi"/>
        </w:rPr>
        <w:t xml:space="preserve"> This is achieved through a </w:t>
      </w:r>
      <w:r w:rsidR="18E59252" w:rsidRPr="00CC0F21">
        <w:rPr>
          <w:rFonts w:cstheme="minorHAnsi"/>
        </w:rPr>
        <w:t>s</w:t>
      </w:r>
      <w:r w:rsidR="1141E8E3" w:rsidRPr="00CC0F21">
        <w:rPr>
          <w:rFonts w:cstheme="minorHAnsi"/>
        </w:rPr>
        <w:t>taking model</w:t>
      </w:r>
      <w:r w:rsidR="01E5C059" w:rsidRPr="00CC0F21">
        <w:rPr>
          <w:rFonts w:cstheme="minorHAnsi"/>
        </w:rPr>
        <w:t xml:space="preserve"> where OBX is used</w:t>
      </w:r>
      <w:r w:rsidR="1141E8E3" w:rsidRPr="00CC0F21">
        <w:rPr>
          <w:rFonts w:cstheme="minorHAnsi"/>
        </w:rPr>
        <w:t>.</w:t>
      </w:r>
      <w:r w:rsidR="18E59252" w:rsidRPr="00CC0F21">
        <w:rPr>
          <w:rFonts w:cstheme="minorHAnsi"/>
        </w:rPr>
        <w:t xml:space="preserve"> Note Obscuro does not use a staking model where Aggregators win the opportunity to submit rollups based on the size of their stake. Instead Obscuro’s consensus protocol, Proof of Block Inclusion (POBI), mandates that winning Aggregators are randomly selected. This avoids Aggregators winning based on their access to wealth</w:t>
      </w:r>
      <w:r w:rsidR="64E76B08" w:rsidRPr="00CC0F21">
        <w:rPr>
          <w:rFonts w:cstheme="minorHAnsi"/>
        </w:rPr>
        <w:t xml:space="preserve"> and their ability to generate large stakes</w:t>
      </w:r>
      <w:r w:rsidR="18E59252" w:rsidRPr="00CC0F21">
        <w:rPr>
          <w:rFonts w:cstheme="minorHAnsi"/>
        </w:rPr>
        <w:t>. Additionally, delegated staking provides the opportunity for members of the Obscuro community with limited capital to engage with Obscuro.</w:t>
      </w:r>
    </w:p>
    <w:p w14:paraId="63B867F9" w14:textId="77EE3DF8" w:rsidR="4FEB6458" w:rsidRPr="00CC0F21" w:rsidRDefault="4FEB6458" w:rsidP="00DF2015">
      <w:pPr>
        <w:jc w:val="both"/>
        <w:rPr>
          <w:rFonts w:cstheme="minorHAnsi"/>
        </w:rPr>
      </w:pPr>
      <w:r w:rsidRPr="00CC0F21">
        <w:rPr>
          <w:rFonts w:cstheme="minorHAnsi"/>
        </w:rPr>
        <w:t xml:space="preserve">Third, </w:t>
      </w:r>
      <w:r w:rsidR="73AFF5FA" w:rsidRPr="00CC0F21">
        <w:rPr>
          <w:rFonts w:cstheme="minorHAnsi"/>
        </w:rPr>
        <w:t>the value early contributors bring to Obscuro to help build the momentum within the community</w:t>
      </w:r>
      <w:r w:rsidR="06EFF5E5" w:rsidRPr="00CC0F21">
        <w:rPr>
          <w:rFonts w:cstheme="minorHAnsi"/>
        </w:rPr>
        <w:t xml:space="preserve"> </w:t>
      </w:r>
      <w:r w:rsidR="791CC93C" w:rsidRPr="00CC0F21">
        <w:rPr>
          <w:rFonts w:cstheme="minorHAnsi"/>
        </w:rPr>
        <w:t>and</w:t>
      </w:r>
      <w:r w:rsidR="06EFF5E5" w:rsidRPr="00CC0F21">
        <w:rPr>
          <w:rFonts w:cstheme="minorHAnsi"/>
        </w:rPr>
        <w:t xml:space="preserve"> provide feedback on the project</w:t>
      </w:r>
      <w:r w:rsidR="791CC93C" w:rsidRPr="00CC0F21">
        <w:rPr>
          <w:rFonts w:cstheme="minorHAnsi"/>
        </w:rPr>
        <w:t xml:space="preserve"> </w:t>
      </w:r>
      <w:r w:rsidR="73AFF5FA" w:rsidRPr="00CC0F21">
        <w:rPr>
          <w:rFonts w:cstheme="minorHAnsi"/>
        </w:rPr>
        <w:t>needs to be recognised</w:t>
      </w:r>
      <w:r w:rsidR="301F5FBA" w:rsidRPr="00CC0F21">
        <w:rPr>
          <w:rFonts w:cstheme="minorHAnsi"/>
        </w:rPr>
        <w:t>.</w:t>
      </w:r>
    </w:p>
    <w:p w14:paraId="06A2FB7A" w14:textId="553F1689" w:rsidR="5B359AB7" w:rsidRPr="00CC0F21" w:rsidRDefault="5B359AB7" w:rsidP="00DF2015">
      <w:pPr>
        <w:jc w:val="both"/>
        <w:rPr>
          <w:rFonts w:cstheme="minorHAnsi"/>
        </w:rPr>
      </w:pPr>
      <w:r w:rsidRPr="00CC0F21">
        <w:rPr>
          <w:rFonts w:cstheme="minorHAnsi"/>
        </w:rPr>
        <w:t xml:space="preserve">A </w:t>
      </w:r>
      <w:commentRangeStart w:id="26"/>
      <w:commentRangeStart w:id="27"/>
      <w:r w:rsidRPr="00CC0F21">
        <w:rPr>
          <w:rFonts w:cstheme="minorHAnsi"/>
        </w:rPr>
        <w:t xml:space="preserve">Liquidity </w:t>
      </w:r>
      <w:commentRangeStart w:id="28"/>
      <w:r w:rsidRPr="00CC0F21">
        <w:rPr>
          <w:rFonts w:cstheme="minorHAnsi"/>
        </w:rPr>
        <w:t>Bootstrap</w:t>
      </w:r>
      <w:commentRangeEnd w:id="28"/>
      <w:r w:rsidRPr="00CC0F21">
        <w:rPr>
          <w:rStyle w:val="CommentReference"/>
          <w:rFonts w:cstheme="minorHAnsi"/>
        </w:rPr>
        <w:commentReference w:id="28"/>
      </w:r>
      <w:r w:rsidRPr="00CC0F21">
        <w:rPr>
          <w:rFonts w:cstheme="minorHAnsi"/>
        </w:rPr>
        <w:t xml:space="preserve"> Auction </w:t>
      </w:r>
      <w:commentRangeEnd w:id="26"/>
      <w:r w:rsidRPr="00CC0F21">
        <w:rPr>
          <w:rStyle w:val="CommentReference"/>
          <w:rFonts w:cstheme="minorHAnsi"/>
        </w:rPr>
        <w:commentReference w:id="26"/>
      </w:r>
      <w:commentRangeEnd w:id="27"/>
      <w:r w:rsidRPr="00CC0F21">
        <w:rPr>
          <w:rStyle w:val="CommentReference"/>
          <w:rFonts w:cstheme="minorHAnsi"/>
        </w:rPr>
        <w:commentReference w:id="27"/>
      </w:r>
      <w:commentRangeStart w:id="29"/>
      <w:r w:rsidRPr="00CC0F21">
        <w:rPr>
          <w:rFonts w:cstheme="minorHAnsi"/>
        </w:rPr>
        <w:t xml:space="preserve">(LBA) </w:t>
      </w:r>
      <w:commentRangeEnd w:id="29"/>
      <w:r w:rsidRPr="00CC0F21">
        <w:rPr>
          <w:rStyle w:val="CommentReference"/>
          <w:rFonts w:cstheme="minorHAnsi"/>
        </w:rPr>
        <w:commentReference w:id="29"/>
      </w:r>
      <w:r w:rsidRPr="00CC0F21">
        <w:rPr>
          <w:rFonts w:cstheme="minorHAnsi"/>
        </w:rPr>
        <w:t>will be used for price discovery</w:t>
      </w:r>
      <w:r w:rsidR="3383A8AE" w:rsidRPr="00CC0F21">
        <w:rPr>
          <w:rFonts w:cstheme="minorHAnsi"/>
        </w:rPr>
        <w:t xml:space="preserve"> because it is a fair, decentralised</w:t>
      </w:r>
      <w:r w:rsidR="0F6D3199" w:rsidRPr="00CC0F21">
        <w:rPr>
          <w:rFonts w:cstheme="minorHAnsi"/>
        </w:rPr>
        <w:t xml:space="preserve"> and permissionless mechanism to establish the price of OBX</w:t>
      </w:r>
      <w:r w:rsidR="7C74F3A9" w:rsidRPr="00CC0F21">
        <w:rPr>
          <w:rFonts w:cstheme="minorHAnsi"/>
        </w:rPr>
        <w:t xml:space="preserve"> very early in the token’s lifecycle</w:t>
      </w:r>
      <w:r w:rsidR="4DCD98AB" w:rsidRPr="00CC0F21">
        <w:rPr>
          <w:rFonts w:cstheme="minorHAnsi"/>
        </w:rPr>
        <w:t xml:space="preserve">. </w:t>
      </w:r>
      <w:r w:rsidR="41F47822" w:rsidRPr="00CC0F21">
        <w:rPr>
          <w:rFonts w:cstheme="minorHAnsi"/>
        </w:rPr>
        <w:t>Rather than using an AMM</w:t>
      </w:r>
      <w:r w:rsidR="087A9367" w:rsidRPr="00CC0F21">
        <w:rPr>
          <w:rFonts w:cstheme="minorHAnsi"/>
        </w:rPr>
        <w:t>,</w:t>
      </w:r>
      <w:r w:rsidR="41F47822" w:rsidRPr="00CC0F21">
        <w:rPr>
          <w:rFonts w:cstheme="minorHAnsi"/>
        </w:rPr>
        <w:t xml:space="preserve"> the Obscuro community set the price for OBX. </w:t>
      </w:r>
      <w:r w:rsidR="781ED802" w:rsidRPr="00CC0F21">
        <w:rPr>
          <w:rFonts w:cstheme="minorHAnsi"/>
        </w:rPr>
        <w:t>The</w:t>
      </w:r>
      <w:r w:rsidR="70B186C7" w:rsidRPr="00CC0F21">
        <w:rPr>
          <w:rFonts w:cstheme="minorHAnsi"/>
        </w:rPr>
        <w:t xml:space="preserve"> </w:t>
      </w:r>
      <w:r w:rsidR="4D94BB7C" w:rsidRPr="00CC0F21">
        <w:rPr>
          <w:rFonts w:cstheme="minorHAnsi"/>
        </w:rPr>
        <w:t xml:space="preserve">liquidity </w:t>
      </w:r>
      <w:r w:rsidR="4BC3B97A" w:rsidRPr="00CC0F21">
        <w:rPr>
          <w:rFonts w:cstheme="minorHAnsi"/>
        </w:rPr>
        <w:t xml:space="preserve">auction </w:t>
      </w:r>
      <w:r w:rsidR="4D94BB7C" w:rsidRPr="00CC0F21">
        <w:rPr>
          <w:rFonts w:cstheme="minorHAnsi"/>
        </w:rPr>
        <w:t xml:space="preserve">pool </w:t>
      </w:r>
      <w:r w:rsidR="781ED802" w:rsidRPr="00CC0F21">
        <w:rPr>
          <w:rFonts w:cstheme="minorHAnsi"/>
        </w:rPr>
        <w:t xml:space="preserve">for the auction will be initialised </w:t>
      </w:r>
      <w:r w:rsidR="4D94BB7C" w:rsidRPr="00CC0F21">
        <w:rPr>
          <w:rFonts w:cstheme="minorHAnsi"/>
        </w:rPr>
        <w:t xml:space="preserve">with a small percentage </w:t>
      </w:r>
      <w:r w:rsidR="6D40AD2F" w:rsidRPr="00CC0F21">
        <w:rPr>
          <w:rFonts w:cstheme="minorHAnsi"/>
        </w:rPr>
        <w:t xml:space="preserve">of tokens from </w:t>
      </w:r>
      <w:r w:rsidR="6D40AD2F" w:rsidRPr="00CC0F21">
        <w:rPr>
          <w:rFonts w:cstheme="minorHAnsi"/>
        </w:rPr>
        <w:lastRenderedPageBreak/>
        <w:t xml:space="preserve">the Public Sale allocation </w:t>
      </w:r>
      <w:r w:rsidR="43A64471" w:rsidRPr="00CC0F21">
        <w:rPr>
          <w:rFonts w:cstheme="minorHAnsi"/>
        </w:rPr>
        <w:t xml:space="preserve">being provided to </w:t>
      </w:r>
      <w:r w:rsidR="04CD103C" w:rsidRPr="00CC0F21">
        <w:rPr>
          <w:rFonts w:cstheme="minorHAnsi"/>
        </w:rPr>
        <w:t>one side of a stablecoin pair</w:t>
      </w:r>
      <w:r w:rsidR="32C54F74" w:rsidRPr="00CC0F21">
        <w:rPr>
          <w:rFonts w:cstheme="minorHAnsi"/>
        </w:rPr>
        <w:t>.</w:t>
      </w:r>
      <w:r w:rsidR="04CD103C" w:rsidRPr="00CC0F21">
        <w:rPr>
          <w:rFonts w:cstheme="minorHAnsi"/>
        </w:rPr>
        <w:t xml:space="preserve"> </w:t>
      </w:r>
      <w:r w:rsidR="42E3D788" w:rsidRPr="00CC0F21">
        <w:rPr>
          <w:rFonts w:cstheme="minorHAnsi"/>
        </w:rPr>
        <w:t>Non-OBX holders can then come in and commit stablecoin</w:t>
      </w:r>
      <w:r w:rsidR="277D49E5" w:rsidRPr="00CC0F21">
        <w:rPr>
          <w:rFonts w:cstheme="minorHAnsi"/>
        </w:rPr>
        <w:t>, like USDT,</w:t>
      </w:r>
      <w:r w:rsidR="42E3D788" w:rsidRPr="00CC0F21">
        <w:rPr>
          <w:rFonts w:cstheme="minorHAnsi"/>
        </w:rPr>
        <w:t xml:space="preserve"> into this liquidity </w:t>
      </w:r>
      <w:r w:rsidR="4BC3B97A" w:rsidRPr="00CC0F21">
        <w:rPr>
          <w:rFonts w:cstheme="minorHAnsi"/>
        </w:rPr>
        <w:t xml:space="preserve">auction </w:t>
      </w:r>
      <w:r w:rsidR="42E3D788" w:rsidRPr="00CC0F21">
        <w:rPr>
          <w:rFonts w:cstheme="minorHAnsi"/>
        </w:rPr>
        <w:t xml:space="preserve">pool </w:t>
      </w:r>
      <w:r w:rsidR="13D928D7" w:rsidRPr="00CC0F21">
        <w:rPr>
          <w:rFonts w:cstheme="minorHAnsi"/>
        </w:rPr>
        <w:t>thereby indicating a buy of</w:t>
      </w:r>
      <w:r w:rsidR="42E3D788" w:rsidRPr="00CC0F21">
        <w:rPr>
          <w:rFonts w:cstheme="minorHAnsi"/>
        </w:rPr>
        <w:t xml:space="preserve"> OBX. At the end of a pre-defined time period the ratio of OBX to stablecoins </w:t>
      </w:r>
      <w:r w:rsidR="23A9F4AA" w:rsidRPr="00CC0F21">
        <w:rPr>
          <w:rFonts w:cstheme="minorHAnsi"/>
        </w:rPr>
        <w:t xml:space="preserve">in the liquidity </w:t>
      </w:r>
      <w:r w:rsidR="3D574D56" w:rsidRPr="00CC0F21">
        <w:rPr>
          <w:rFonts w:cstheme="minorHAnsi"/>
        </w:rPr>
        <w:t xml:space="preserve">auction </w:t>
      </w:r>
      <w:r w:rsidR="23A9F4AA" w:rsidRPr="00CC0F21">
        <w:rPr>
          <w:rFonts w:cstheme="minorHAnsi"/>
        </w:rPr>
        <w:t xml:space="preserve">pool </w:t>
      </w:r>
      <w:r w:rsidR="42E3D788" w:rsidRPr="00CC0F21">
        <w:rPr>
          <w:rFonts w:cstheme="minorHAnsi"/>
        </w:rPr>
        <w:t>determines the final</w:t>
      </w:r>
      <w:r w:rsidR="7CB21A8D" w:rsidRPr="00CC0F21">
        <w:rPr>
          <w:rFonts w:cstheme="minorHAnsi"/>
        </w:rPr>
        <w:t xml:space="preserve"> Public Sale</w:t>
      </w:r>
      <w:r w:rsidR="42E3D788" w:rsidRPr="00CC0F21">
        <w:rPr>
          <w:rFonts w:cstheme="minorHAnsi"/>
        </w:rPr>
        <w:t xml:space="preserve"> price of OBX</w:t>
      </w:r>
      <w:r w:rsidR="05D28BDF" w:rsidRPr="00CC0F21">
        <w:rPr>
          <w:rFonts w:cstheme="minorHAnsi"/>
        </w:rPr>
        <w:t>.</w:t>
      </w:r>
      <w:r w:rsidR="36711E80" w:rsidRPr="00CC0F21">
        <w:rPr>
          <w:rFonts w:cstheme="minorHAnsi"/>
        </w:rPr>
        <w:t xml:space="preserve"> Stablecoin depositors receive </w:t>
      </w:r>
      <w:r w:rsidR="364C65BE" w:rsidRPr="00CC0F21">
        <w:rPr>
          <w:rFonts w:cstheme="minorHAnsi"/>
        </w:rPr>
        <w:t xml:space="preserve">the number of OBX tokens according to the stablecoin-equivalent price. For example if </w:t>
      </w:r>
      <w:r w:rsidR="66F79186" w:rsidRPr="00CC0F21">
        <w:rPr>
          <w:rFonts w:cstheme="minorHAnsi"/>
        </w:rPr>
        <w:t>someone</w:t>
      </w:r>
      <w:r w:rsidR="4CA721E5" w:rsidRPr="00CC0F21">
        <w:rPr>
          <w:rFonts w:cstheme="minorHAnsi"/>
        </w:rPr>
        <w:t xml:space="preserve"> has a final</w:t>
      </w:r>
      <w:r w:rsidR="66F79186" w:rsidRPr="00CC0F21">
        <w:rPr>
          <w:rFonts w:cstheme="minorHAnsi"/>
        </w:rPr>
        <w:t xml:space="preserve"> deposit</w:t>
      </w:r>
      <w:r w:rsidR="4CA721E5" w:rsidRPr="00CC0F21">
        <w:rPr>
          <w:rFonts w:cstheme="minorHAnsi"/>
        </w:rPr>
        <w:t xml:space="preserve"> of</w:t>
      </w:r>
      <w:r w:rsidR="66F79186" w:rsidRPr="00CC0F21">
        <w:rPr>
          <w:rFonts w:cstheme="minorHAnsi"/>
        </w:rPr>
        <w:t xml:space="preserve"> 100 USDT and the final price for OBX is </w:t>
      </w:r>
      <w:r w:rsidR="4CA721E5" w:rsidRPr="00CC0F21">
        <w:rPr>
          <w:rFonts w:cstheme="minorHAnsi"/>
        </w:rPr>
        <w:t xml:space="preserve">0.1 </w:t>
      </w:r>
      <w:r w:rsidR="66F79186" w:rsidRPr="00CC0F21">
        <w:rPr>
          <w:rFonts w:cstheme="minorHAnsi"/>
        </w:rPr>
        <w:t>USDT, they will receive 100</w:t>
      </w:r>
      <w:r w:rsidR="4CA721E5" w:rsidRPr="00CC0F21">
        <w:rPr>
          <w:rFonts w:cstheme="minorHAnsi"/>
        </w:rPr>
        <w:t>0</w:t>
      </w:r>
      <w:r w:rsidR="66F79186" w:rsidRPr="00CC0F21">
        <w:rPr>
          <w:rFonts w:cstheme="minorHAnsi"/>
        </w:rPr>
        <w:t xml:space="preserve"> OBX.</w:t>
      </w:r>
    </w:p>
    <w:p w14:paraId="1774F6D7" w14:textId="1DB0EEBF" w:rsidR="7BBD25AC" w:rsidRPr="00CC0F21" w:rsidRDefault="7BBD25AC" w:rsidP="00DF2015">
      <w:pPr>
        <w:jc w:val="both"/>
        <w:rPr>
          <w:rFonts w:cstheme="minorHAnsi"/>
        </w:rPr>
      </w:pPr>
      <w:r w:rsidRPr="00CC0F21">
        <w:rPr>
          <w:rFonts w:cstheme="minorHAnsi"/>
        </w:rPr>
        <w:t>A</w:t>
      </w:r>
      <w:r w:rsidR="2BF4C157" w:rsidRPr="00CC0F21">
        <w:rPr>
          <w:rFonts w:cstheme="minorHAnsi"/>
        </w:rPr>
        <w:t>n a</w:t>
      </w:r>
      <w:r w:rsidRPr="00CC0F21">
        <w:rPr>
          <w:rFonts w:cstheme="minorHAnsi"/>
        </w:rPr>
        <w:t xml:space="preserve">dditional mechanism </w:t>
      </w:r>
      <w:r w:rsidR="2BF4C157" w:rsidRPr="00CC0F21">
        <w:rPr>
          <w:rFonts w:cstheme="minorHAnsi"/>
        </w:rPr>
        <w:t xml:space="preserve">to progressively limit </w:t>
      </w:r>
      <w:r w:rsidR="693CC9AD" w:rsidRPr="00CC0F21">
        <w:rPr>
          <w:rFonts w:cstheme="minorHAnsi"/>
        </w:rPr>
        <w:t xml:space="preserve">the withdrawal amounts during the last days of the </w:t>
      </w:r>
      <w:r w:rsidR="33DFEDAC" w:rsidRPr="00CC0F21">
        <w:rPr>
          <w:rFonts w:cstheme="minorHAnsi"/>
        </w:rPr>
        <w:t>LBA</w:t>
      </w:r>
      <w:r w:rsidR="693CC9AD" w:rsidRPr="00CC0F21">
        <w:rPr>
          <w:rFonts w:cstheme="minorHAnsi"/>
        </w:rPr>
        <w:t xml:space="preserve"> </w:t>
      </w:r>
      <w:r w:rsidRPr="00CC0F21">
        <w:rPr>
          <w:rFonts w:cstheme="minorHAnsi"/>
        </w:rPr>
        <w:t>reduce</w:t>
      </w:r>
      <w:r w:rsidR="2BF4C157" w:rsidRPr="00CC0F21">
        <w:rPr>
          <w:rFonts w:cstheme="minorHAnsi"/>
        </w:rPr>
        <w:t>s</w:t>
      </w:r>
      <w:r w:rsidRPr="00CC0F21">
        <w:rPr>
          <w:rFonts w:cstheme="minorHAnsi"/>
        </w:rPr>
        <w:t xml:space="preserve"> the risk </w:t>
      </w:r>
      <w:r w:rsidR="1A2D3121" w:rsidRPr="00CC0F21">
        <w:rPr>
          <w:rFonts w:cstheme="minorHAnsi"/>
        </w:rPr>
        <w:t xml:space="preserve">of </w:t>
      </w:r>
      <w:r w:rsidR="17FCB630" w:rsidRPr="00CC0F21">
        <w:rPr>
          <w:rFonts w:cstheme="minorHAnsi"/>
        </w:rPr>
        <w:t xml:space="preserve">whales disrupting the </w:t>
      </w:r>
      <w:r w:rsidR="012F9325" w:rsidRPr="00CC0F21">
        <w:rPr>
          <w:rFonts w:cstheme="minorHAnsi"/>
        </w:rPr>
        <w:t>fairness of the auction</w:t>
      </w:r>
      <w:r w:rsidR="0DB30D88" w:rsidRPr="00CC0F21">
        <w:rPr>
          <w:rFonts w:cstheme="minorHAnsi"/>
        </w:rPr>
        <w:t>. This is designed to prevent</w:t>
      </w:r>
      <w:r w:rsidR="29229E2C" w:rsidRPr="00CC0F21">
        <w:rPr>
          <w:rFonts w:cstheme="minorHAnsi"/>
        </w:rPr>
        <w:t xml:space="preserve"> whales inflating</w:t>
      </w:r>
      <w:r w:rsidR="4B244288" w:rsidRPr="00CC0F21">
        <w:rPr>
          <w:rFonts w:cstheme="minorHAnsi"/>
        </w:rPr>
        <w:t xml:space="preserve"> the</w:t>
      </w:r>
      <w:r w:rsidR="29229E2C" w:rsidRPr="00CC0F21">
        <w:rPr>
          <w:rFonts w:cstheme="minorHAnsi"/>
        </w:rPr>
        <w:t xml:space="preserve"> token price early in the </w:t>
      </w:r>
      <w:r w:rsidR="33DFEDAC" w:rsidRPr="00CC0F21">
        <w:rPr>
          <w:rFonts w:cstheme="minorHAnsi"/>
        </w:rPr>
        <w:t>LBA</w:t>
      </w:r>
      <w:r w:rsidR="29229E2C" w:rsidRPr="00CC0F21">
        <w:rPr>
          <w:rFonts w:cstheme="minorHAnsi"/>
        </w:rPr>
        <w:t xml:space="preserve"> by </w:t>
      </w:r>
      <w:r w:rsidR="20B22E21" w:rsidRPr="00CC0F21">
        <w:rPr>
          <w:rFonts w:cstheme="minorHAnsi"/>
        </w:rPr>
        <w:t xml:space="preserve">depositing a large amount of stablecoin into the </w:t>
      </w:r>
      <w:r w:rsidR="2CAA4D0C" w:rsidRPr="00CC0F21">
        <w:rPr>
          <w:rFonts w:cstheme="minorHAnsi"/>
        </w:rPr>
        <w:t xml:space="preserve">liquidity </w:t>
      </w:r>
      <w:r w:rsidR="20B22E21" w:rsidRPr="00CC0F21">
        <w:rPr>
          <w:rFonts w:cstheme="minorHAnsi"/>
        </w:rPr>
        <w:t>pool</w:t>
      </w:r>
      <w:r w:rsidR="04A12A4E" w:rsidRPr="00CC0F21">
        <w:rPr>
          <w:rFonts w:cstheme="minorHAnsi"/>
        </w:rPr>
        <w:t xml:space="preserve"> with the intention of </w:t>
      </w:r>
      <w:r w:rsidR="2F14E74C" w:rsidRPr="00CC0F21">
        <w:rPr>
          <w:rFonts w:cstheme="minorHAnsi"/>
        </w:rPr>
        <w:t>withdraw</w:t>
      </w:r>
      <w:r w:rsidR="04A12A4E" w:rsidRPr="00CC0F21">
        <w:rPr>
          <w:rFonts w:cstheme="minorHAnsi"/>
        </w:rPr>
        <w:t>ing</w:t>
      </w:r>
      <w:r w:rsidR="2F14E74C" w:rsidRPr="00CC0F21">
        <w:rPr>
          <w:rFonts w:cstheme="minorHAnsi"/>
        </w:rPr>
        <w:t xml:space="preserve"> </w:t>
      </w:r>
      <w:r w:rsidR="04A12A4E" w:rsidRPr="00CC0F21">
        <w:rPr>
          <w:rFonts w:cstheme="minorHAnsi"/>
        </w:rPr>
        <w:t xml:space="preserve">a </w:t>
      </w:r>
      <w:r w:rsidR="2F14E74C" w:rsidRPr="00CC0F21">
        <w:rPr>
          <w:rFonts w:cstheme="minorHAnsi"/>
        </w:rPr>
        <w:t>significant amount of</w:t>
      </w:r>
      <w:r w:rsidR="248F519C" w:rsidRPr="00CC0F21">
        <w:rPr>
          <w:rFonts w:cstheme="minorHAnsi"/>
        </w:rPr>
        <w:t xml:space="preserve"> </w:t>
      </w:r>
      <w:r w:rsidR="04A12A4E" w:rsidRPr="00CC0F21">
        <w:rPr>
          <w:rFonts w:cstheme="minorHAnsi"/>
        </w:rPr>
        <w:t xml:space="preserve">their </w:t>
      </w:r>
      <w:r w:rsidR="248F519C" w:rsidRPr="00CC0F21">
        <w:rPr>
          <w:rFonts w:cstheme="minorHAnsi"/>
        </w:rPr>
        <w:t>stablecoin</w:t>
      </w:r>
      <w:r w:rsidR="2F14E74C" w:rsidRPr="00CC0F21">
        <w:rPr>
          <w:rFonts w:cstheme="minorHAnsi"/>
        </w:rPr>
        <w:t xml:space="preserve"> deposit</w:t>
      </w:r>
      <w:r w:rsidR="248F519C" w:rsidRPr="00CC0F21">
        <w:rPr>
          <w:rFonts w:cstheme="minorHAnsi"/>
        </w:rPr>
        <w:t>s</w:t>
      </w:r>
      <w:r w:rsidR="2F14E74C" w:rsidRPr="00CC0F21">
        <w:rPr>
          <w:rFonts w:cstheme="minorHAnsi"/>
        </w:rPr>
        <w:t xml:space="preserve"> at the last minute</w:t>
      </w:r>
      <w:r w:rsidR="4B244288" w:rsidRPr="00CC0F21">
        <w:rPr>
          <w:rFonts w:cstheme="minorHAnsi"/>
        </w:rPr>
        <w:t xml:space="preserve"> causing the price to fix artificially high.</w:t>
      </w:r>
      <w:r w:rsidRPr="00CC0F21">
        <w:rPr>
          <w:rStyle w:val="FootnoteReference"/>
          <w:rFonts w:cstheme="minorHAnsi"/>
        </w:rPr>
        <w:footnoteReference w:id="2"/>
      </w:r>
    </w:p>
    <w:p w14:paraId="2E5206E5" w14:textId="39562D18" w:rsidR="09254920" w:rsidRDefault="34D18B10" w:rsidP="00DF2015">
      <w:pPr>
        <w:jc w:val="both"/>
        <w:rPr>
          <w:rFonts w:cstheme="minorHAnsi"/>
        </w:rPr>
      </w:pPr>
      <w:r w:rsidRPr="00CC0F21">
        <w:rPr>
          <w:rFonts w:cstheme="minorHAnsi"/>
        </w:rPr>
        <w:t xml:space="preserve">Whitelist tokens will be excluded from the Public Sale. </w:t>
      </w:r>
      <w:r w:rsidR="64D3ACEB" w:rsidRPr="00CC0F21">
        <w:rPr>
          <w:rFonts w:cstheme="minorHAnsi"/>
        </w:rPr>
        <w:t>A vesting schedule</w:t>
      </w:r>
      <w:r w:rsidR="6C00F128" w:rsidRPr="00CC0F21">
        <w:rPr>
          <w:rFonts w:cstheme="minorHAnsi"/>
        </w:rPr>
        <w:t xml:space="preserve"> helps</w:t>
      </w:r>
      <w:r w:rsidR="64D3ACEB" w:rsidRPr="00CC0F21">
        <w:rPr>
          <w:rFonts w:cstheme="minorHAnsi"/>
        </w:rPr>
        <w:t xml:space="preserve"> mitigate downward pressure on the token price</w:t>
      </w:r>
      <w:r w:rsidR="6C00F128" w:rsidRPr="00CC0F21">
        <w:rPr>
          <w:rFonts w:cstheme="minorHAnsi"/>
        </w:rPr>
        <w:t xml:space="preserve"> by Whitelist members </w:t>
      </w:r>
      <w:r w:rsidR="1DBB80A1" w:rsidRPr="00CC0F21">
        <w:rPr>
          <w:rFonts w:cstheme="minorHAnsi"/>
        </w:rPr>
        <w:t xml:space="preserve">trying to </w:t>
      </w:r>
      <w:r w:rsidR="6C00F128" w:rsidRPr="00CC0F21">
        <w:rPr>
          <w:rFonts w:cstheme="minorHAnsi"/>
        </w:rPr>
        <w:t>gain an economic advantage.</w:t>
      </w:r>
    </w:p>
    <w:p w14:paraId="38EA7001" w14:textId="4511C022" w:rsidR="00D67E03" w:rsidRDefault="00D67E03" w:rsidP="00D67E03">
      <w:pPr>
        <w:pStyle w:val="Heading2"/>
      </w:pPr>
      <w:r>
        <w:t>Liquidity Pools</w:t>
      </w:r>
    </w:p>
    <w:p w14:paraId="2EF5C1D4" w14:textId="66D08913" w:rsidR="00D67E03" w:rsidRDefault="000537FC" w:rsidP="00DF2015">
      <w:pPr>
        <w:jc w:val="both"/>
        <w:rPr>
          <w:rFonts w:cstheme="minorHAnsi"/>
        </w:rPr>
      </w:pPr>
      <w:r>
        <w:rPr>
          <w:rFonts w:cstheme="minorHAnsi"/>
        </w:rPr>
        <w:t xml:space="preserve">With OBX being a native token to Obscuro Mainnet there is a </w:t>
      </w:r>
      <w:r w:rsidR="00204C5A">
        <w:rPr>
          <w:rFonts w:cstheme="minorHAnsi"/>
        </w:rPr>
        <w:t xml:space="preserve">requirement to exchange OBX for ETH </w:t>
      </w:r>
      <w:r w:rsidR="00A70807">
        <w:rPr>
          <w:rFonts w:cstheme="minorHAnsi"/>
        </w:rPr>
        <w:t xml:space="preserve">in order </w:t>
      </w:r>
      <w:r w:rsidR="00204C5A">
        <w:rPr>
          <w:rFonts w:cstheme="minorHAnsi"/>
        </w:rPr>
        <w:t xml:space="preserve">to pay for the rollups submitted to Ethereum. </w:t>
      </w:r>
      <w:r w:rsidR="002C045E">
        <w:rPr>
          <w:rFonts w:cstheme="minorHAnsi"/>
        </w:rPr>
        <w:t>This creates a</w:t>
      </w:r>
      <w:r w:rsidR="00EF7966">
        <w:rPr>
          <w:rFonts w:cstheme="minorHAnsi"/>
        </w:rPr>
        <w:t xml:space="preserve"> need for an</w:t>
      </w:r>
      <w:r w:rsidR="002C045E">
        <w:rPr>
          <w:rFonts w:cstheme="minorHAnsi"/>
        </w:rPr>
        <w:t xml:space="preserve"> OBX/ETH </w:t>
      </w:r>
      <w:r w:rsidR="008E225D">
        <w:rPr>
          <w:rFonts w:cstheme="minorHAnsi"/>
        </w:rPr>
        <w:t xml:space="preserve">trading </w:t>
      </w:r>
      <w:r w:rsidR="002C045E">
        <w:rPr>
          <w:rFonts w:cstheme="minorHAnsi"/>
        </w:rPr>
        <w:t>pair.</w:t>
      </w:r>
      <w:r w:rsidR="008E225D">
        <w:rPr>
          <w:rFonts w:cstheme="minorHAnsi"/>
        </w:rPr>
        <w:t xml:space="preserve"> It is </w:t>
      </w:r>
      <w:r w:rsidR="00E52458">
        <w:rPr>
          <w:rFonts w:cstheme="minorHAnsi"/>
        </w:rPr>
        <w:t xml:space="preserve">desirable for the OBX/ETH exchange rate to be as stable as possible </w:t>
      </w:r>
      <w:r w:rsidR="00E40641">
        <w:rPr>
          <w:rFonts w:cstheme="minorHAnsi"/>
        </w:rPr>
        <w:t xml:space="preserve">so </w:t>
      </w:r>
      <w:r w:rsidR="0086241F">
        <w:rPr>
          <w:rFonts w:cstheme="minorHAnsi"/>
        </w:rPr>
        <w:t xml:space="preserve">rollup costs in terms of OBX remain stable </w:t>
      </w:r>
      <w:r w:rsidR="00A70807">
        <w:rPr>
          <w:rFonts w:cstheme="minorHAnsi"/>
        </w:rPr>
        <w:t>which in turn leads</w:t>
      </w:r>
      <w:r w:rsidR="0086241F">
        <w:rPr>
          <w:rFonts w:cstheme="minorHAnsi"/>
        </w:rPr>
        <w:t xml:space="preserve"> to a</w:t>
      </w:r>
      <w:r w:rsidR="00E40641">
        <w:rPr>
          <w:rFonts w:cstheme="minorHAnsi"/>
        </w:rPr>
        <w:t xml:space="preserve"> more accurate and reliabl</w:t>
      </w:r>
      <w:r w:rsidR="0086241F">
        <w:rPr>
          <w:rFonts w:cstheme="minorHAnsi"/>
        </w:rPr>
        <w:t>e</w:t>
      </w:r>
      <w:r w:rsidR="00E40641">
        <w:rPr>
          <w:rFonts w:cstheme="minorHAnsi"/>
        </w:rPr>
        <w:t xml:space="preserve"> determin</w:t>
      </w:r>
      <w:r w:rsidR="0086241F">
        <w:rPr>
          <w:rFonts w:cstheme="minorHAnsi"/>
        </w:rPr>
        <w:t xml:space="preserve">ation of transaction fees. </w:t>
      </w:r>
      <w:r w:rsidR="007730A3">
        <w:rPr>
          <w:rFonts w:cstheme="minorHAnsi"/>
        </w:rPr>
        <w:t xml:space="preserve">This is a better experience for </w:t>
      </w:r>
      <w:r w:rsidR="001A2A44">
        <w:rPr>
          <w:rFonts w:cstheme="minorHAnsi"/>
        </w:rPr>
        <w:t xml:space="preserve">network </w:t>
      </w:r>
      <w:r w:rsidR="007730A3">
        <w:rPr>
          <w:rFonts w:cstheme="minorHAnsi"/>
        </w:rPr>
        <w:t>participants.</w:t>
      </w:r>
    </w:p>
    <w:p w14:paraId="624EB836" w14:textId="1E57DB11" w:rsidR="007730A3" w:rsidRPr="00CC0F21" w:rsidRDefault="007B1608" w:rsidP="00DF2015">
      <w:pPr>
        <w:jc w:val="both"/>
        <w:rPr>
          <w:rFonts w:cstheme="minorHAnsi"/>
        </w:rPr>
      </w:pPr>
      <w:r>
        <w:rPr>
          <w:rFonts w:cstheme="minorHAnsi"/>
        </w:rPr>
        <w:t xml:space="preserve">The more liquidity a trading pair has the </w:t>
      </w:r>
      <w:r w:rsidR="00396525">
        <w:rPr>
          <w:rFonts w:cstheme="minorHAnsi"/>
        </w:rPr>
        <w:t>tighter</w:t>
      </w:r>
      <w:r w:rsidR="00AF4D43">
        <w:rPr>
          <w:rFonts w:cstheme="minorHAnsi"/>
        </w:rPr>
        <w:t xml:space="preserve"> the gap between </w:t>
      </w:r>
      <w:r w:rsidR="00396525">
        <w:rPr>
          <w:rFonts w:cstheme="minorHAnsi"/>
        </w:rPr>
        <w:t xml:space="preserve">offers to exchange OBX for ETH therefore the </w:t>
      </w:r>
      <w:r>
        <w:rPr>
          <w:rFonts w:cstheme="minorHAnsi"/>
        </w:rPr>
        <w:t xml:space="preserve">more stable the exchange rate. Liquidity pools </w:t>
      </w:r>
      <w:r w:rsidR="00A07F35">
        <w:rPr>
          <w:rFonts w:cstheme="minorHAnsi"/>
        </w:rPr>
        <w:t>are a means of creating deep liquidity.</w:t>
      </w:r>
      <w:r w:rsidR="00331EC8">
        <w:rPr>
          <w:rFonts w:cstheme="minorHAnsi"/>
        </w:rPr>
        <w:t xml:space="preserve"> It also means participants can quickly </w:t>
      </w:r>
      <w:r w:rsidR="00CC7FC1">
        <w:rPr>
          <w:rFonts w:cstheme="minorHAnsi"/>
        </w:rPr>
        <w:t>convert OBX to ETH if they so wish.</w:t>
      </w:r>
      <w:r w:rsidR="00B65B44">
        <w:rPr>
          <w:rFonts w:cstheme="minorHAnsi"/>
        </w:rPr>
        <w:t xml:space="preserve"> OBX liquidity pools ar</w:t>
      </w:r>
      <w:r w:rsidR="00E72C83">
        <w:rPr>
          <w:rFonts w:cstheme="minorHAnsi"/>
        </w:rPr>
        <w:t xml:space="preserve">e created by the Obscuro Foundation and </w:t>
      </w:r>
      <w:r w:rsidR="000163AF">
        <w:rPr>
          <w:rFonts w:cstheme="minorHAnsi"/>
        </w:rPr>
        <w:t>Market Makers.</w:t>
      </w:r>
    </w:p>
    <w:p w14:paraId="7B1A5C4E" w14:textId="5FFDC8AB" w:rsidR="002C2259" w:rsidRPr="00CC0F21" w:rsidRDefault="002C2259" w:rsidP="00DF2015">
      <w:pPr>
        <w:jc w:val="both"/>
        <w:rPr>
          <w:rFonts w:eastAsiaTheme="majorEastAsia" w:cstheme="minorHAnsi"/>
          <w:sz w:val="48"/>
          <w:szCs w:val="32"/>
        </w:rPr>
      </w:pPr>
      <w:r w:rsidRPr="00CC0F21">
        <w:rPr>
          <w:rFonts w:cstheme="minorHAnsi"/>
        </w:rPr>
        <w:br w:type="page"/>
      </w:r>
    </w:p>
    <w:p w14:paraId="1AB3237C" w14:textId="7A4D1B39" w:rsidR="00985185" w:rsidRPr="00CC0F21" w:rsidRDefault="00985185" w:rsidP="001A7314">
      <w:pPr>
        <w:pStyle w:val="Heading1"/>
        <w:rPr>
          <w:color w:val="auto"/>
        </w:rPr>
      </w:pPr>
      <w:bookmarkStart w:id="30" w:name="_Toc104212436"/>
      <w:r w:rsidRPr="00CC0F21">
        <w:rPr>
          <w:color w:val="auto"/>
        </w:rPr>
        <w:lastRenderedPageBreak/>
        <w:t>Appendix A – Alternatives Considered</w:t>
      </w:r>
      <w:bookmarkEnd w:id="30"/>
    </w:p>
    <w:p w14:paraId="4A540732" w14:textId="532DAF83" w:rsidR="00783E82" w:rsidRPr="00CC0F21" w:rsidRDefault="00783E82" w:rsidP="00CC0F21">
      <w:pPr>
        <w:pStyle w:val="Heading2"/>
        <w:rPr>
          <w:color w:val="auto"/>
        </w:rPr>
      </w:pPr>
      <w:bookmarkStart w:id="31" w:name="_Toc104212437"/>
      <w:r w:rsidRPr="00CC0F21">
        <w:rPr>
          <w:color w:val="auto"/>
        </w:rPr>
        <w:t>Why Not Use E</w:t>
      </w:r>
      <w:r w:rsidR="00F72778" w:rsidRPr="00CC0F21">
        <w:rPr>
          <w:color w:val="auto"/>
        </w:rPr>
        <w:t>TH</w:t>
      </w:r>
      <w:r w:rsidRPr="00CC0F21">
        <w:rPr>
          <w:color w:val="auto"/>
        </w:rPr>
        <w:t>?</w:t>
      </w:r>
      <w:bookmarkEnd w:id="31"/>
    </w:p>
    <w:p w14:paraId="07763271" w14:textId="7343E87D" w:rsidR="006B768B" w:rsidRPr="00CC0F21" w:rsidRDefault="00A34538" w:rsidP="00DF2015">
      <w:pPr>
        <w:jc w:val="both"/>
        <w:rPr>
          <w:rFonts w:cstheme="minorHAnsi"/>
        </w:rPr>
      </w:pPr>
      <w:r w:rsidRPr="00CC0F21">
        <w:rPr>
          <w:rFonts w:cstheme="minorHAnsi"/>
        </w:rPr>
        <w:t xml:space="preserve">Obscuro is a Layer 2 solution </w:t>
      </w:r>
      <w:r w:rsidR="00397D1B" w:rsidRPr="00CC0F21">
        <w:rPr>
          <w:rFonts w:cstheme="minorHAnsi"/>
        </w:rPr>
        <w:t>for Ethereum</w:t>
      </w:r>
      <w:r w:rsidR="00F72778" w:rsidRPr="00CC0F21">
        <w:rPr>
          <w:rFonts w:cstheme="minorHAnsi"/>
        </w:rPr>
        <w:t>. W</w:t>
      </w:r>
      <w:r w:rsidR="00397D1B" w:rsidRPr="00CC0F21">
        <w:rPr>
          <w:rFonts w:cstheme="minorHAnsi"/>
        </w:rPr>
        <w:t xml:space="preserve">hen </w:t>
      </w:r>
      <w:r w:rsidR="00404E2F" w:rsidRPr="00CC0F21">
        <w:rPr>
          <w:rFonts w:cstheme="minorHAnsi"/>
        </w:rPr>
        <w:t>a</w:t>
      </w:r>
      <w:r w:rsidR="00397D1B" w:rsidRPr="00CC0F21">
        <w:rPr>
          <w:rFonts w:cstheme="minorHAnsi"/>
        </w:rPr>
        <w:t xml:space="preserve"> Rollup</w:t>
      </w:r>
      <w:r w:rsidR="00F72778" w:rsidRPr="00CC0F21">
        <w:rPr>
          <w:rFonts w:cstheme="minorHAnsi"/>
        </w:rPr>
        <w:t xml:space="preserve"> from the Obscuro Network is submitted</w:t>
      </w:r>
      <w:r w:rsidR="00397D1B" w:rsidRPr="00CC0F21">
        <w:rPr>
          <w:rFonts w:cstheme="minorHAnsi"/>
        </w:rPr>
        <w:t xml:space="preserve"> to </w:t>
      </w:r>
      <w:r w:rsidR="00404E2F" w:rsidRPr="00CC0F21">
        <w:rPr>
          <w:rFonts w:cstheme="minorHAnsi"/>
        </w:rPr>
        <w:t xml:space="preserve">Ethereum </w:t>
      </w:r>
      <w:r w:rsidR="00F72778" w:rsidRPr="00CC0F21">
        <w:rPr>
          <w:rFonts w:cstheme="minorHAnsi"/>
        </w:rPr>
        <w:t>the submitting Obscuro Aggregator node operator is required to pay</w:t>
      </w:r>
      <w:r w:rsidR="00FF568F" w:rsidRPr="00CC0F21">
        <w:rPr>
          <w:rFonts w:cstheme="minorHAnsi"/>
        </w:rPr>
        <w:t xml:space="preserve"> a computation fee in the form of</w:t>
      </w:r>
      <w:r w:rsidR="00F72778" w:rsidRPr="00CC0F21">
        <w:rPr>
          <w:rFonts w:cstheme="minorHAnsi"/>
        </w:rPr>
        <w:t xml:space="preserve"> Ethereum gas. </w:t>
      </w:r>
      <w:r w:rsidR="00FF568F" w:rsidRPr="00CC0F21">
        <w:rPr>
          <w:rFonts w:cstheme="minorHAnsi"/>
        </w:rPr>
        <w:t xml:space="preserve">This gas fee </w:t>
      </w:r>
      <w:r w:rsidR="00034030" w:rsidRPr="00CC0F21">
        <w:rPr>
          <w:rFonts w:cstheme="minorHAnsi"/>
        </w:rPr>
        <w:t>must b</w:t>
      </w:r>
      <w:r w:rsidR="00FF568F" w:rsidRPr="00CC0F21">
        <w:rPr>
          <w:rFonts w:cstheme="minorHAnsi"/>
        </w:rPr>
        <w:t>e paid for in ETH, Ethereum’s native token</w:t>
      </w:r>
      <w:r w:rsidR="006B768B" w:rsidRPr="00CC0F21">
        <w:rPr>
          <w:rFonts w:cstheme="minorHAnsi"/>
        </w:rPr>
        <w:t>. So why not simply use ETH across the Obscuro ecosystem and remove the need for OBX?</w:t>
      </w:r>
      <w:r w:rsidR="00C93AFE" w:rsidRPr="00CC0F21">
        <w:rPr>
          <w:rFonts w:cstheme="minorHAnsi"/>
        </w:rPr>
        <w:t xml:space="preserve"> There are </w:t>
      </w:r>
      <w:r w:rsidR="001668A3" w:rsidRPr="00CC0F21">
        <w:rPr>
          <w:rFonts w:cstheme="minorHAnsi"/>
        </w:rPr>
        <w:t>3</w:t>
      </w:r>
      <w:r w:rsidR="00310BB0" w:rsidRPr="00CC0F21">
        <w:rPr>
          <w:rFonts w:cstheme="minorHAnsi"/>
        </w:rPr>
        <w:t xml:space="preserve"> </w:t>
      </w:r>
      <w:r w:rsidR="00CB364D" w:rsidRPr="00CC0F21">
        <w:rPr>
          <w:rFonts w:cstheme="minorHAnsi"/>
        </w:rPr>
        <w:t>main</w:t>
      </w:r>
      <w:r w:rsidR="00C93AFE" w:rsidRPr="00CC0F21">
        <w:rPr>
          <w:rFonts w:cstheme="minorHAnsi"/>
        </w:rPr>
        <w:t xml:space="preserve"> reasons</w:t>
      </w:r>
      <w:r w:rsidR="00CB364D" w:rsidRPr="00CC0F21">
        <w:rPr>
          <w:rFonts w:cstheme="minorHAnsi"/>
        </w:rPr>
        <w:t xml:space="preserve"> why OBX is preferable to ETH.</w:t>
      </w:r>
    </w:p>
    <w:p w14:paraId="036E8906" w14:textId="568870BA" w:rsidR="006031B4" w:rsidRPr="00CC0F21" w:rsidRDefault="00310BB0" w:rsidP="00DF2015">
      <w:pPr>
        <w:jc w:val="both"/>
        <w:rPr>
          <w:rFonts w:cstheme="minorHAnsi"/>
        </w:rPr>
      </w:pPr>
      <w:r w:rsidRPr="00CC0F21">
        <w:rPr>
          <w:rFonts w:cstheme="minorHAnsi"/>
        </w:rPr>
        <w:t xml:space="preserve">First, </w:t>
      </w:r>
      <w:r w:rsidR="006C7695" w:rsidRPr="00CC0F21">
        <w:rPr>
          <w:rFonts w:cstheme="minorHAnsi"/>
        </w:rPr>
        <w:t>b</w:t>
      </w:r>
      <w:commentRangeStart w:id="32"/>
      <w:r w:rsidR="00532575" w:rsidRPr="00CC0F21">
        <w:rPr>
          <w:rFonts w:cstheme="minorHAnsi"/>
        </w:rPr>
        <w:t>eing able to measure the value of Obscuro is achieved by using a native utility token</w:t>
      </w:r>
      <w:r w:rsidR="000F069E" w:rsidRPr="00CC0F21">
        <w:rPr>
          <w:rFonts w:cstheme="minorHAnsi"/>
        </w:rPr>
        <w:t xml:space="preserve"> because it has a direct and intimate relationship with the Obscuro ecosystem, technology and network participants. Using ETH would cloud the </w:t>
      </w:r>
      <w:r w:rsidR="001025B0" w:rsidRPr="00CC0F21">
        <w:rPr>
          <w:rFonts w:cstheme="minorHAnsi"/>
        </w:rPr>
        <w:t xml:space="preserve">value of Obscuro to the extent it </w:t>
      </w:r>
      <w:r w:rsidR="009979BB" w:rsidRPr="00CC0F21">
        <w:rPr>
          <w:rFonts w:cstheme="minorHAnsi"/>
        </w:rPr>
        <w:t xml:space="preserve">would be </w:t>
      </w:r>
      <w:r w:rsidR="001025B0" w:rsidRPr="00CC0F21">
        <w:rPr>
          <w:rFonts w:cstheme="minorHAnsi"/>
        </w:rPr>
        <w:t xml:space="preserve">impossible to measure and </w:t>
      </w:r>
      <w:r w:rsidR="009979BB" w:rsidRPr="00CC0F21">
        <w:rPr>
          <w:rFonts w:cstheme="minorHAnsi"/>
        </w:rPr>
        <w:t>understand whether or</w:t>
      </w:r>
      <w:r w:rsidR="00184EFB" w:rsidRPr="00CC0F21">
        <w:rPr>
          <w:rFonts w:cstheme="minorHAnsi"/>
        </w:rPr>
        <w:t xml:space="preserve"> not</w:t>
      </w:r>
      <w:r w:rsidR="009979BB" w:rsidRPr="00CC0F21">
        <w:rPr>
          <w:rFonts w:cstheme="minorHAnsi"/>
        </w:rPr>
        <w:t xml:space="preserve"> Obscuro is relevant and valuable to its </w:t>
      </w:r>
      <w:commentRangeStart w:id="33"/>
      <w:r w:rsidR="00D6251F" w:rsidRPr="00CC0F21">
        <w:rPr>
          <w:rFonts w:cstheme="minorHAnsi"/>
        </w:rPr>
        <w:t>users</w:t>
      </w:r>
      <w:commentRangeEnd w:id="33"/>
      <w:r w:rsidRPr="00CC0F21">
        <w:rPr>
          <w:rStyle w:val="CommentReference"/>
          <w:rFonts w:cstheme="minorHAnsi"/>
        </w:rPr>
        <w:commentReference w:id="33"/>
      </w:r>
      <w:r w:rsidR="00866FC8" w:rsidRPr="00CC0F21">
        <w:rPr>
          <w:rFonts w:cstheme="minorHAnsi"/>
        </w:rPr>
        <w:t>.</w:t>
      </w:r>
      <w:commentRangeEnd w:id="32"/>
      <w:r w:rsidRPr="00CC0F21">
        <w:rPr>
          <w:rStyle w:val="CommentReference"/>
          <w:rFonts w:cstheme="minorHAnsi"/>
        </w:rPr>
        <w:commentReference w:id="32"/>
      </w:r>
      <w:r w:rsidR="006C7695" w:rsidRPr="00CC0F21">
        <w:rPr>
          <w:rFonts w:cstheme="minorHAnsi"/>
        </w:rPr>
        <w:t xml:space="preserve"> If Obscuro does not deliver the features Web3 demand then its value will subside. If Obscuro provides access to new business opportunities then its value will grow.</w:t>
      </w:r>
    </w:p>
    <w:p w14:paraId="10DB2E69" w14:textId="1904475D" w:rsidR="00ED331C" w:rsidRPr="00CC0F21" w:rsidRDefault="00ED331C" w:rsidP="00DF2015">
      <w:pPr>
        <w:jc w:val="both"/>
        <w:rPr>
          <w:rFonts w:cstheme="minorHAnsi"/>
        </w:rPr>
      </w:pPr>
      <w:r w:rsidRPr="00CC0F21">
        <w:rPr>
          <w:rFonts w:cstheme="minorHAnsi"/>
        </w:rPr>
        <w:t xml:space="preserve">Second, </w:t>
      </w:r>
      <w:r w:rsidR="008B1FE5" w:rsidRPr="00CC0F21">
        <w:rPr>
          <w:rFonts w:cstheme="minorHAnsi"/>
        </w:rPr>
        <w:t xml:space="preserve">the Foundation can </w:t>
      </w:r>
      <w:r w:rsidR="00436A79" w:rsidRPr="00CC0F21">
        <w:rPr>
          <w:rFonts w:cstheme="minorHAnsi"/>
        </w:rPr>
        <w:t>be more influential in</w:t>
      </w:r>
      <w:r w:rsidR="008B1FE5" w:rsidRPr="00CC0F21">
        <w:rPr>
          <w:rFonts w:cstheme="minorHAnsi"/>
        </w:rPr>
        <w:t xml:space="preserve"> the direction Obscuro</w:t>
      </w:r>
      <w:r w:rsidR="00B651E0" w:rsidRPr="00CC0F21">
        <w:rPr>
          <w:rFonts w:cstheme="minorHAnsi"/>
        </w:rPr>
        <w:t xml:space="preserve"> takes</w:t>
      </w:r>
      <w:r w:rsidR="00436A79" w:rsidRPr="00CC0F21">
        <w:rPr>
          <w:rFonts w:cstheme="minorHAnsi"/>
        </w:rPr>
        <w:t xml:space="preserve"> </w:t>
      </w:r>
      <w:r w:rsidR="0095252D" w:rsidRPr="00CC0F21">
        <w:rPr>
          <w:rFonts w:cstheme="minorHAnsi"/>
        </w:rPr>
        <w:t>by making use</w:t>
      </w:r>
      <w:r w:rsidR="00436A79" w:rsidRPr="00CC0F21">
        <w:rPr>
          <w:rFonts w:cstheme="minorHAnsi"/>
        </w:rPr>
        <w:t xml:space="preserve"> of</w:t>
      </w:r>
      <w:r w:rsidR="0095252D" w:rsidRPr="00CC0F21">
        <w:rPr>
          <w:rFonts w:cstheme="minorHAnsi"/>
        </w:rPr>
        <w:t xml:space="preserve"> Ecosystem Fund tokens for </w:t>
      </w:r>
      <w:r w:rsidR="00436A79" w:rsidRPr="00CC0F21">
        <w:rPr>
          <w:rFonts w:cstheme="minorHAnsi"/>
        </w:rPr>
        <w:t>grants</w:t>
      </w:r>
      <w:r w:rsidR="00580C4E" w:rsidRPr="00CC0F21">
        <w:rPr>
          <w:rFonts w:cstheme="minorHAnsi"/>
        </w:rPr>
        <w:t>, aggregator incentives and competitions</w:t>
      </w:r>
      <w:r w:rsidR="00E05A41" w:rsidRPr="00CC0F21">
        <w:rPr>
          <w:rFonts w:cstheme="minorHAnsi"/>
        </w:rPr>
        <w:t>. Using ETH would be challenging because</w:t>
      </w:r>
      <w:r w:rsidR="009A3A33" w:rsidRPr="00CC0F21">
        <w:rPr>
          <w:rFonts w:cstheme="minorHAnsi"/>
        </w:rPr>
        <w:t xml:space="preserve"> the Foundation </w:t>
      </w:r>
      <w:r w:rsidR="00F75892" w:rsidRPr="00CC0F21">
        <w:rPr>
          <w:rFonts w:cstheme="minorHAnsi"/>
        </w:rPr>
        <w:t xml:space="preserve">cannot </w:t>
      </w:r>
      <w:r w:rsidR="00155065" w:rsidRPr="00CC0F21">
        <w:rPr>
          <w:rFonts w:cstheme="minorHAnsi"/>
        </w:rPr>
        <w:t>make decisions on an ETH token pool</w:t>
      </w:r>
      <w:r w:rsidR="00423BDB" w:rsidRPr="00CC0F21">
        <w:rPr>
          <w:rFonts w:cstheme="minorHAnsi"/>
        </w:rPr>
        <w:t>.</w:t>
      </w:r>
    </w:p>
    <w:p w14:paraId="4E8C254F" w14:textId="2277C84B" w:rsidR="00985185" w:rsidRPr="00CC0F21" w:rsidRDefault="005C0F4C" w:rsidP="00DF2015">
      <w:pPr>
        <w:jc w:val="both"/>
        <w:rPr>
          <w:rFonts w:cstheme="minorHAnsi"/>
        </w:rPr>
      </w:pPr>
      <w:r w:rsidRPr="00CC0F21">
        <w:rPr>
          <w:rFonts w:cstheme="minorHAnsi"/>
        </w:rPr>
        <w:t>Third</w:t>
      </w:r>
      <w:r w:rsidR="00310BB0" w:rsidRPr="00CC0F21">
        <w:rPr>
          <w:rFonts w:cstheme="minorHAnsi"/>
        </w:rPr>
        <w:t xml:space="preserve">, </w:t>
      </w:r>
      <w:r w:rsidR="004D01AB" w:rsidRPr="00CC0F21">
        <w:rPr>
          <w:rFonts w:cstheme="minorHAnsi"/>
        </w:rPr>
        <w:t xml:space="preserve">OBX is a governance token. There is interest in holding governance tokens because there is a tangible return from being able to vote for proposals: you can vote for proposals which help prioritise your future plans so your plans can reach fruition more quickly and you can achieve </w:t>
      </w:r>
      <w:r w:rsidR="00D1470A" w:rsidRPr="00CC0F21">
        <w:rPr>
          <w:rFonts w:cstheme="minorHAnsi"/>
        </w:rPr>
        <w:t>your</w:t>
      </w:r>
      <w:r w:rsidR="004D01AB" w:rsidRPr="00CC0F21">
        <w:rPr>
          <w:rFonts w:cstheme="minorHAnsi"/>
        </w:rPr>
        <w:t xml:space="preserve"> desired outcome.</w:t>
      </w:r>
      <w:r w:rsidR="00D1470A" w:rsidRPr="00CC0F21">
        <w:rPr>
          <w:rFonts w:cstheme="minorHAnsi"/>
        </w:rPr>
        <w:t xml:space="preserve"> </w:t>
      </w:r>
    </w:p>
    <w:p w14:paraId="18582B04" w14:textId="47642D11" w:rsidR="00783E82" w:rsidRPr="00CC0F21" w:rsidRDefault="00783E82" w:rsidP="00CC0F21">
      <w:pPr>
        <w:pStyle w:val="Heading2"/>
        <w:rPr>
          <w:color w:val="auto"/>
        </w:rPr>
      </w:pPr>
      <w:bookmarkStart w:id="34" w:name="_Toc104212438"/>
      <w:commentRangeStart w:id="35"/>
      <w:commentRangeStart w:id="36"/>
      <w:commentRangeStart w:id="37"/>
      <w:r w:rsidRPr="00CC0F21">
        <w:rPr>
          <w:color w:val="auto"/>
        </w:rPr>
        <w:t>Why No</w:t>
      </w:r>
      <w:r w:rsidR="00DD1AEF" w:rsidRPr="00CC0F21">
        <w:rPr>
          <w:color w:val="auto"/>
        </w:rPr>
        <w:t xml:space="preserve"> Revenue Model?</w:t>
      </w:r>
      <w:commentRangeEnd w:id="35"/>
      <w:r w:rsidRPr="00CC0F21">
        <w:rPr>
          <w:rStyle w:val="CommentReference"/>
          <w:rFonts w:asciiTheme="minorHAnsi" w:hAnsiTheme="minorHAnsi" w:cstheme="minorHAnsi"/>
          <w:color w:val="auto"/>
        </w:rPr>
        <w:commentReference w:id="35"/>
      </w:r>
      <w:commentRangeEnd w:id="36"/>
      <w:r w:rsidRPr="00CC0F21">
        <w:rPr>
          <w:rStyle w:val="CommentReference"/>
          <w:rFonts w:asciiTheme="minorHAnsi" w:hAnsiTheme="minorHAnsi" w:cstheme="minorHAnsi"/>
          <w:color w:val="auto"/>
        </w:rPr>
        <w:commentReference w:id="36"/>
      </w:r>
      <w:commentRangeEnd w:id="37"/>
      <w:r w:rsidRPr="00CC0F21">
        <w:rPr>
          <w:rStyle w:val="CommentReference"/>
          <w:rFonts w:asciiTheme="minorHAnsi" w:hAnsiTheme="minorHAnsi" w:cstheme="minorHAnsi"/>
          <w:color w:val="auto"/>
        </w:rPr>
        <w:commentReference w:id="37"/>
      </w:r>
      <w:bookmarkEnd w:id="34"/>
    </w:p>
    <w:p w14:paraId="7B605620" w14:textId="63269C0B" w:rsidR="00363150" w:rsidRPr="00CC0F21" w:rsidRDefault="00C10C2B" w:rsidP="00DF2015">
      <w:pPr>
        <w:jc w:val="both"/>
        <w:rPr>
          <w:rFonts w:cstheme="minorHAnsi"/>
        </w:rPr>
      </w:pPr>
      <w:commentRangeStart w:id="38"/>
      <w:commentRangeStart w:id="39"/>
      <w:r w:rsidRPr="00CC0F21">
        <w:rPr>
          <w:rFonts w:cstheme="minorHAnsi"/>
        </w:rPr>
        <w:t xml:space="preserve">A revenue generation model employed by </w:t>
      </w:r>
      <w:r w:rsidR="00280996" w:rsidRPr="00CC0F21">
        <w:rPr>
          <w:rFonts w:cstheme="minorHAnsi"/>
        </w:rPr>
        <w:t>some</w:t>
      </w:r>
      <w:r w:rsidRPr="00CC0F21">
        <w:rPr>
          <w:rFonts w:cstheme="minorHAnsi"/>
        </w:rPr>
        <w:t xml:space="preserve"> L2 solutions is to </w:t>
      </w:r>
      <w:r w:rsidR="00C415C1" w:rsidRPr="00CC0F21">
        <w:rPr>
          <w:rFonts w:cstheme="minorHAnsi"/>
        </w:rPr>
        <w:t>charge</w:t>
      </w:r>
      <w:r w:rsidRPr="00CC0F21">
        <w:rPr>
          <w:rFonts w:cstheme="minorHAnsi"/>
        </w:rPr>
        <w:t xml:space="preserve"> a</w:t>
      </w:r>
      <w:r w:rsidR="001163E4" w:rsidRPr="00CC0F21">
        <w:rPr>
          <w:rFonts w:cstheme="minorHAnsi"/>
        </w:rPr>
        <w:t xml:space="preserve"> fee</w:t>
      </w:r>
      <w:r w:rsidRPr="00CC0F21">
        <w:rPr>
          <w:rFonts w:cstheme="minorHAnsi"/>
        </w:rPr>
        <w:t xml:space="preserve"> on transactions.</w:t>
      </w:r>
      <w:r w:rsidR="003D0D93" w:rsidRPr="00CC0F21">
        <w:rPr>
          <w:rFonts w:cstheme="minorHAnsi"/>
        </w:rPr>
        <w:t xml:space="preserve"> </w:t>
      </w:r>
      <w:r w:rsidR="00274B26" w:rsidRPr="00CC0F21">
        <w:rPr>
          <w:rFonts w:cstheme="minorHAnsi"/>
        </w:rPr>
        <w:t>For example t</w:t>
      </w:r>
      <w:r w:rsidR="00363150" w:rsidRPr="00CC0F21">
        <w:rPr>
          <w:rFonts w:cstheme="minorHAnsi"/>
        </w:rPr>
        <w:t xml:space="preserve">his can be done by applying a fee scalar </w:t>
      </w:r>
      <w:r w:rsidR="00434F7F" w:rsidRPr="00CC0F21">
        <w:rPr>
          <w:rFonts w:cstheme="minorHAnsi"/>
        </w:rPr>
        <w:t xml:space="preserve">to the </w:t>
      </w:r>
      <w:r w:rsidR="00916E90" w:rsidRPr="00CC0F21">
        <w:rPr>
          <w:rFonts w:cstheme="minorHAnsi"/>
        </w:rPr>
        <w:t>gas fee</w:t>
      </w:r>
      <w:r w:rsidR="003B73AB" w:rsidRPr="00CC0F21">
        <w:rPr>
          <w:rFonts w:cstheme="minorHAnsi"/>
        </w:rPr>
        <w:t xml:space="preserve"> </w:t>
      </w:r>
      <w:r w:rsidR="00916E90" w:rsidRPr="00CC0F21">
        <w:rPr>
          <w:rFonts w:cstheme="minorHAnsi"/>
        </w:rPr>
        <w:t>for</w:t>
      </w:r>
      <w:r w:rsidR="003B73AB" w:rsidRPr="00CC0F21">
        <w:rPr>
          <w:rFonts w:cstheme="minorHAnsi"/>
        </w:rPr>
        <w:t xml:space="preserve"> submitting a rollup to the L1 </w:t>
      </w:r>
      <w:r w:rsidR="00A1629A" w:rsidRPr="00CC0F21">
        <w:rPr>
          <w:rFonts w:cstheme="minorHAnsi"/>
        </w:rPr>
        <w:t>t</w:t>
      </w:r>
      <w:r w:rsidR="00916E90" w:rsidRPr="00CC0F21">
        <w:rPr>
          <w:rFonts w:cstheme="minorHAnsi"/>
        </w:rPr>
        <w:t>hereby generating an income.</w:t>
      </w:r>
    </w:p>
    <w:p w14:paraId="1C99D8F2" w14:textId="39D4F154" w:rsidR="005B46C4" w:rsidRPr="00CC0F21" w:rsidRDefault="000B0572" w:rsidP="00DF2015">
      <w:pPr>
        <w:jc w:val="both"/>
        <w:rPr>
          <w:rFonts w:cstheme="minorHAnsi"/>
        </w:rPr>
      </w:pPr>
      <w:r w:rsidRPr="00CC0F21">
        <w:rPr>
          <w:rFonts w:cstheme="minorHAnsi"/>
        </w:rPr>
        <w:t>In theory Obscuro could use the same model with the</w:t>
      </w:r>
      <w:r w:rsidR="00D42E00" w:rsidRPr="00CC0F21">
        <w:rPr>
          <w:rFonts w:cstheme="minorHAnsi"/>
        </w:rPr>
        <w:t xml:space="preserve"> </w:t>
      </w:r>
      <w:r w:rsidR="00D97B41" w:rsidRPr="00CC0F21">
        <w:rPr>
          <w:rFonts w:cstheme="minorHAnsi"/>
        </w:rPr>
        <w:t>operator of the</w:t>
      </w:r>
      <w:r w:rsidRPr="00CC0F21">
        <w:rPr>
          <w:rFonts w:cstheme="minorHAnsi"/>
        </w:rPr>
        <w:t xml:space="preserve"> Obscuro</w:t>
      </w:r>
      <w:r w:rsidR="00D97B41" w:rsidRPr="00CC0F21">
        <w:rPr>
          <w:rFonts w:cstheme="minorHAnsi"/>
        </w:rPr>
        <w:t xml:space="preserve"> network, the Obscuro</w:t>
      </w:r>
      <w:r w:rsidRPr="00CC0F21">
        <w:rPr>
          <w:rFonts w:cstheme="minorHAnsi"/>
        </w:rPr>
        <w:t xml:space="preserve"> Foundation</w:t>
      </w:r>
      <w:r w:rsidR="00D97B41" w:rsidRPr="00CC0F21">
        <w:rPr>
          <w:rFonts w:cstheme="minorHAnsi"/>
        </w:rPr>
        <w:t>,</w:t>
      </w:r>
      <w:r w:rsidRPr="00CC0F21">
        <w:rPr>
          <w:rFonts w:cstheme="minorHAnsi"/>
        </w:rPr>
        <w:t xml:space="preserve"> charging a fee</w:t>
      </w:r>
      <w:r w:rsidR="00D42E00" w:rsidRPr="00CC0F21">
        <w:rPr>
          <w:rFonts w:cstheme="minorHAnsi"/>
        </w:rPr>
        <w:t xml:space="preserve"> each time Obscuro is used. </w:t>
      </w:r>
      <w:r w:rsidR="00280996" w:rsidRPr="00CC0F21">
        <w:rPr>
          <w:rFonts w:cstheme="minorHAnsi"/>
        </w:rPr>
        <w:t>Those fees could be used to pay for the next tranche of development, run competitions</w:t>
      </w:r>
      <w:r w:rsidR="001E0177" w:rsidRPr="00CC0F21">
        <w:rPr>
          <w:rFonts w:cstheme="minorHAnsi"/>
        </w:rPr>
        <w:t xml:space="preserve"> and</w:t>
      </w:r>
      <w:r w:rsidR="00280996" w:rsidRPr="00CC0F21">
        <w:rPr>
          <w:rFonts w:cstheme="minorHAnsi"/>
        </w:rPr>
        <w:t xml:space="preserve"> </w:t>
      </w:r>
      <w:r w:rsidR="001E0177" w:rsidRPr="00CC0F21">
        <w:rPr>
          <w:rFonts w:cstheme="minorHAnsi"/>
        </w:rPr>
        <w:t xml:space="preserve">fund incentive schemes, for example. There are </w:t>
      </w:r>
      <w:r w:rsidR="001668A3" w:rsidRPr="00CC0F21">
        <w:rPr>
          <w:rFonts w:cstheme="minorHAnsi"/>
        </w:rPr>
        <w:t>2</w:t>
      </w:r>
      <w:r w:rsidR="001E0177" w:rsidRPr="00CC0F21">
        <w:rPr>
          <w:rFonts w:cstheme="minorHAnsi"/>
        </w:rPr>
        <w:t xml:space="preserve"> main reasons why fees </w:t>
      </w:r>
      <w:r w:rsidR="0004321D" w:rsidRPr="00CC0F21">
        <w:rPr>
          <w:rFonts w:cstheme="minorHAnsi"/>
        </w:rPr>
        <w:t>do not fit with Obscuro.</w:t>
      </w:r>
      <w:commentRangeEnd w:id="38"/>
      <w:r w:rsidRPr="00CC0F21">
        <w:rPr>
          <w:rStyle w:val="CommentReference"/>
          <w:rFonts w:cstheme="minorHAnsi"/>
        </w:rPr>
        <w:commentReference w:id="38"/>
      </w:r>
      <w:commentRangeEnd w:id="39"/>
      <w:r w:rsidRPr="00CC0F21">
        <w:rPr>
          <w:rStyle w:val="CommentReference"/>
          <w:rFonts w:cstheme="minorHAnsi"/>
        </w:rPr>
        <w:commentReference w:id="39"/>
      </w:r>
    </w:p>
    <w:p w14:paraId="6E2EABA8" w14:textId="0B89ACB5" w:rsidR="00C62700" w:rsidRPr="00CC0F21" w:rsidRDefault="0004321D" w:rsidP="00DF2015">
      <w:pPr>
        <w:jc w:val="both"/>
        <w:rPr>
          <w:rFonts w:cstheme="minorHAnsi"/>
        </w:rPr>
      </w:pPr>
      <w:r w:rsidRPr="00CC0F21">
        <w:rPr>
          <w:rFonts w:cstheme="minorHAnsi"/>
        </w:rPr>
        <w:t xml:space="preserve">First, and most crucially, </w:t>
      </w:r>
      <w:r w:rsidR="00C62700" w:rsidRPr="00CC0F21">
        <w:rPr>
          <w:rFonts w:cstheme="minorHAnsi"/>
        </w:rPr>
        <w:t xml:space="preserve">how </w:t>
      </w:r>
      <w:r w:rsidRPr="00CC0F21">
        <w:rPr>
          <w:rFonts w:cstheme="minorHAnsi"/>
        </w:rPr>
        <w:t>are fees</w:t>
      </w:r>
      <w:r w:rsidR="00C62700" w:rsidRPr="00CC0F21">
        <w:rPr>
          <w:rFonts w:cstheme="minorHAnsi"/>
        </w:rPr>
        <w:t xml:space="preserve"> </w:t>
      </w:r>
      <w:r w:rsidR="007A4EED" w:rsidRPr="00CC0F21">
        <w:rPr>
          <w:rFonts w:cstheme="minorHAnsi"/>
        </w:rPr>
        <w:t>charged</w:t>
      </w:r>
      <w:r w:rsidR="00C62700" w:rsidRPr="00CC0F21">
        <w:rPr>
          <w:rFonts w:cstheme="minorHAnsi"/>
        </w:rPr>
        <w:t xml:space="preserve"> in a decentralised environment? </w:t>
      </w:r>
      <w:r w:rsidR="007A4EED" w:rsidRPr="00CC0F21">
        <w:rPr>
          <w:rFonts w:cstheme="minorHAnsi"/>
        </w:rPr>
        <w:t>T</w:t>
      </w:r>
      <w:r w:rsidR="00C62700" w:rsidRPr="00CC0F21">
        <w:rPr>
          <w:rFonts w:cstheme="minorHAnsi"/>
        </w:rPr>
        <w:t xml:space="preserve">here is no central sequencer or aggregator </w:t>
      </w:r>
      <w:r w:rsidR="007A4EED" w:rsidRPr="00CC0F21">
        <w:rPr>
          <w:rFonts w:cstheme="minorHAnsi"/>
        </w:rPr>
        <w:t>therefore</w:t>
      </w:r>
      <w:r w:rsidR="009B2993" w:rsidRPr="00CC0F21">
        <w:rPr>
          <w:rFonts w:cstheme="minorHAnsi"/>
        </w:rPr>
        <w:t xml:space="preserve"> no single “weigh station” </w:t>
      </w:r>
      <w:r w:rsidR="00164B2F" w:rsidRPr="00CC0F21">
        <w:rPr>
          <w:rFonts w:cstheme="minorHAnsi"/>
        </w:rPr>
        <w:t xml:space="preserve">to </w:t>
      </w:r>
      <w:r w:rsidR="0048004F" w:rsidRPr="00CC0F21">
        <w:rPr>
          <w:rFonts w:cstheme="minorHAnsi"/>
        </w:rPr>
        <w:t>analyse</w:t>
      </w:r>
      <w:r w:rsidR="007A4EED" w:rsidRPr="00CC0F21">
        <w:rPr>
          <w:rFonts w:cstheme="minorHAnsi"/>
        </w:rPr>
        <w:t xml:space="preserve"> </w:t>
      </w:r>
      <w:r w:rsidR="00164B2F" w:rsidRPr="00CC0F21">
        <w:rPr>
          <w:rFonts w:cstheme="minorHAnsi"/>
        </w:rPr>
        <w:t>smart contract</w:t>
      </w:r>
      <w:r w:rsidR="007A4EED" w:rsidRPr="00CC0F21">
        <w:rPr>
          <w:rFonts w:cstheme="minorHAnsi"/>
        </w:rPr>
        <w:t xml:space="preserve">s </w:t>
      </w:r>
      <w:r w:rsidR="00164B2F" w:rsidRPr="00CC0F21">
        <w:rPr>
          <w:rFonts w:cstheme="minorHAnsi"/>
        </w:rPr>
        <w:t xml:space="preserve">and </w:t>
      </w:r>
      <w:r w:rsidR="00BC0FBC" w:rsidRPr="00CC0F21">
        <w:rPr>
          <w:rFonts w:cstheme="minorHAnsi"/>
        </w:rPr>
        <w:t>determine</w:t>
      </w:r>
      <w:r w:rsidR="00164B2F" w:rsidRPr="00CC0F21">
        <w:rPr>
          <w:rFonts w:cstheme="minorHAnsi"/>
        </w:rPr>
        <w:t xml:space="preserve"> the </w:t>
      </w:r>
      <w:r w:rsidR="004161C5" w:rsidRPr="00CC0F21">
        <w:rPr>
          <w:rFonts w:cstheme="minorHAnsi"/>
        </w:rPr>
        <w:t>correct fee</w:t>
      </w:r>
      <w:r w:rsidR="00164B2F" w:rsidRPr="00CC0F21">
        <w:rPr>
          <w:rFonts w:cstheme="minorHAnsi"/>
        </w:rPr>
        <w:t>.</w:t>
      </w:r>
    </w:p>
    <w:p w14:paraId="5E32CF17" w14:textId="5E093F6A" w:rsidR="001668A3" w:rsidRPr="00CC0F21" w:rsidRDefault="007A4EED" w:rsidP="00DF2015">
      <w:pPr>
        <w:jc w:val="both"/>
        <w:rPr>
          <w:rFonts w:cstheme="minorHAnsi"/>
        </w:rPr>
      </w:pPr>
      <w:r w:rsidRPr="00CC0F21">
        <w:rPr>
          <w:rFonts w:cstheme="minorHAnsi"/>
        </w:rPr>
        <w:t xml:space="preserve">Second, </w:t>
      </w:r>
      <w:r w:rsidR="00D943FA" w:rsidRPr="00CC0F21">
        <w:rPr>
          <w:rFonts w:cstheme="minorHAnsi"/>
        </w:rPr>
        <w:t>Obscuro software is open</w:t>
      </w:r>
      <w:r w:rsidR="004161C5" w:rsidRPr="00CC0F21">
        <w:rPr>
          <w:rFonts w:cstheme="minorHAnsi"/>
        </w:rPr>
        <w:t xml:space="preserve"> </w:t>
      </w:r>
      <w:r w:rsidR="00D943FA" w:rsidRPr="00CC0F21">
        <w:rPr>
          <w:rFonts w:cstheme="minorHAnsi"/>
        </w:rPr>
        <w:t xml:space="preserve">source therefore anyone is able to fork the code and create a competing product. It would be possible to emulate Obscuro </w:t>
      </w:r>
      <w:r w:rsidR="00D46563" w:rsidRPr="00CC0F21">
        <w:rPr>
          <w:rFonts w:cstheme="minorHAnsi"/>
        </w:rPr>
        <w:t>and</w:t>
      </w:r>
      <w:r w:rsidR="00D943FA" w:rsidRPr="00CC0F21">
        <w:rPr>
          <w:rFonts w:cstheme="minorHAnsi"/>
        </w:rPr>
        <w:t xml:space="preserve"> charge a lower fee </w:t>
      </w:r>
      <w:r w:rsidR="00D46563" w:rsidRPr="00CC0F21">
        <w:rPr>
          <w:rFonts w:cstheme="minorHAnsi"/>
        </w:rPr>
        <w:t xml:space="preserve">and undercut the original </w:t>
      </w:r>
      <w:r w:rsidR="00412E86" w:rsidRPr="00CC0F21">
        <w:rPr>
          <w:rFonts w:cstheme="minorHAnsi"/>
        </w:rPr>
        <w:t xml:space="preserve">implementation of </w:t>
      </w:r>
      <w:r w:rsidR="00D46563" w:rsidRPr="00CC0F21">
        <w:rPr>
          <w:rFonts w:cstheme="minorHAnsi"/>
        </w:rPr>
        <w:t>Obscuro.</w:t>
      </w:r>
    </w:p>
    <w:p w14:paraId="4F5DC8A8" w14:textId="0BCD4DEA" w:rsidR="005569B5" w:rsidRPr="00CC0F21" w:rsidRDefault="004C72D8" w:rsidP="001A7314">
      <w:pPr>
        <w:pStyle w:val="Heading1"/>
        <w:rPr>
          <w:color w:val="auto"/>
        </w:rPr>
      </w:pPr>
      <w:r w:rsidRPr="00CC0F21">
        <w:rPr>
          <w:color w:val="auto"/>
        </w:rPr>
        <w:br w:type="page"/>
      </w:r>
      <w:bookmarkStart w:id="40" w:name="_Toc104212439"/>
      <w:r w:rsidRPr="00CC0F21">
        <w:rPr>
          <w:color w:val="auto"/>
        </w:rPr>
        <w:lastRenderedPageBreak/>
        <w:t>Appendix 2 – Tokenomics Modelling</w:t>
      </w:r>
      <w:bookmarkEnd w:id="40"/>
    </w:p>
    <w:p w14:paraId="2CE4D094" w14:textId="3254A26E" w:rsidR="00CC65CD" w:rsidRPr="00CC0F21" w:rsidRDefault="000A0637" w:rsidP="00DF2015">
      <w:pPr>
        <w:jc w:val="both"/>
        <w:rPr>
          <w:rFonts w:cstheme="minorHAnsi"/>
        </w:rPr>
      </w:pPr>
      <w:r w:rsidRPr="00CC0F21">
        <w:rPr>
          <w:rFonts w:cstheme="minorHAnsi"/>
        </w:rPr>
        <w:t>By constructing a tokenomics</w:t>
      </w:r>
      <w:r w:rsidR="003F5CFA" w:rsidRPr="00CC0F21">
        <w:rPr>
          <w:rFonts w:cstheme="minorHAnsi"/>
        </w:rPr>
        <w:t xml:space="preserve"> model </w:t>
      </w:r>
      <w:r w:rsidRPr="00CC0F21">
        <w:rPr>
          <w:rFonts w:cstheme="minorHAnsi"/>
        </w:rPr>
        <w:t>is it possible</w:t>
      </w:r>
      <w:r w:rsidR="003F5CFA" w:rsidRPr="00CC0F21">
        <w:rPr>
          <w:rFonts w:cstheme="minorHAnsi"/>
        </w:rPr>
        <w:t xml:space="preserve"> to </w:t>
      </w:r>
      <w:r w:rsidR="00C0291C" w:rsidRPr="00CC0F21">
        <w:rPr>
          <w:rFonts w:cstheme="minorHAnsi"/>
        </w:rPr>
        <w:t xml:space="preserve">find </w:t>
      </w:r>
      <w:r w:rsidR="00AE19DF" w:rsidRPr="00CC0F21">
        <w:rPr>
          <w:rFonts w:cstheme="minorHAnsi"/>
        </w:rPr>
        <w:t xml:space="preserve">an </w:t>
      </w:r>
      <w:r w:rsidR="0081644B" w:rsidRPr="00CC0F21">
        <w:rPr>
          <w:rFonts w:cstheme="minorHAnsi"/>
        </w:rPr>
        <w:t>optimal</w:t>
      </w:r>
      <w:r w:rsidR="00AE19DF" w:rsidRPr="00CC0F21">
        <w:rPr>
          <w:rFonts w:cstheme="minorHAnsi"/>
        </w:rPr>
        <w:t xml:space="preserve"> balance </w:t>
      </w:r>
      <w:r w:rsidR="001749D7" w:rsidRPr="00CC0F21">
        <w:rPr>
          <w:rFonts w:cstheme="minorHAnsi"/>
        </w:rPr>
        <w:t xml:space="preserve">between </w:t>
      </w:r>
      <w:r w:rsidR="00131AAF" w:rsidRPr="00CC0F21">
        <w:rPr>
          <w:rFonts w:cstheme="minorHAnsi"/>
        </w:rPr>
        <w:t xml:space="preserve">all aspects of the Obscuro tokenomics: </w:t>
      </w:r>
      <w:r w:rsidR="00456588" w:rsidRPr="00CC0F21">
        <w:rPr>
          <w:rFonts w:cstheme="minorHAnsi"/>
        </w:rPr>
        <w:t xml:space="preserve">how frequently rollups can be submitted to Ethereum Mainnet, </w:t>
      </w:r>
      <w:r w:rsidR="00D74526" w:rsidRPr="00CC0F21">
        <w:rPr>
          <w:rFonts w:cstheme="minorHAnsi"/>
        </w:rPr>
        <w:t xml:space="preserve">the </w:t>
      </w:r>
      <w:r w:rsidR="00667BA5" w:rsidRPr="00CC0F21">
        <w:rPr>
          <w:rFonts w:cstheme="minorHAnsi"/>
        </w:rPr>
        <w:t xml:space="preserve">cost </w:t>
      </w:r>
      <w:r w:rsidR="00AE4A3A" w:rsidRPr="00CC0F21">
        <w:rPr>
          <w:rFonts w:cstheme="minorHAnsi"/>
        </w:rPr>
        <w:t>of</w:t>
      </w:r>
      <w:r w:rsidR="00667BA5" w:rsidRPr="00CC0F21">
        <w:rPr>
          <w:rFonts w:cstheme="minorHAnsi"/>
        </w:rPr>
        <w:t xml:space="preserve"> bootstrap</w:t>
      </w:r>
      <w:r w:rsidR="00AE4A3A" w:rsidRPr="00CC0F21">
        <w:rPr>
          <w:rFonts w:cstheme="minorHAnsi"/>
        </w:rPr>
        <w:t>ping</w:t>
      </w:r>
      <w:r w:rsidR="00667BA5" w:rsidRPr="00CC0F21">
        <w:rPr>
          <w:rFonts w:cstheme="minorHAnsi"/>
        </w:rPr>
        <w:t xml:space="preserve"> the</w:t>
      </w:r>
      <w:r w:rsidR="008E50B0" w:rsidRPr="00CC0F21">
        <w:rPr>
          <w:rFonts w:cstheme="minorHAnsi"/>
        </w:rPr>
        <w:t xml:space="preserve"> Obscuro network </w:t>
      </w:r>
      <w:r w:rsidR="00200E6E" w:rsidRPr="00CC0F21">
        <w:rPr>
          <w:rFonts w:cstheme="minorHAnsi"/>
        </w:rPr>
        <w:t>via subsidies</w:t>
      </w:r>
      <w:r w:rsidR="00131AAF" w:rsidRPr="00CC0F21">
        <w:rPr>
          <w:rFonts w:cstheme="minorHAnsi"/>
        </w:rPr>
        <w:t xml:space="preserve">, </w:t>
      </w:r>
      <w:r w:rsidR="008F3856" w:rsidRPr="00CC0F21">
        <w:rPr>
          <w:rFonts w:cstheme="minorHAnsi"/>
        </w:rPr>
        <w:t xml:space="preserve">the cost of the L2 transaction fee, </w:t>
      </w:r>
      <w:r w:rsidR="00EC781C" w:rsidRPr="00CC0F21">
        <w:rPr>
          <w:rFonts w:cstheme="minorHAnsi"/>
        </w:rPr>
        <w:t xml:space="preserve">the number of node in network, the initial token price, </w:t>
      </w:r>
      <w:r w:rsidR="00BD5723" w:rsidRPr="00CC0F21">
        <w:rPr>
          <w:rFonts w:cstheme="minorHAnsi"/>
        </w:rPr>
        <w:t>and the target stake for Aggregator nodes</w:t>
      </w:r>
      <w:r w:rsidR="00D74526" w:rsidRPr="00CC0F21">
        <w:rPr>
          <w:rFonts w:cstheme="minorHAnsi"/>
        </w:rPr>
        <w:t>.</w:t>
      </w:r>
    </w:p>
    <w:p w14:paraId="2CE64400" w14:textId="54554860" w:rsidR="00BD5723" w:rsidRPr="00CC0F21" w:rsidRDefault="00110044" w:rsidP="00DF2015">
      <w:pPr>
        <w:jc w:val="both"/>
        <w:rPr>
          <w:rFonts w:cstheme="minorHAnsi"/>
        </w:rPr>
      </w:pPr>
      <w:r w:rsidRPr="00CC0F21">
        <w:rPr>
          <w:rFonts w:cstheme="minorHAnsi"/>
        </w:rPr>
        <w:t xml:space="preserve">A full explanation of the model is beyond the scope of this document. Instead some example scenarios are included below to </w:t>
      </w:r>
      <w:r w:rsidR="00290890" w:rsidRPr="00CC0F21">
        <w:rPr>
          <w:rFonts w:cstheme="minorHAnsi"/>
        </w:rPr>
        <w:t xml:space="preserve">demonstrate </w:t>
      </w:r>
      <w:r w:rsidR="00052A17" w:rsidRPr="00CC0F21">
        <w:rPr>
          <w:rFonts w:cstheme="minorHAnsi"/>
        </w:rPr>
        <w:t xml:space="preserve">how </w:t>
      </w:r>
      <w:r w:rsidR="00290890" w:rsidRPr="00CC0F21">
        <w:rPr>
          <w:rFonts w:cstheme="minorHAnsi"/>
        </w:rPr>
        <w:t xml:space="preserve">adjustments can be made to the Obscuro </w:t>
      </w:r>
      <w:r w:rsidR="006660FC" w:rsidRPr="00CC0F21">
        <w:rPr>
          <w:rFonts w:cstheme="minorHAnsi"/>
        </w:rPr>
        <w:t xml:space="preserve">protocol </w:t>
      </w:r>
      <w:r w:rsidR="00052A17" w:rsidRPr="00CC0F21">
        <w:rPr>
          <w:rFonts w:cstheme="minorHAnsi"/>
        </w:rPr>
        <w:t>over time to create a self-sustaining, attractive and fair network</w:t>
      </w:r>
      <w:r w:rsidR="00D424F5" w:rsidRPr="00CC0F21">
        <w:rPr>
          <w:rFonts w:cstheme="minorHAnsi"/>
        </w:rPr>
        <w:t xml:space="preserve"> where node operators are sufficiently rewarded.</w:t>
      </w:r>
    </w:p>
    <w:p w14:paraId="1A9AB94C" w14:textId="221037E6" w:rsidR="0099013B" w:rsidRPr="00CC0F21" w:rsidRDefault="0099013B" w:rsidP="00DF2015">
      <w:pPr>
        <w:jc w:val="both"/>
        <w:rPr>
          <w:rFonts w:cstheme="minorHAnsi"/>
        </w:rPr>
      </w:pPr>
      <w:r w:rsidRPr="00CC0F21">
        <w:rPr>
          <w:rFonts w:cstheme="minorHAnsi"/>
        </w:rPr>
        <w:t xml:space="preserve">Variables </w:t>
      </w:r>
      <w:r w:rsidR="00241817" w:rsidRPr="00CC0F21">
        <w:rPr>
          <w:rFonts w:cstheme="minorHAnsi"/>
        </w:rPr>
        <w:t>used in model</w:t>
      </w:r>
      <w:r w:rsidR="00C93349" w:rsidRPr="00CC0F21">
        <w:rPr>
          <w:rFonts w:cstheme="minorHAnsi"/>
        </w:rPr>
        <w:t>:</w:t>
      </w:r>
    </w:p>
    <w:p w14:paraId="491848C9" w14:textId="2ED10F52" w:rsidR="004108EA" w:rsidRPr="00CC0F21" w:rsidRDefault="00BB77B5" w:rsidP="00DF2015">
      <w:pPr>
        <w:pStyle w:val="ListParagraph"/>
        <w:numPr>
          <w:ilvl w:val="0"/>
          <w:numId w:val="16"/>
        </w:numPr>
        <w:jc w:val="both"/>
        <w:rPr>
          <w:rFonts w:cstheme="minorHAnsi"/>
        </w:rPr>
      </w:pPr>
      <w:r w:rsidRPr="00CC0F21">
        <w:rPr>
          <w:rFonts w:cstheme="minorHAnsi"/>
        </w:rPr>
        <w:t>Maximum fee per transaction</w:t>
      </w:r>
    </w:p>
    <w:p w14:paraId="36471C2C" w14:textId="475CF605" w:rsidR="004E23A3" w:rsidRPr="00CC0F21" w:rsidRDefault="009B216F" w:rsidP="00DF2015">
      <w:pPr>
        <w:pStyle w:val="ListParagraph"/>
        <w:numPr>
          <w:ilvl w:val="0"/>
          <w:numId w:val="16"/>
        </w:numPr>
        <w:jc w:val="both"/>
        <w:rPr>
          <w:rFonts w:cstheme="minorHAnsi"/>
        </w:rPr>
      </w:pPr>
      <w:r w:rsidRPr="00CC0F21">
        <w:rPr>
          <w:rFonts w:cstheme="minorHAnsi"/>
        </w:rPr>
        <w:t>Number of transaction per rollup *</w:t>
      </w:r>
    </w:p>
    <w:p w14:paraId="0AD98575" w14:textId="1A24BB3C" w:rsidR="004108EA" w:rsidRPr="00CC0F21" w:rsidRDefault="00047892" w:rsidP="00DF2015">
      <w:pPr>
        <w:pStyle w:val="ListParagraph"/>
        <w:numPr>
          <w:ilvl w:val="0"/>
          <w:numId w:val="16"/>
        </w:numPr>
        <w:jc w:val="both"/>
        <w:rPr>
          <w:rFonts w:cstheme="minorHAnsi"/>
        </w:rPr>
      </w:pPr>
      <w:r w:rsidRPr="00CC0F21">
        <w:rPr>
          <w:rFonts w:cstheme="minorHAnsi"/>
        </w:rPr>
        <w:t>Number of Aggregator nodes in the network</w:t>
      </w:r>
      <w:r w:rsidR="007F5D2D" w:rsidRPr="00CC0F21">
        <w:rPr>
          <w:rFonts w:cstheme="minorHAnsi"/>
        </w:rPr>
        <w:t xml:space="preserve"> *</w:t>
      </w:r>
    </w:p>
    <w:p w14:paraId="25111ABC" w14:textId="77777777" w:rsidR="004E23A3" w:rsidRPr="00CC0F21" w:rsidRDefault="004E23A3" w:rsidP="00DF2015">
      <w:pPr>
        <w:pStyle w:val="ListParagraph"/>
        <w:numPr>
          <w:ilvl w:val="0"/>
          <w:numId w:val="16"/>
        </w:numPr>
        <w:jc w:val="both"/>
        <w:rPr>
          <w:rFonts w:cstheme="minorHAnsi"/>
        </w:rPr>
      </w:pPr>
      <w:r w:rsidRPr="00CC0F21">
        <w:rPr>
          <w:rFonts w:cstheme="minorHAnsi"/>
        </w:rPr>
        <w:t>Stake value per rollup</w:t>
      </w:r>
    </w:p>
    <w:p w14:paraId="7928593E" w14:textId="43C045D1" w:rsidR="0032003E" w:rsidRPr="00CC0F21" w:rsidRDefault="004108EA" w:rsidP="00DF2015">
      <w:pPr>
        <w:pStyle w:val="ListParagraph"/>
        <w:numPr>
          <w:ilvl w:val="0"/>
          <w:numId w:val="16"/>
        </w:numPr>
        <w:jc w:val="both"/>
        <w:rPr>
          <w:rFonts w:cstheme="minorHAnsi"/>
        </w:rPr>
      </w:pPr>
      <w:r w:rsidRPr="00CC0F21">
        <w:rPr>
          <w:rFonts w:cstheme="minorHAnsi"/>
        </w:rPr>
        <w:t xml:space="preserve">How frequently the </w:t>
      </w:r>
      <w:r w:rsidR="00047892" w:rsidRPr="00CC0F21">
        <w:rPr>
          <w:rFonts w:cstheme="minorHAnsi"/>
        </w:rPr>
        <w:t>rollups are submitted to Ethereum Mainnet</w:t>
      </w:r>
    </w:p>
    <w:p w14:paraId="1F1730DD" w14:textId="38277FA7" w:rsidR="00534319" w:rsidRPr="00CC0F21" w:rsidRDefault="00047892" w:rsidP="00DF2015">
      <w:pPr>
        <w:pStyle w:val="ListParagraph"/>
        <w:numPr>
          <w:ilvl w:val="0"/>
          <w:numId w:val="16"/>
        </w:numPr>
        <w:jc w:val="both"/>
        <w:rPr>
          <w:rFonts w:cstheme="minorHAnsi"/>
        </w:rPr>
      </w:pPr>
      <w:r w:rsidRPr="00CC0F21">
        <w:rPr>
          <w:rFonts w:cstheme="minorHAnsi"/>
        </w:rPr>
        <w:t>Token price</w:t>
      </w:r>
    </w:p>
    <w:p w14:paraId="08A41E21" w14:textId="332D64C7" w:rsidR="009508EC" w:rsidRPr="00CC0F21" w:rsidRDefault="00C0291C" w:rsidP="00DF2015">
      <w:pPr>
        <w:jc w:val="both"/>
        <w:rPr>
          <w:rFonts w:cstheme="minorHAnsi"/>
        </w:rPr>
      </w:pPr>
      <w:r w:rsidRPr="00CC0F21">
        <w:rPr>
          <w:rFonts w:cstheme="minorHAnsi"/>
        </w:rPr>
        <w:t>Assumptions used in the model</w:t>
      </w:r>
      <w:r w:rsidR="009508EC" w:rsidRPr="00CC0F21">
        <w:rPr>
          <w:rFonts w:cstheme="minorHAnsi"/>
        </w:rPr>
        <w:t>:</w:t>
      </w:r>
    </w:p>
    <w:p w14:paraId="1895151E" w14:textId="49CFE80A" w:rsidR="0035003F" w:rsidRPr="00CC0F21" w:rsidRDefault="009508EC" w:rsidP="00DF2015">
      <w:pPr>
        <w:pStyle w:val="ListParagraph"/>
        <w:numPr>
          <w:ilvl w:val="0"/>
          <w:numId w:val="15"/>
        </w:numPr>
        <w:jc w:val="both"/>
        <w:rPr>
          <w:rFonts w:cstheme="minorHAnsi"/>
        </w:rPr>
      </w:pPr>
      <w:r w:rsidRPr="00CC0F21">
        <w:rPr>
          <w:rFonts w:cstheme="minorHAnsi"/>
        </w:rPr>
        <w:t xml:space="preserve">cost to submit the rollup to Ethereum Mainnet </w:t>
      </w:r>
      <w:r w:rsidR="00221F3D" w:rsidRPr="00CC0F21">
        <w:rPr>
          <w:rFonts w:cstheme="minorHAnsi"/>
        </w:rPr>
        <w:t xml:space="preserve">= </w:t>
      </w:r>
      <w:r w:rsidRPr="00CC0F21">
        <w:rPr>
          <w:rFonts w:cstheme="minorHAnsi"/>
        </w:rPr>
        <w:t>$70</w:t>
      </w:r>
      <w:r w:rsidR="0035003F" w:rsidRPr="00CC0F21">
        <w:rPr>
          <w:rFonts w:cstheme="minorHAnsi"/>
        </w:rPr>
        <w:t>0</w:t>
      </w:r>
      <w:r w:rsidR="00C0291C" w:rsidRPr="00CC0F21">
        <w:rPr>
          <w:rFonts w:cstheme="minorHAnsi"/>
        </w:rPr>
        <w:t xml:space="preserve"> </w:t>
      </w:r>
      <w:r w:rsidR="007F5D2D" w:rsidRPr="00CC0F21">
        <w:rPr>
          <w:rFonts w:cstheme="minorHAnsi"/>
        </w:rPr>
        <w:t>*</w:t>
      </w:r>
    </w:p>
    <w:p w14:paraId="7D2B903C" w14:textId="16A45C6D" w:rsidR="0035003F" w:rsidRPr="00CC0F21" w:rsidRDefault="0035003F" w:rsidP="00DF2015">
      <w:pPr>
        <w:pStyle w:val="ListParagraph"/>
        <w:numPr>
          <w:ilvl w:val="0"/>
          <w:numId w:val="15"/>
        </w:numPr>
        <w:jc w:val="both"/>
        <w:rPr>
          <w:rFonts w:cstheme="minorHAnsi"/>
        </w:rPr>
      </w:pPr>
      <w:r w:rsidRPr="00CC0F21">
        <w:rPr>
          <w:rFonts w:cstheme="minorHAnsi"/>
        </w:rPr>
        <w:t xml:space="preserve">monthly node host costs </w:t>
      </w:r>
      <w:r w:rsidR="00221F3D" w:rsidRPr="00CC0F21">
        <w:rPr>
          <w:rFonts w:cstheme="minorHAnsi"/>
        </w:rPr>
        <w:t>= $70</w:t>
      </w:r>
    </w:p>
    <w:p w14:paraId="5C503B02" w14:textId="6A5592F2" w:rsidR="00C0291C" w:rsidRPr="00CC0F21" w:rsidRDefault="00C0291C" w:rsidP="00DF2015">
      <w:pPr>
        <w:jc w:val="both"/>
        <w:rPr>
          <w:rFonts w:cstheme="minorHAnsi"/>
        </w:rPr>
      </w:pPr>
      <w:r w:rsidRPr="00CC0F21">
        <w:rPr>
          <w:rFonts w:cstheme="minorHAnsi"/>
        </w:rPr>
        <w:t>Variables and assumptions indicated with * are additionally modelled using four different growth scenarios (static, linear, aggressive linear, random) with the upper and lower bounds of 95% confidence internal being used in the calculations.</w:t>
      </w:r>
    </w:p>
    <w:p w14:paraId="183C0968" w14:textId="77777777" w:rsidR="000736C1" w:rsidRPr="00CC0F21" w:rsidRDefault="000736C1" w:rsidP="00DF2015">
      <w:pPr>
        <w:jc w:val="both"/>
        <w:rPr>
          <w:rFonts w:eastAsiaTheme="majorEastAsia" w:cstheme="minorHAnsi"/>
          <w:sz w:val="36"/>
          <w:szCs w:val="26"/>
        </w:rPr>
      </w:pPr>
      <w:r w:rsidRPr="00CC0F21">
        <w:rPr>
          <w:rFonts w:cstheme="minorHAnsi"/>
        </w:rPr>
        <w:br w:type="page"/>
      </w:r>
    </w:p>
    <w:p w14:paraId="58B93A56" w14:textId="507449B2" w:rsidR="007F5D2D" w:rsidRPr="00CC0F21" w:rsidRDefault="00AF227A" w:rsidP="00CC0F21">
      <w:pPr>
        <w:pStyle w:val="Heading2"/>
        <w:rPr>
          <w:color w:val="auto"/>
        </w:rPr>
      </w:pPr>
      <w:bookmarkStart w:id="41" w:name="_Toc104212440"/>
      <w:r w:rsidRPr="00CC0F21">
        <w:rPr>
          <w:color w:val="auto"/>
        </w:rPr>
        <w:lastRenderedPageBreak/>
        <w:t xml:space="preserve">Changing </w:t>
      </w:r>
      <w:r w:rsidR="00DC7F24" w:rsidRPr="00CC0F21">
        <w:rPr>
          <w:color w:val="auto"/>
        </w:rPr>
        <w:t xml:space="preserve">L2 </w:t>
      </w:r>
      <w:r w:rsidRPr="00CC0F21">
        <w:rPr>
          <w:color w:val="auto"/>
        </w:rPr>
        <w:t>M</w:t>
      </w:r>
      <w:r w:rsidR="007F5D2D" w:rsidRPr="00CC0F21">
        <w:rPr>
          <w:color w:val="auto"/>
        </w:rPr>
        <w:t>aximum Transaction Fee</w:t>
      </w:r>
      <w:bookmarkEnd w:id="41"/>
    </w:p>
    <w:p w14:paraId="4DA67CC8" w14:textId="7CBE82AF" w:rsidR="007F5D2D" w:rsidRPr="00CC0F21" w:rsidRDefault="00196226" w:rsidP="00DF2015">
      <w:pPr>
        <w:jc w:val="both"/>
        <w:rPr>
          <w:rFonts w:cstheme="minorHAnsi"/>
        </w:rPr>
      </w:pPr>
      <w:r w:rsidRPr="00CC0F21">
        <w:rPr>
          <w:rFonts w:cstheme="minorHAnsi"/>
        </w:rPr>
        <w:t xml:space="preserve">The charts below show the </w:t>
      </w:r>
      <w:r w:rsidR="00B665B8" w:rsidRPr="00CC0F21">
        <w:rPr>
          <w:rFonts w:cstheme="minorHAnsi"/>
        </w:rPr>
        <w:t>subsidies and rewards to be paid out per month</w:t>
      </w:r>
      <w:r w:rsidR="00FF5205" w:rsidRPr="00CC0F21">
        <w:rPr>
          <w:rFonts w:cstheme="minorHAnsi"/>
        </w:rPr>
        <w:t xml:space="preserve"> </w:t>
      </w:r>
      <w:r w:rsidRPr="00CC0F21">
        <w:rPr>
          <w:rFonts w:cstheme="minorHAnsi"/>
        </w:rPr>
        <w:t xml:space="preserve">for </w:t>
      </w:r>
      <w:r w:rsidR="00D62395" w:rsidRPr="00CC0F21">
        <w:rPr>
          <w:rFonts w:cstheme="minorHAnsi"/>
        </w:rPr>
        <w:t>three different scenarios</w:t>
      </w:r>
      <w:r w:rsidR="001C624F" w:rsidRPr="00CC0F21">
        <w:rPr>
          <w:rFonts w:cstheme="minorHAnsi"/>
        </w:rPr>
        <w:t xml:space="preserve"> where the maximum transaction </w:t>
      </w:r>
      <w:r w:rsidR="00DC7F24" w:rsidRPr="00CC0F21">
        <w:rPr>
          <w:rFonts w:cstheme="minorHAnsi"/>
        </w:rPr>
        <w:t xml:space="preserve">L2 </w:t>
      </w:r>
      <w:r w:rsidR="001C624F" w:rsidRPr="00CC0F21">
        <w:rPr>
          <w:rFonts w:cstheme="minorHAnsi"/>
        </w:rPr>
        <w:t>fee changes</w:t>
      </w:r>
      <w:r w:rsidR="00D62395" w:rsidRPr="00CC0F21">
        <w:rPr>
          <w:rFonts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85" w:type="dxa"/>
        </w:tblCellMar>
        <w:tblLook w:val="04A0" w:firstRow="1" w:lastRow="0" w:firstColumn="1" w:lastColumn="0" w:noHBand="0" w:noVBand="1"/>
      </w:tblPr>
      <w:tblGrid>
        <w:gridCol w:w="3119"/>
        <w:gridCol w:w="6169"/>
      </w:tblGrid>
      <w:tr w:rsidR="00CC0F21" w:rsidRPr="00CC0F21" w14:paraId="1170CD19" w14:textId="77777777" w:rsidTr="59D76693">
        <w:tc>
          <w:tcPr>
            <w:tcW w:w="3119" w:type="dxa"/>
            <w:vAlign w:val="center"/>
          </w:tcPr>
          <w:p w14:paraId="7C81B634" w14:textId="0E1AEC3C" w:rsidR="00C8105B" w:rsidRPr="00CC0F21" w:rsidRDefault="00881796" w:rsidP="00DF2015">
            <w:pPr>
              <w:jc w:val="both"/>
              <w:rPr>
                <w:rFonts w:cstheme="minorHAnsi"/>
                <w:b/>
                <w:bCs/>
                <w:i/>
                <w:iCs/>
                <w:sz w:val="20"/>
                <w:szCs w:val="18"/>
              </w:rPr>
            </w:pPr>
            <w:r w:rsidRPr="00CC0F21">
              <w:rPr>
                <w:rFonts w:cstheme="minorHAnsi"/>
                <w:b/>
                <w:bCs/>
                <w:i/>
                <w:iCs/>
                <w:sz w:val="20"/>
                <w:szCs w:val="18"/>
              </w:rPr>
              <w:t>Max transaction fee = $</w:t>
            </w:r>
            <w:r w:rsidR="0027055F" w:rsidRPr="00CC0F21">
              <w:rPr>
                <w:rFonts w:cstheme="minorHAnsi"/>
                <w:b/>
                <w:bCs/>
                <w:i/>
                <w:iCs/>
                <w:sz w:val="20"/>
                <w:szCs w:val="18"/>
              </w:rPr>
              <w:t>0.5</w:t>
            </w:r>
            <w:r w:rsidR="00ED1F32" w:rsidRPr="00CC0F21">
              <w:rPr>
                <w:rFonts w:cstheme="minorHAnsi"/>
                <w:b/>
                <w:bCs/>
                <w:i/>
                <w:iCs/>
                <w:sz w:val="20"/>
                <w:szCs w:val="18"/>
              </w:rPr>
              <w:t>0</w:t>
            </w:r>
          </w:p>
          <w:p w14:paraId="7D2923C5" w14:textId="57274931" w:rsidR="000B1D34" w:rsidRPr="00CC0F21" w:rsidRDefault="00EF069E" w:rsidP="00DF2015">
            <w:pPr>
              <w:jc w:val="both"/>
              <w:rPr>
                <w:rFonts w:cstheme="minorHAnsi"/>
                <w:i/>
                <w:iCs/>
                <w:sz w:val="20"/>
                <w:szCs w:val="18"/>
              </w:rPr>
            </w:pPr>
            <w:r w:rsidRPr="00CC0F21">
              <w:rPr>
                <w:rFonts w:cstheme="minorHAnsi"/>
                <w:i/>
                <w:iCs/>
                <w:sz w:val="20"/>
                <w:szCs w:val="18"/>
              </w:rPr>
              <w:t>N</w:t>
            </w:r>
            <w:r w:rsidR="004B171C" w:rsidRPr="00CC0F21">
              <w:rPr>
                <w:rFonts w:cstheme="minorHAnsi"/>
                <w:i/>
                <w:iCs/>
                <w:sz w:val="20"/>
                <w:szCs w:val="18"/>
              </w:rPr>
              <w:t>o.</w:t>
            </w:r>
            <w:r w:rsidR="00F85CC9" w:rsidRPr="00CC0F21">
              <w:rPr>
                <w:rFonts w:cstheme="minorHAnsi"/>
                <w:i/>
                <w:iCs/>
                <w:sz w:val="20"/>
                <w:szCs w:val="18"/>
              </w:rPr>
              <w:t xml:space="preserve"> of transactions per rollup </w:t>
            </w:r>
            <w:r w:rsidR="00B13F34" w:rsidRPr="00CC0F21">
              <w:rPr>
                <w:rFonts w:cstheme="minorHAnsi"/>
                <w:i/>
                <w:iCs/>
                <w:sz w:val="20"/>
                <w:szCs w:val="18"/>
              </w:rPr>
              <w:t xml:space="preserve">increase </w:t>
            </w:r>
            <w:r w:rsidR="004A78E2" w:rsidRPr="00CC0F21">
              <w:rPr>
                <w:rFonts w:cstheme="minorHAnsi"/>
                <w:i/>
                <w:iCs/>
                <w:sz w:val="20"/>
                <w:szCs w:val="18"/>
              </w:rPr>
              <w:t>3% MoM</w:t>
            </w:r>
          </w:p>
          <w:p w14:paraId="1FD695AD" w14:textId="77777777" w:rsidR="0056518E" w:rsidRPr="00CC0F21" w:rsidRDefault="00EF069E" w:rsidP="00DF2015">
            <w:pPr>
              <w:jc w:val="both"/>
              <w:rPr>
                <w:rFonts w:cstheme="minorHAnsi"/>
                <w:i/>
                <w:iCs/>
                <w:sz w:val="20"/>
                <w:szCs w:val="18"/>
              </w:rPr>
            </w:pPr>
            <w:r w:rsidRPr="00CC0F21">
              <w:rPr>
                <w:rFonts w:cstheme="minorHAnsi"/>
                <w:i/>
                <w:iCs/>
                <w:sz w:val="20"/>
                <w:szCs w:val="18"/>
              </w:rPr>
              <w:t xml:space="preserve">Rollup </w:t>
            </w:r>
            <w:r w:rsidR="0056518E" w:rsidRPr="00CC0F21">
              <w:rPr>
                <w:rFonts w:cstheme="minorHAnsi"/>
                <w:i/>
                <w:iCs/>
                <w:sz w:val="20"/>
                <w:szCs w:val="18"/>
              </w:rPr>
              <w:t>submission interval</w:t>
            </w:r>
            <w:r w:rsidRPr="00CC0F21">
              <w:rPr>
                <w:rFonts w:cstheme="minorHAnsi"/>
                <w:i/>
                <w:iCs/>
                <w:sz w:val="20"/>
                <w:szCs w:val="18"/>
              </w:rPr>
              <w:t xml:space="preserve"> = 2</w:t>
            </w:r>
            <w:r w:rsidR="004B171C" w:rsidRPr="00CC0F21">
              <w:rPr>
                <w:rFonts w:cstheme="minorHAnsi"/>
                <w:i/>
                <w:iCs/>
                <w:sz w:val="20"/>
                <w:szCs w:val="18"/>
              </w:rPr>
              <w:t>h</w:t>
            </w:r>
          </w:p>
          <w:p w14:paraId="3413147E" w14:textId="69109983" w:rsidR="00E05208" w:rsidRPr="00CC0F21" w:rsidRDefault="00B665B8" w:rsidP="00DF2015">
            <w:pPr>
              <w:jc w:val="both"/>
              <w:rPr>
                <w:rFonts w:cstheme="minorHAnsi"/>
                <w:i/>
                <w:iCs/>
                <w:sz w:val="20"/>
                <w:szCs w:val="18"/>
              </w:rPr>
            </w:pPr>
            <w:r w:rsidRPr="00CC0F21">
              <w:rPr>
                <w:rFonts w:cstheme="minorHAnsi"/>
                <w:i/>
                <w:iCs/>
                <w:sz w:val="20"/>
                <w:szCs w:val="18"/>
              </w:rPr>
              <w:t>T</w:t>
            </w:r>
            <w:r w:rsidR="00E05208" w:rsidRPr="00CC0F21">
              <w:rPr>
                <w:rFonts w:cstheme="minorHAnsi"/>
                <w:i/>
                <w:iCs/>
                <w:sz w:val="20"/>
                <w:szCs w:val="18"/>
              </w:rPr>
              <w:t>oken price increase</w:t>
            </w:r>
            <w:r w:rsidR="0040659E" w:rsidRPr="00CC0F21">
              <w:rPr>
                <w:rFonts w:cstheme="minorHAnsi"/>
                <w:i/>
                <w:iCs/>
                <w:sz w:val="20"/>
                <w:szCs w:val="18"/>
              </w:rPr>
              <w:t xml:space="preserve"> 10% </w:t>
            </w:r>
            <w:r w:rsidR="00B71A9B" w:rsidRPr="00CC0F21">
              <w:rPr>
                <w:rFonts w:cstheme="minorHAnsi"/>
                <w:i/>
                <w:iCs/>
                <w:sz w:val="20"/>
                <w:szCs w:val="18"/>
              </w:rPr>
              <w:t>MoM</w:t>
            </w:r>
          </w:p>
        </w:tc>
        <w:tc>
          <w:tcPr>
            <w:tcW w:w="6169" w:type="dxa"/>
            <w:vAlign w:val="center"/>
          </w:tcPr>
          <w:p w14:paraId="5B060814" w14:textId="58EFE418" w:rsidR="000B1D34" w:rsidRPr="00CC0F21" w:rsidRDefault="4B02F2AE" w:rsidP="00DF2015">
            <w:pPr>
              <w:jc w:val="both"/>
              <w:rPr>
                <w:rFonts w:cstheme="minorHAnsi"/>
              </w:rPr>
            </w:pPr>
            <w:r w:rsidRPr="00CC0F21">
              <w:rPr>
                <w:rFonts w:cstheme="minorHAnsi"/>
              </w:rPr>
              <w:drawing>
                <wp:inline distT="0" distB="0" distL="0" distR="0" wp14:anchorId="7A794916" wp14:editId="05E5590F">
                  <wp:extent cx="3614808" cy="219456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14808" cy="2194560"/>
                          </a:xfrm>
                          <a:prstGeom prst="rect">
                            <a:avLst/>
                          </a:prstGeom>
                        </pic:spPr>
                      </pic:pic>
                    </a:graphicData>
                  </a:graphic>
                </wp:inline>
              </w:drawing>
            </w:r>
          </w:p>
        </w:tc>
      </w:tr>
      <w:tr w:rsidR="00CC0F21" w:rsidRPr="00CC0F21" w14:paraId="41313992" w14:textId="77777777" w:rsidTr="59D76693">
        <w:tc>
          <w:tcPr>
            <w:tcW w:w="3119" w:type="dxa"/>
            <w:vAlign w:val="center"/>
          </w:tcPr>
          <w:p w14:paraId="40A9A532" w14:textId="77777777" w:rsidR="0027055F" w:rsidRPr="00CC0F21" w:rsidRDefault="0027055F" w:rsidP="00DF2015">
            <w:pPr>
              <w:jc w:val="both"/>
              <w:rPr>
                <w:rFonts w:cstheme="minorHAnsi"/>
                <w:b/>
                <w:bCs/>
                <w:i/>
                <w:iCs/>
                <w:sz w:val="20"/>
                <w:szCs w:val="18"/>
              </w:rPr>
            </w:pPr>
            <w:r w:rsidRPr="00CC0F21">
              <w:rPr>
                <w:rFonts w:cstheme="minorHAnsi"/>
                <w:b/>
                <w:bCs/>
                <w:i/>
                <w:iCs/>
                <w:sz w:val="20"/>
                <w:szCs w:val="18"/>
              </w:rPr>
              <w:t>Max transaction fee = $1.00</w:t>
            </w:r>
          </w:p>
          <w:p w14:paraId="47335464" w14:textId="77777777" w:rsidR="0027055F" w:rsidRPr="00CC0F21" w:rsidRDefault="0027055F" w:rsidP="00DF2015">
            <w:pPr>
              <w:jc w:val="both"/>
              <w:rPr>
                <w:rFonts w:cstheme="minorHAnsi"/>
                <w:i/>
                <w:iCs/>
                <w:sz w:val="20"/>
                <w:szCs w:val="18"/>
              </w:rPr>
            </w:pPr>
            <w:r w:rsidRPr="00CC0F21">
              <w:rPr>
                <w:rFonts w:cstheme="minorHAnsi"/>
                <w:i/>
                <w:iCs/>
                <w:sz w:val="20"/>
                <w:szCs w:val="18"/>
              </w:rPr>
              <w:t>No. of transactions per rollup increase 3% MoM</w:t>
            </w:r>
          </w:p>
          <w:p w14:paraId="17396961" w14:textId="77777777" w:rsidR="0027055F" w:rsidRPr="00CC0F21" w:rsidRDefault="0027055F" w:rsidP="00DF2015">
            <w:pPr>
              <w:jc w:val="both"/>
              <w:rPr>
                <w:rFonts w:cstheme="minorHAnsi"/>
                <w:i/>
                <w:iCs/>
                <w:sz w:val="20"/>
                <w:szCs w:val="18"/>
              </w:rPr>
            </w:pPr>
            <w:r w:rsidRPr="00CC0F21">
              <w:rPr>
                <w:rFonts w:cstheme="minorHAnsi"/>
                <w:i/>
                <w:iCs/>
                <w:sz w:val="20"/>
                <w:szCs w:val="18"/>
              </w:rPr>
              <w:t>Rollup submission interval = 2h</w:t>
            </w:r>
          </w:p>
          <w:p w14:paraId="2F78E5CA" w14:textId="78590F70" w:rsidR="000B1D34" w:rsidRPr="00CC0F21" w:rsidRDefault="0027055F" w:rsidP="00DF2015">
            <w:pPr>
              <w:jc w:val="both"/>
              <w:rPr>
                <w:rFonts w:cstheme="minorHAnsi"/>
              </w:rPr>
            </w:pPr>
            <w:r w:rsidRPr="00CC0F21">
              <w:rPr>
                <w:rFonts w:cstheme="minorHAnsi"/>
                <w:i/>
                <w:iCs/>
                <w:sz w:val="20"/>
                <w:szCs w:val="18"/>
              </w:rPr>
              <w:t>Token price increase 10% MoM</w:t>
            </w:r>
            <w:r w:rsidRPr="00CC0F21">
              <w:rPr>
                <w:rFonts w:cstheme="minorHAnsi"/>
              </w:rPr>
              <w:t xml:space="preserve"> </w:t>
            </w:r>
          </w:p>
        </w:tc>
        <w:tc>
          <w:tcPr>
            <w:tcW w:w="6169" w:type="dxa"/>
            <w:vAlign w:val="center"/>
          </w:tcPr>
          <w:p w14:paraId="4C144894" w14:textId="742A7FB3" w:rsidR="000B1D34" w:rsidRPr="00CC0F21" w:rsidRDefault="5302B603" w:rsidP="00DF2015">
            <w:pPr>
              <w:jc w:val="both"/>
              <w:rPr>
                <w:rFonts w:cstheme="minorHAnsi"/>
              </w:rPr>
            </w:pPr>
            <w:r w:rsidRPr="00CC0F21">
              <w:rPr>
                <w:rFonts w:cstheme="minorHAnsi"/>
              </w:rPr>
              <w:drawing>
                <wp:inline distT="0" distB="0" distL="0" distR="0" wp14:anchorId="085074B1" wp14:editId="1986BC69">
                  <wp:extent cx="3614808" cy="219456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808" cy="2194560"/>
                          </a:xfrm>
                          <a:prstGeom prst="rect">
                            <a:avLst/>
                          </a:prstGeom>
                        </pic:spPr>
                      </pic:pic>
                    </a:graphicData>
                  </a:graphic>
                </wp:inline>
              </w:drawing>
            </w:r>
          </w:p>
        </w:tc>
      </w:tr>
      <w:tr w:rsidR="004B4D98" w:rsidRPr="00CC0F21" w14:paraId="40BAEC98" w14:textId="77777777" w:rsidTr="59D76693">
        <w:tc>
          <w:tcPr>
            <w:tcW w:w="3119" w:type="dxa"/>
            <w:vAlign w:val="center"/>
          </w:tcPr>
          <w:p w14:paraId="106133FA" w14:textId="45E9701F" w:rsidR="007229CD" w:rsidRPr="00CC0F21" w:rsidRDefault="007229CD" w:rsidP="00DF2015">
            <w:pPr>
              <w:jc w:val="both"/>
              <w:rPr>
                <w:rFonts w:cstheme="minorHAnsi"/>
                <w:b/>
                <w:bCs/>
                <w:i/>
                <w:iCs/>
                <w:sz w:val="20"/>
                <w:szCs w:val="18"/>
              </w:rPr>
            </w:pPr>
            <w:r w:rsidRPr="00CC0F21">
              <w:rPr>
                <w:rFonts w:cstheme="minorHAnsi"/>
                <w:b/>
                <w:bCs/>
                <w:i/>
                <w:iCs/>
                <w:sz w:val="20"/>
                <w:szCs w:val="18"/>
              </w:rPr>
              <w:t>Max transaction fee = $2.00</w:t>
            </w:r>
          </w:p>
          <w:p w14:paraId="7C13B351" w14:textId="77777777" w:rsidR="007229CD" w:rsidRPr="00CC0F21" w:rsidRDefault="007229CD" w:rsidP="00DF2015">
            <w:pPr>
              <w:jc w:val="both"/>
              <w:rPr>
                <w:rFonts w:cstheme="minorHAnsi"/>
                <w:i/>
                <w:iCs/>
                <w:sz w:val="20"/>
                <w:szCs w:val="18"/>
              </w:rPr>
            </w:pPr>
            <w:r w:rsidRPr="00CC0F21">
              <w:rPr>
                <w:rFonts w:cstheme="minorHAnsi"/>
                <w:i/>
                <w:iCs/>
                <w:sz w:val="20"/>
                <w:szCs w:val="18"/>
              </w:rPr>
              <w:t>No. of transactions per rollup increase 3% MoM</w:t>
            </w:r>
          </w:p>
          <w:p w14:paraId="1AD31ECB" w14:textId="77777777" w:rsidR="007229CD" w:rsidRPr="00CC0F21" w:rsidRDefault="007229CD" w:rsidP="00DF2015">
            <w:pPr>
              <w:jc w:val="both"/>
              <w:rPr>
                <w:rFonts w:cstheme="minorHAnsi"/>
                <w:i/>
                <w:iCs/>
                <w:sz w:val="20"/>
                <w:szCs w:val="18"/>
              </w:rPr>
            </w:pPr>
            <w:r w:rsidRPr="00CC0F21">
              <w:rPr>
                <w:rFonts w:cstheme="minorHAnsi"/>
                <w:i/>
                <w:iCs/>
                <w:sz w:val="20"/>
                <w:szCs w:val="18"/>
              </w:rPr>
              <w:t>Rollup submission interval = 2h</w:t>
            </w:r>
          </w:p>
          <w:p w14:paraId="187A6DC8" w14:textId="305108AB" w:rsidR="000B1D34" w:rsidRPr="00CC0F21" w:rsidRDefault="007229CD" w:rsidP="00DF2015">
            <w:pPr>
              <w:jc w:val="both"/>
              <w:rPr>
                <w:rFonts w:cstheme="minorHAnsi"/>
                <w:i/>
                <w:iCs/>
                <w:sz w:val="20"/>
                <w:szCs w:val="18"/>
              </w:rPr>
            </w:pPr>
            <w:r w:rsidRPr="00CC0F21">
              <w:rPr>
                <w:rFonts w:cstheme="minorHAnsi"/>
                <w:i/>
                <w:iCs/>
                <w:sz w:val="20"/>
                <w:szCs w:val="18"/>
              </w:rPr>
              <w:t>Token price increase 10% MoM</w:t>
            </w:r>
          </w:p>
        </w:tc>
        <w:tc>
          <w:tcPr>
            <w:tcW w:w="6169" w:type="dxa"/>
            <w:vAlign w:val="center"/>
          </w:tcPr>
          <w:p w14:paraId="2BD26008" w14:textId="2BDE8BAA" w:rsidR="000B1D34" w:rsidRPr="00CC0F21" w:rsidRDefault="5D42DD21" w:rsidP="00DF2015">
            <w:pPr>
              <w:jc w:val="both"/>
              <w:rPr>
                <w:rFonts w:cstheme="minorHAnsi"/>
              </w:rPr>
            </w:pPr>
            <w:r w:rsidRPr="00CC0F21">
              <w:rPr>
                <w:rFonts w:cstheme="minorHAnsi"/>
              </w:rPr>
              <w:drawing>
                <wp:inline distT="0" distB="0" distL="0" distR="0" wp14:anchorId="06C9AC75" wp14:editId="66E4203B">
                  <wp:extent cx="3614808" cy="219456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14808" cy="2194560"/>
                          </a:xfrm>
                          <a:prstGeom prst="rect">
                            <a:avLst/>
                          </a:prstGeom>
                        </pic:spPr>
                      </pic:pic>
                    </a:graphicData>
                  </a:graphic>
                </wp:inline>
              </w:drawing>
            </w:r>
          </w:p>
        </w:tc>
      </w:tr>
    </w:tbl>
    <w:p w14:paraId="29A0FEAC" w14:textId="77777777" w:rsidR="000B1D34" w:rsidRPr="00CC0F21" w:rsidRDefault="000B1D34" w:rsidP="00DF2015">
      <w:pPr>
        <w:jc w:val="both"/>
        <w:rPr>
          <w:rFonts w:cstheme="minorHAnsi"/>
        </w:rPr>
      </w:pPr>
    </w:p>
    <w:p w14:paraId="584E5734" w14:textId="77777777" w:rsidR="000736C1" w:rsidRPr="00CC0F21" w:rsidRDefault="000736C1" w:rsidP="00DF2015">
      <w:pPr>
        <w:jc w:val="both"/>
        <w:rPr>
          <w:rFonts w:eastAsiaTheme="majorEastAsia" w:cstheme="minorHAnsi"/>
          <w:sz w:val="36"/>
          <w:szCs w:val="26"/>
        </w:rPr>
      </w:pPr>
      <w:r w:rsidRPr="00CC0F21">
        <w:rPr>
          <w:rFonts w:cstheme="minorHAnsi"/>
        </w:rPr>
        <w:br w:type="page"/>
      </w:r>
    </w:p>
    <w:p w14:paraId="3D2910B7" w14:textId="3C4904EA" w:rsidR="004C72D8" w:rsidRPr="00CC0F21" w:rsidRDefault="00061978" w:rsidP="00CC0F21">
      <w:pPr>
        <w:pStyle w:val="Heading2"/>
        <w:rPr>
          <w:color w:val="auto"/>
        </w:rPr>
      </w:pPr>
      <w:bookmarkStart w:id="42" w:name="_Toc104212441"/>
      <w:r w:rsidRPr="00CC0F21">
        <w:rPr>
          <w:color w:val="auto"/>
        </w:rPr>
        <w:lastRenderedPageBreak/>
        <w:t xml:space="preserve">Changing </w:t>
      </w:r>
      <w:r w:rsidR="00944597" w:rsidRPr="00CC0F21">
        <w:rPr>
          <w:color w:val="auto"/>
        </w:rPr>
        <w:t>Rollup Submission Interval</w:t>
      </w:r>
      <w:bookmarkEnd w:id="42"/>
    </w:p>
    <w:p w14:paraId="23D12C10" w14:textId="45B7537D" w:rsidR="001C624F" w:rsidRPr="00CC0F21" w:rsidRDefault="001C624F" w:rsidP="00DF2015">
      <w:pPr>
        <w:jc w:val="both"/>
        <w:rPr>
          <w:rFonts w:cstheme="minorHAnsi"/>
        </w:rPr>
      </w:pPr>
      <w:r w:rsidRPr="00CC0F21">
        <w:rPr>
          <w:rFonts w:cstheme="minorHAnsi"/>
        </w:rPr>
        <w:t xml:space="preserve">The charts below show the subsidies and rewards to be paid out per month for three different scenarios where the </w:t>
      </w:r>
      <w:r w:rsidR="009E0911" w:rsidRPr="00CC0F21">
        <w:rPr>
          <w:rFonts w:cstheme="minorHAnsi"/>
        </w:rPr>
        <w:t>rollup submission interval changes</w:t>
      </w:r>
      <w:r w:rsidRPr="00CC0F21">
        <w:rPr>
          <w:rFonts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85" w:type="dxa"/>
        </w:tblCellMar>
        <w:tblLook w:val="04A0" w:firstRow="1" w:lastRow="0" w:firstColumn="1" w:lastColumn="0" w:noHBand="0" w:noVBand="1"/>
      </w:tblPr>
      <w:tblGrid>
        <w:gridCol w:w="3119"/>
        <w:gridCol w:w="6169"/>
      </w:tblGrid>
      <w:tr w:rsidR="00CC0F21" w:rsidRPr="00CC0F21" w14:paraId="3F56FDAE" w14:textId="77777777" w:rsidTr="59D76693">
        <w:tc>
          <w:tcPr>
            <w:tcW w:w="3119" w:type="dxa"/>
            <w:vAlign w:val="center"/>
          </w:tcPr>
          <w:p w14:paraId="1CF55B0E" w14:textId="77777777" w:rsidR="000A3936" w:rsidRPr="00CC0F21" w:rsidRDefault="000A3936" w:rsidP="00DF2015">
            <w:pPr>
              <w:jc w:val="both"/>
              <w:rPr>
                <w:rFonts w:cstheme="minorHAnsi"/>
                <w:i/>
                <w:iCs/>
                <w:sz w:val="20"/>
                <w:szCs w:val="18"/>
              </w:rPr>
            </w:pPr>
            <w:r w:rsidRPr="00CC0F21">
              <w:rPr>
                <w:rFonts w:cstheme="minorHAnsi"/>
                <w:i/>
                <w:iCs/>
                <w:sz w:val="20"/>
                <w:szCs w:val="18"/>
              </w:rPr>
              <w:t>Max transaction fee = $1.00</w:t>
            </w:r>
          </w:p>
          <w:p w14:paraId="0BB2D86B" w14:textId="77777777" w:rsidR="000A3936" w:rsidRPr="00CC0F21" w:rsidRDefault="000A3936" w:rsidP="00DF2015">
            <w:pPr>
              <w:jc w:val="both"/>
              <w:rPr>
                <w:rFonts w:cstheme="minorHAnsi"/>
                <w:i/>
                <w:iCs/>
                <w:sz w:val="20"/>
                <w:szCs w:val="18"/>
              </w:rPr>
            </w:pPr>
            <w:r w:rsidRPr="00CC0F21">
              <w:rPr>
                <w:rFonts w:cstheme="minorHAnsi"/>
                <w:i/>
                <w:iCs/>
                <w:sz w:val="20"/>
                <w:szCs w:val="18"/>
              </w:rPr>
              <w:t>No. of transactions per rollup increase 3% MoM</w:t>
            </w:r>
          </w:p>
          <w:p w14:paraId="67253A6A" w14:textId="77777777" w:rsidR="000A3936" w:rsidRPr="00CC0F21" w:rsidRDefault="000A3936" w:rsidP="00DF2015">
            <w:pPr>
              <w:jc w:val="both"/>
              <w:rPr>
                <w:rFonts w:cstheme="minorHAnsi"/>
                <w:b/>
                <w:bCs/>
                <w:i/>
                <w:iCs/>
                <w:sz w:val="20"/>
                <w:szCs w:val="18"/>
              </w:rPr>
            </w:pPr>
            <w:r w:rsidRPr="00CC0F21">
              <w:rPr>
                <w:rFonts w:cstheme="minorHAnsi"/>
                <w:b/>
                <w:bCs/>
                <w:i/>
                <w:iCs/>
                <w:sz w:val="20"/>
                <w:szCs w:val="18"/>
              </w:rPr>
              <w:t>Rollup submission interval = 2h</w:t>
            </w:r>
          </w:p>
          <w:p w14:paraId="442CC33C" w14:textId="1A3EE188" w:rsidR="001C624F" w:rsidRPr="00CC0F21" w:rsidRDefault="000A3936" w:rsidP="00DF2015">
            <w:pPr>
              <w:jc w:val="both"/>
              <w:rPr>
                <w:rFonts w:cstheme="minorHAnsi"/>
                <w:i/>
                <w:iCs/>
                <w:sz w:val="20"/>
                <w:szCs w:val="18"/>
              </w:rPr>
            </w:pPr>
            <w:r w:rsidRPr="00CC0F21">
              <w:rPr>
                <w:rFonts w:cstheme="minorHAnsi"/>
                <w:i/>
                <w:iCs/>
                <w:sz w:val="20"/>
                <w:szCs w:val="18"/>
              </w:rPr>
              <w:t>Token price increase 10% MoM</w:t>
            </w:r>
            <w:r w:rsidRPr="00CC0F21">
              <w:rPr>
                <w:rFonts w:cstheme="minorHAnsi"/>
              </w:rPr>
              <w:t xml:space="preserve"> </w:t>
            </w:r>
          </w:p>
        </w:tc>
        <w:tc>
          <w:tcPr>
            <w:tcW w:w="6169" w:type="dxa"/>
            <w:vAlign w:val="center"/>
          </w:tcPr>
          <w:p w14:paraId="044AA98B" w14:textId="304F4A2F" w:rsidR="001C624F" w:rsidRPr="00CC0F21" w:rsidRDefault="23F414C1" w:rsidP="00DF2015">
            <w:pPr>
              <w:jc w:val="both"/>
              <w:rPr>
                <w:rFonts w:cstheme="minorHAnsi"/>
              </w:rPr>
            </w:pPr>
            <w:r w:rsidRPr="00CC0F21">
              <w:rPr>
                <w:rFonts w:cstheme="minorHAnsi"/>
              </w:rPr>
              <w:drawing>
                <wp:inline distT="0" distB="0" distL="0" distR="0" wp14:anchorId="6CDDAEEF" wp14:editId="45E8D4FD">
                  <wp:extent cx="3614808" cy="219456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808" cy="2194560"/>
                          </a:xfrm>
                          <a:prstGeom prst="rect">
                            <a:avLst/>
                          </a:prstGeom>
                        </pic:spPr>
                      </pic:pic>
                    </a:graphicData>
                  </a:graphic>
                </wp:inline>
              </w:drawing>
            </w:r>
          </w:p>
        </w:tc>
      </w:tr>
      <w:tr w:rsidR="00CC0F21" w:rsidRPr="00CC0F21" w14:paraId="64C5E94E" w14:textId="77777777" w:rsidTr="59D76693">
        <w:tc>
          <w:tcPr>
            <w:tcW w:w="3119" w:type="dxa"/>
            <w:vAlign w:val="center"/>
          </w:tcPr>
          <w:p w14:paraId="787CD2EC" w14:textId="77777777" w:rsidR="00FC315F" w:rsidRPr="00CC0F21" w:rsidRDefault="00FC315F" w:rsidP="00DF2015">
            <w:pPr>
              <w:jc w:val="both"/>
              <w:rPr>
                <w:rFonts w:cstheme="minorHAnsi"/>
                <w:i/>
                <w:iCs/>
                <w:sz w:val="20"/>
                <w:szCs w:val="18"/>
              </w:rPr>
            </w:pPr>
            <w:r w:rsidRPr="00CC0F21">
              <w:rPr>
                <w:rFonts w:cstheme="minorHAnsi"/>
                <w:i/>
                <w:iCs/>
                <w:sz w:val="20"/>
                <w:szCs w:val="18"/>
              </w:rPr>
              <w:t>Max transaction fee = $1.00</w:t>
            </w:r>
          </w:p>
          <w:p w14:paraId="67B4A743" w14:textId="77777777" w:rsidR="00FC315F" w:rsidRPr="00CC0F21" w:rsidRDefault="00FC315F" w:rsidP="00DF2015">
            <w:pPr>
              <w:jc w:val="both"/>
              <w:rPr>
                <w:rFonts w:cstheme="minorHAnsi"/>
                <w:i/>
                <w:iCs/>
                <w:sz w:val="20"/>
                <w:szCs w:val="18"/>
              </w:rPr>
            </w:pPr>
            <w:r w:rsidRPr="00CC0F21">
              <w:rPr>
                <w:rFonts w:cstheme="minorHAnsi"/>
                <w:i/>
                <w:iCs/>
                <w:sz w:val="20"/>
                <w:szCs w:val="18"/>
              </w:rPr>
              <w:t>No. of transactions per rollup increase 3% MoM</w:t>
            </w:r>
          </w:p>
          <w:p w14:paraId="1881952D" w14:textId="0E8E742C" w:rsidR="00FC315F" w:rsidRPr="00CC0F21" w:rsidRDefault="00FC315F" w:rsidP="00DF2015">
            <w:pPr>
              <w:jc w:val="both"/>
              <w:rPr>
                <w:rFonts w:cstheme="minorHAnsi"/>
                <w:b/>
                <w:bCs/>
                <w:i/>
                <w:iCs/>
                <w:sz w:val="20"/>
                <w:szCs w:val="18"/>
              </w:rPr>
            </w:pPr>
            <w:r w:rsidRPr="00CC0F21">
              <w:rPr>
                <w:rFonts w:cstheme="minorHAnsi"/>
                <w:b/>
                <w:bCs/>
                <w:i/>
                <w:iCs/>
                <w:sz w:val="20"/>
                <w:szCs w:val="18"/>
              </w:rPr>
              <w:t>Rollup submission interval = 1h</w:t>
            </w:r>
          </w:p>
          <w:p w14:paraId="2A9148E6" w14:textId="3E449F0A" w:rsidR="001C624F" w:rsidRPr="00CC0F21" w:rsidRDefault="00FC315F" w:rsidP="00DF2015">
            <w:pPr>
              <w:jc w:val="both"/>
              <w:rPr>
                <w:rFonts w:cstheme="minorHAnsi"/>
              </w:rPr>
            </w:pPr>
            <w:r w:rsidRPr="00CC0F21">
              <w:rPr>
                <w:rFonts w:cstheme="minorHAnsi"/>
                <w:i/>
                <w:iCs/>
                <w:sz w:val="20"/>
                <w:szCs w:val="18"/>
              </w:rPr>
              <w:t>Token price increase 10% MoM</w:t>
            </w:r>
            <w:r w:rsidRPr="00CC0F21">
              <w:rPr>
                <w:rFonts w:cstheme="minorHAnsi"/>
              </w:rPr>
              <w:t xml:space="preserve"> </w:t>
            </w:r>
          </w:p>
        </w:tc>
        <w:tc>
          <w:tcPr>
            <w:tcW w:w="6169" w:type="dxa"/>
            <w:vAlign w:val="center"/>
          </w:tcPr>
          <w:p w14:paraId="22A666E3" w14:textId="1351AFA0" w:rsidR="001C624F" w:rsidRPr="00CC0F21" w:rsidRDefault="5CFCC432" w:rsidP="00DF2015">
            <w:pPr>
              <w:jc w:val="both"/>
              <w:rPr>
                <w:rFonts w:cstheme="minorHAnsi"/>
              </w:rPr>
            </w:pPr>
            <w:r w:rsidRPr="00CC0F21">
              <w:rPr>
                <w:rFonts w:cstheme="minorHAnsi"/>
              </w:rPr>
              <w:drawing>
                <wp:inline distT="0" distB="0" distL="0" distR="0" wp14:anchorId="2D17B4AB" wp14:editId="3403A9BF">
                  <wp:extent cx="3614808" cy="219456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14808" cy="2194560"/>
                          </a:xfrm>
                          <a:prstGeom prst="rect">
                            <a:avLst/>
                          </a:prstGeom>
                        </pic:spPr>
                      </pic:pic>
                    </a:graphicData>
                  </a:graphic>
                </wp:inline>
              </w:drawing>
            </w:r>
          </w:p>
        </w:tc>
      </w:tr>
      <w:tr w:rsidR="001C624F" w:rsidRPr="00CC0F21" w14:paraId="1CAB5CA0" w14:textId="77777777" w:rsidTr="59D76693">
        <w:tc>
          <w:tcPr>
            <w:tcW w:w="3119" w:type="dxa"/>
            <w:vAlign w:val="center"/>
          </w:tcPr>
          <w:p w14:paraId="33E83216" w14:textId="77777777" w:rsidR="00FC315F" w:rsidRPr="00CC0F21" w:rsidRDefault="00FC315F" w:rsidP="00DF2015">
            <w:pPr>
              <w:jc w:val="both"/>
              <w:rPr>
                <w:rFonts w:cstheme="minorHAnsi"/>
                <w:i/>
                <w:iCs/>
                <w:sz w:val="20"/>
                <w:szCs w:val="18"/>
              </w:rPr>
            </w:pPr>
            <w:r w:rsidRPr="00CC0F21">
              <w:rPr>
                <w:rFonts w:cstheme="minorHAnsi"/>
                <w:i/>
                <w:iCs/>
                <w:sz w:val="20"/>
                <w:szCs w:val="18"/>
              </w:rPr>
              <w:t>Max transaction fee = $1.00</w:t>
            </w:r>
          </w:p>
          <w:p w14:paraId="6DD64D6E" w14:textId="77777777" w:rsidR="00FC315F" w:rsidRPr="00CC0F21" w:rsidRDefault="00FC315F" w:rsidP="00DF2015">
            <w:pPr>
              <w:jc w:val="both"/>
              <w:rPr>
                <w:rFonts w:cstheme="minorHAnsi"/>
                <w:i/>
                <w:iCs/>
                <w:sz w:val="20"/>
                <w:szCs w:val="18"/>
              </w:rPr>
            </w:pPr>
            <w:r w:rsidRPr="00CC0F21">
              <w:rPr>
                <w:rFonts w:cstheme="minorHAnsi"/>
                <w:i/>
                <w:iCs/>
                <w:sz w:val="20"/>
                <w:szCs w:val="18"/>
              </w:rPr>
              <w:t>No. of transactions per rollup increase 3% MoM</w:t>
            </w:r>
          </w:p>
          <w:p w14:paraId="51657430" w14:textId="3DDE914F" w:rsidR="00FC315F" w:rsidRPr="00CC0F21" w:rsidRDefault="00FC315F" w:rsidP="00DF2015">
            <w:pPr>
              <w:jc w:val="both"/>
              <w:rPr>
                <w:rFonts w:cstheme="minorHAnsi"/>
                <w:b/>
                <w:bCs/>
                <w:i/>
                <w:iCs/>
                <w:sz w:val="20"/>
                <w:szCs w:val="18"/>
              </w:rPr>
            </w:pPr>
            <w:r w:rsidRPr="00CC0F21">
              <w:rPr>
                <w:rFonts w:cstheme="minorHAnsi"/>
                <w:b/>
                <w:bCs/>
                <w:i/>
                <w:iCs/>
                <w:sz w:val="20"/>
                <w:szCs w:val="18"/>
              </w:rPr>
              <w:t>Rollup submission interval = 0.5h</w:t>
            </w:r>
          </w:p>
          <w:p w14:paraId="1D2A8CF6" w14:textId="3C273FC3" w:rsidR="001C624F" w:rsidRPr="00CC0F21" w:rsidRDefault="00FC315F" w:rsidP="00DF2015">
            <w:pPr>
              <w:jc w:val="both"/>
              <w:rPr>
                <w:rFonts w:cstheme="minorHAnsi"/>
                <w:i/>
                <w:iCs/>
                <w:sz w:val="20"/>
                <w:szCs w:val="18"/>
              </w:rPr>
            </w:pPr>
            <w:r w:rsidRPr="00CC0F21">
              <w:rPr>
                <w:rFonts w:cstheme="minorHAnsi"/>
                <w:i/>
                <w:iCs/>
                <w:sz w:val="20"/>
                <w:szCs w:val="18"/>
              </w:rPr>
              <w:t>Token price increase 10% MoM</w:t>
            </w:r>
            <w:r w:rsidRPr="00CC0F21">
              <w:rPr>
                <w:rFonts w:cstheme="minorHAnsi"/>
              </w:rPr>
              <w:t xml:space="preserve"> </w:t>
            </w:r>
          </w:p>
        </w:tc>
        <w:tc>
          <w:tcPr>
            <w:tcW w:w="6169" w:type="dxa"/>
            <w:vAlign w:val="center"/>
          </w:tcPr>
          <w:p w14:paraId="046E75D7" w14:textId="7C3ACDE8" w:rsidR="001C624F" w:rsidRPr="00CC0F21" w:rsidRDefault="5C8FF482" w:rsidP="00DF2015">
            <w:pPr>
              <w:jc w:val="both"/>
              <w:rPr>
                <w:rFonts w:cstheme="minorHAnsi"/>
              </w:rPr>
            </w:pPr>
            <w:r w:rsidRPr="00CC0F21">
              <w:rPr>
                <w:rFonts w:cstheme="minorHAnsi"/>
              </w:rPr>
              <w:drawing>
                <wp:inline distT="0" distB="0" distL="0" distR="0" wp14:anchorId="2F36E803" wp14:editId="1E0364A6">
                  <wp:extent cx="3614808" cy="219456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14808" cy="2194560"/>
                          </a:xfrm>
                          <a:prstGeom prst="rect">
                            <a:avLst/>
                          </a:prstGeom>
                        </pic:spPr>
                      </pic:pic>
                    </a:graphicData>
                  </a:graphic>
                </wp:inline>
              </w:drawing>
            </w:r>
          </w:p>
        </w:tc>
      </w:tr>
    </w:tbl>
    <w:p w14:paraId="7B7F2911" w14:textId="392FB685" w:rsidR="001B7E23" w:rsidRPr="00CC0F21" w:rsidRDefault="001B7E23" w:rsidP="00DF2015">
      <w:pPr>
        <w:jc w:val="both"/>
        <w:rPr>
          <w:rFonts w:cstheme="minorHAnsi"/>
        </w:rPr>
      </w:pPr>
    </w:p>
    <w:p w14:paraId="537ACF93" w14:textId="2F403373" w:rsidR="0172EE41" w:rsidRPr="00CC0F21" w:rsidRDefault="0172EE41" w:rsidP="00DF2015">
      <w:pPr>
        <w:jc w:val="both"/>
        <w:rPr>
          <w:rFonts w:cstheme="minorHAnsi"/>
        </w:rPr>
      </w:pPr>
      <w:r w:rsidRPr="00CC0F21">
        <w:rPr>
          <w:rFonts w:cstheme="minorHAnsi"/>
        </w:rPr>
        <w:br w:type="page"/>
      </w:r>
    </w:p>
    <w:p w14:paraId="1DB80D42" w14:textId="40BD2C9A" w:rsidR="001B7E23" w:rsidRPr="00CC0F21" w:rsidRDefault="00F1265A" w:rsidP="00CC0F21">
      <w:pPr>
        <w:pStyle w:val="Heading2"/>
        <w:rPr>
          <w:color w:val="auto"/>
        </w:rPr>
      </w:pPr>
      <w:bookmarkStart w:id="43" w:name="_Toc104212442"/>
      <w:r w:rsidRPr="00CC0F21">
        <w:rPr>
          <w:color w:val="auto"/>
        </w:rPr>
        <w:lastRenderedPageBreak/>
        <w:t xml:space="preserve">Changing Number of Transactions per </w:t>
      </w:r>
      <w:r w:rsidR="001B7E23" w:rsidRPr="00CC0F21">
        <w:rPr>
          <w:color w:val="auto"/>
        </w:rPr>
        <w:t>Rollup</w:t>
      </w:r>
      <w:bookmarkEnd w:id="43"/>
    </w:p>
    <w:p w14:paraId="38E1697B" w14:textId="0B50A95F" w:rsidR="001B7E23" w:rsidRPr="00CC0F21" w:rsidRDefault="001B7E23" w:rsidP="00DF2015">
      <w:pPr>
        <w:jc w:val="both"/>
        <w:rPr>
          <w:rFonts w:cstheme="minorHAnsi"/>
        </w:rPr>
      </w:pPr>
      <w:r w:rsidRPr="00CC0F21">
        <w:rPr>
          <w:rFonts w:cstheme="minorHAnsi"/>
        </w:rPr>
        <w:t xml:space="preserve">The charts below show the subsidies and rewards to be paid out per month for three different scenarios where the </w:t>
      </w:r>
      <w:r w:rsidR="00541535" w:rsidRPr="00CC0F21">
        <w:rPr>
          <w:rFonts w:cstheme="minorHAnsi"/>
        </w:rPr>
        <w:t>number of transaction per rollup changes</w:t>
      </w:r>
      <w:r w:rsidRPr="00CC0F21">
        <w:rPr>
          <w:rFonts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85" w:type="dxa"/>
        </w:tblCellMar>
        <w:tblLook w:val="04A0" w:firstRow="1" w:lastRow="0" w:firstColumn="1" w:lastColumn="0" w:noHBand="0" w:noVBand="1"/>
      </w:tblPr>
      <w:tblGrid>
        <w:gridCol w:w="3261"/>
        <w:gridCol w:w="6027"/>
      </w:tblGrid>
      <w:tr w:rsidR="00CC0F21" w:rsidRPr="00CC0F21" w14:paraId="610746D7" w14:textId="77777777" w:rsidTr="0172EE41">
        <w:tc>
          <w:tcPr>
            <w:tcW w:w="3261" w:type="dxa"/>
            <w:vAlign w:val="center"/>
          </w:tcPr>
          <w:p w14:paraId="5B9F4877" w14:textId="77777777" w:rsidR="00541535" w:rsidRPr="00CC0F21" w:rsidRDefault="00541535" w:rsidP="00DF2015">
            <w:pPr>
              <w:jc w:val="both"/>
              <w:rPr>
                <w:rFonts w:cstheme="minorHAnsi"/>
                <w:i/>
                <w:iCs/>
                <w:sz w:val="20"/>
                <w:szCs w:val="18"/>
              </w:rPr>
            </w:pPr>
            <w:r w:rsidRPr="00CC0F21">
              <w:rPr>
                <w:rFonts w:cstheme="minorHAnsi"/>
                <w:i/>
                <w:iCs/>
                <w:sz w:val="20"/>
                <w:szCs w:val="18"/>
              </w:rPr>
              <w:t>Max transaction fee = $1.00</w:t>
            </w:r>
          </w:p>
          <w:p w14:paraId="08ABDCD8" w14:textId="77777777" w:rsidR="00541535" w:rsidRPr="00CC0F21" w:rsidRDefault="00541535" w:rsidP="00DF2015">
            <w:pPr>
              <w:jc w:val="both"/>
              <w:rPr>
                <w:rFonts w:cstheme="minorHAnsi"/>
                <w:b/>
                <w:bCs/>
                <w:i/>
                <w:iCs/>
                <w:sz w:val="20"/>
                <w:szCs w:val="18"/>
              </w:rPr>
            </w:pPr>
            <w:r w:rsidRPr="00CC0F21">
              <w:rPr>
                <w:rFonts w:cstheme="minorHAnsi"/>
                <w:b/>
                <w:bCs/>
                <w:i/>
                <w:iCs/>
                <w:sz w:val="20"/>
                <w:szCs w:val="18"/>
              </w:rPr>
              <w:t>No. of transactions per rollup increase 3% MoM</w:t>
            </w:r>
          </w:p>
          <w:p w14:paraId="4443F541" w14:textId="77777777" w:rsidR="00541535" w:rsidRPr="00CC0F21" w:rsidRDefault="00541535" w:rsidP="00DF2015">
            <w:pPr>
              <w:jc w:val="both"/>
              <w:rPr>
                <w:rFonts w:cstheme="minorHAnsi"/>
                <w:i/>
                <w:iCs/>
                <w:sz w:val="20"/>
                <w:szCs w:val="18"/>
              </w:rPr>
            </w:pPr>
            <w:r w:rsidRPr="00CC0F21">
              <w:rPr>
                <w:rFonts w:cstheme="minorHAnsi"/>
                <w:i/>
                <w:iCs/>
                <w:sz w:val="20"/>
                <w:szCs w:val="18"/>
              </w:rPr>
              <w:t>Rollup submission interval = 2h</w:t>
            </w:r>
          </w:p>
          <w:p w14:paraId="154BF6A5" w14:textId="7E248D96" w:rsidR="001B7E23" w:rsidRPr="00CC0F21" w:rsidRDefault="00541535" w:rsidP="00DF2015">
            <w:pPr>
              <w:jc w:val="both"/>
              <w:rPr>
                <w:rFonts w:cstheme="minorHAnsi"/>
                <w:i/>
                <w:iCs/>
                <w:sz w:val="20"/>
                <w:szCs w:val="18"/>
              </w:rPr>
            </w:pPr>
            <w:r w:rsidRPr="00CC0F21">
              <w:rPr>
                <w:rFonts w:cstheme="minorHAnsi"/>
                <w:i/>
                <w:iCs/>
                <w:sz w:val="20"/>
                <w:szCs w:val="18"/>
              </w:rPr>
              <w:t>Token price increase 10% MoM</w:t>
            </w:r>
            <w:r w:rsidRPr="00CC0F21">
              <w:rPr>
                <w:rFonts w:cstheme="minorHAnsi"/>
              </w:rPr>
              <w:t xml:space="preserve"> </w:t>
            </w:r>
          </w:p>
        </w:tc>
        <w:tc>
          <w:tcPr>
            <w:tcW w:w="6027" w:type="dxa"/>
            <w:vAlign w:val="center"/>
          </w:tcPr>
          <w:p w14:paraId="1E41E552" w14:textId="764D279C" w:rsidR="001B7E23" w:rsidRPr="00CC0F21" w:rsidRDefault="00541535" w:rsidP="00DF2015">
            <w:pPr>
              <w:jc w:val="both"/>
              <w:rPr>
                <w:rFonts w:cstheme="minorHAnsi"/>
              </w:rPr>
            </w:pPr>
            <w:r w:rsidRPr="00CC0F21">
              <w:rPr>
                <w:rFonts w:cstheme="minorHAnsi"/>
              </w:rPr>
              <w:drawing>
                <wp:inline distT="0" distB="0" distL="0" distR="0" wp14:anchorId="08F59013" wp14:editId="576E4672">
                  <wp:extent cx="3614808" cy="219456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808" cy="2194560"/>
                          </a:xfrm>
                          <a:prstGeom prst="rect">
                            <a:avLst/>
                          </a:prstGeom>
                        </pic:spPr>
                      </pic:pic>
                    </a:graphicData>
                  </a:graphic>
                </wp:inline>
              </w:drawing>
            </w:r>
          </w:p>
        </w:tc>
      </w:tr>
      <w:tr w:rsidR="00CC0F21" w:rsidRPr="00CC0F21" w14:paraId="42D0AB55" w14:textId="77777777" w:rsidTr="0172EE41">
        <w:tc>
          <w:tcPr>
            <w:tcW w:w="3261" w:type="dxa"/>
            <w:vAlign w:val="center"/>
          </w:tcPr>
          <w:p w14:paraId="6F358DF4" w14:textId="77777777" w:rsidR="001B7E23" w:rsidRPr="00CC0F21" w:rsidRDefault="001B7E23" w:rsidP="00DF2015">
            <w:pPr>
              <w:jc w:val="both"/>
              <w:rPr>
                <w:rFonts w:cstheme="minorHAnsi"/>
                <w:i/>
                <w:iCs/>
                <w:sz w:val="20"/>
                <w:szCs w:val="18"/>
              </w:rPr>
            </w:pPr>
            <w:r w:rsidRPr="00CC0F21">
              <w:rPr>
                <w:rFonts w:cstheme="minorHAnsi"/>
                <w:i/>
                <w:iCs/>
                <w:sz w:val="20"/>
                <w:szCs w:val="18"/>
              </w:rPr>
              <w:t>Max transaction fee = $1.00</w:t>
            </w:r>
          </w:p>
          <w:p w14:paraId="7493C066" w14:textId="5E3217F9" w:rsidR="001B7E23" w:rsidRPr="00CC0F21" w:rsidRDefault="001B7E23" w:rsidP="00DF2015">
            <w:pPr>
              <w:jc w:val="both"/>
              <w:rPr>
                <w:rFonts w:cstheme="minorHAnsi"/>
                <w:b/>
                <w:bCs/>
                <w:i/>
                <w:iCs/>
                <w:sz w:val="20"/>
                <w:szCs w:val="18"/>
              </w:rPr>
            </w:pPr>
            <w:r w:rsidRPr="00CC0F21">
              <w:rPr>
                <w:rFonts w:cstheme="minorHAnsi"/>
                <w:b/>
                <w:bCs/>
                <w:i/>
                <w:iCs/>
                <w:sz w:val="20"/>
                <w:szCs w:val="18"/>
              </w:rPr>
              <w:t xml:space="preserve">No. of transactions per rollup </w:t>
            </w:r>
            <w:r w:rsidR="00C802FB" w:rsidRPr="00CC0F21">
              <w:rPr>
                <w:rFonts w:cstheme="minorHAnsi"/>
                <w:b/>
                <w:bCs/>
                <w:i/>
                <w:iCs/>
                <w:sz w:val="20"/>
                <w:szCs w:val="18"/>
              </w:rPr>
              <w:t xml:space="preserve">increasing </w:t>
            </w:r>
            <w:r w:rsidR="00A466A8" w:rsidRPr="00CC0F21">
              <w:rPr>
                <w:rFonts w:cstheme="minorHAnsi"/>
                <w:b/>
                <w:bCs/>
                <w:i/>
                <w:iCs/>
                <w:sz w:val="20"/>
                <w:szCs w:val="18"/>
              </w:rPr>
              <w:t>5</w:t>
            </w:r>
            <w:r w:rsidR="00C802FB" w:rsidRPr="00CC0F21">
              <w:rPr>
                <w:rFonts w:cstheme="minorHAnsi"/>
                <w:b/>
                <w:bCs/>
                <w:i/>
                <w:iCs/>
                <w:sz w:val="20"/>
                <w:szCs w:val="18"/>
              </w:rPr>
              <w:t xml:space="preserve">% </w:t>
            </w:r>
            <w:r w:rsidR="00B71A9B" w:rsidRPr="00CC0F21">
              <w:rPr>
                <w:rFonts w:cstheme="minorHAnsi"/>
                <w:b/>
                <w:bCs/>
                <w:i/>
                <w:iCs/>
                <w:sz w:val="20"/>
                <w:szCs w:val="18"/>
              </w:rPr>
              <w:t>MoM</w:t>
            </w:r>
          </w:p>
          <w:p w14:paraId="63490582" w14:textId="0CBFE848" w:rsidR="001B7E23" w:rsidRPr="00CC0F21" w:rsidRDefault="001B7E23" w:rsidP="00DF2015">
            <w:pPr>
              <w:jc w:val="both"/>
              <w:rPr>
                <w:rFonts w:cstheme="minorHAnsi"/>
                <w:i/>
                <w:iCs/>
                <w:sz w:val="20"/>
                <w:szCs w:val="18"/>
              </w:rPr>
            </w:pPr>
            <w:r w:rsidRPr="00CC0F21">
              <w:rPr>
                <w:rFonts w:cstheme="minorHAnsi"/>
                <w:i/>
                <w:iCs/>
                <w:sz w:val="20"/>
                <w:szCs w:val="18"/>
              </w:rPr>
              <w:t xml:space="preserve">Rollup submission interval = </w:t>
            </w:r>
            <w:r w:rsidR="00B71A9B" w:rsidRPr="00CC0F21">
              <w:rPr>
                <w:rFonts w:cstheme="minorHAnsi"/>
                <w:i/>
                <w:iCs/>
                <w:sz w:val="20"/>
                <w:szCs w:val="18"/>
              </w:rPr>
              <w:t>2</w:t>
            </w:r>
            <w:r w:rsidRPr="00CC0F21">
              <w:rPr>
                <w:rFonts w:cstheme="minorHAnsi"/>
                <w:i/>
                <w:iCs/>
                <w:sz w:val="20"/>
                <w:szCs w:val="18"/>
              </w:rPr>
              <w:t>h</w:t>
            </w:r>
          </w:p>
          <w:p w14:paraId="03654132" w14:textId="6B81D112" w:rsidR="001B7E23" w:rsidRPr="00CC0F21" w:rsidRDefault="001B7E23" w:rsidP="00DF2015">
            <w:pPr>
              <w:jc w:val="both"/>
              <w:rPr>
                <w:rFonts w:cstheme="minorHAnsi"/>
                <w:i/>
                <w:iCs/>
                <w:sz w:val="20"/>
                <w:szCs w:val="18"/>
              </w:rPr>
            </w:pPr>
            <w:r w:rsidRPr="00CC0F21">
              <w:rPr>
                <w:rFonts w:cstheme="minorHAnsi"/>
                <w:i/>
                <w:iCs/>
                <w:sz w:val="20"/>
                <w:szCs w:val="18"/>
              </w:rPr>
              <w:t xml:space="preserve">Token price increase 10% </w:t>
            </w:r>
            <w:r w:rsidR="00B71A9B" w:rsidRPr="00CC0F21">
              <w:rPr>
                <w:rFonts w:cstheme="minorHAnsi"/>
                <w:i/>
                <w:iCs/>
                <w:sz w:val="20"/>
                <w:szCs w:val="18"/>
              </w:rPr>
              <w:t>MoM</w:t>
            </w:r>
          </w:p>
          <w:p w14:paraId="5E82BD08" w14:textId="77777777" w:rsidR="001B7E23" w:rsidRPr="00CC0F21" w:rsidRDefault="001B7E23" w:rsidP="00DF2015">
            <w:pPr>
              <w:jc w:val="both"/>
              <w:rPr>
                <w:rFonts w:cstheme="minorHAnsi"/>
              </w:rPr>
            </w:pPr>
          </w:p>
        </w:tc>
        <w:tc>
          <w:tcPr>
            <w:tcW w:w="6027" w:type="dxa"/>
            <w:vAlign w:val="center"/>
          </w:tcPr>
          <w:p w14:paraId="589AB9A4" w14:textId="7F27747F" w:rsidR="001B7E23" w:rsidRPr="00CC0F21" w:rsidRDefault="6AE9EB62" w:rsidP="00DF2015">
            <w:pPr>
              <w:jc w:val="both"/>
              <w:rPr>
                <w:rFonts w:cstheme="minorHAnsi"/>
              </w:rPr>
            </w:pPr>
            <w:r w:rsidRPr="00CC0F21">
              <w:rPr>
                <w:rFonts w:cstheme="minorHAnsi"/>
              </w:rPr>
              <w:drawing>
                <wp:inline distT="0" distB="0" distL="0" distR="0" wp14:anchorId="07F0E618" wp14:editId="7403B3C2">
                  <wp:extent cx="3614808" cy="219456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14808" cy="2194560"/>
                          </a:xfrm>
                          <a:prstGeom prst="rect">
                            <a:avLst/>
                          </a:prstGeom>
                        </pic:spPr>
                      </pic:pic>
                    </a:graphicData>
                  </a:graphic>
                </wp:inline>
              </w:drawing>
            </w:r>
          </w:p>
        </w:tc>
      </w:tr>
      <w:tr w:rsidR="001B7E23" w:rsidRPr="00CC0F21" w14:paraId="73F5E708" w14:textId="77777777" w:rsidTr="0172EE41">
        <w:tc>
          <w:tcPr>
            <w:tcW w:w="3261" w:type="dxa"/>
            <w:vAlign w:val="center"/>
          </w:tcPr>
          <w:p w14:paraId="5A49C527" w14:textId="290A6A65" w:rsidR="001B7E23" w:rsidRPr="00CC0F21" w:rsidRDefault="001B7E23" w:rsidP="00DF2015">
            <w:pPr>
              <w:jc w:val="both"/>
              <w:rPr>
                <w:rFonts w:cstheme="minorHAnsi"/>
                <w:i/>
                <w:iCs/>
                <w:sz w:val="20"/>
                <w:szCs w:val="18"/>
              </w:rPr>
            </w:pPr>
            <w:r w:rsidRPr="00CC0F21">
              <w:rPr>
                <w:rFonts w:cstheme="minorHAnsi"/>
                <w:i/>
                <w:iCs/>
                <w:sz w:val="20"/>
                <w:szCs w:val="18"/>
              </w:rPr>
              <w:t>Max transaction fee = $</w:t>
            </w:r>
            <w:r w:rsidR="00B33713" w:rsidRPr="00CC0F21">
              <w:rPr>
                <w:rFonts w:cstheme="minorHAnsi"/>
                <w:i/>
                <w:iCs/>
                <w:sz w:val="20"/>
                <w:szCs w:val="18"/>
              </w:rPr>
              <w:t>1.00</w:t>
            </w:r>
          </w:p>
          <w:p w14:paraId="5B1D4AE0" w14:textId="5B80B1D6" w:rsidR="001B7E23" w:rsidRPr="00CC0F21" w:rsidRDefault="001B7E23" w:rsidP="00DF2015">
            <w:pPr>
              <w:jc w:val="both"/>
              <w:rPr>
                <w:rFonts w:cstheme="minorHAnsi"/>
                <w:b/>
                <w:bCs/>
                <w:i/>
                <w:iCs/>
                <w:sz w:val="20"/>
                <w:szCs w:val="18"/>
              </w:rPr>
            </w:pPr>
            <w:r w:rsidRPr="00CC0F21">
              <w:rPr>
                <w:rFonts w:cstheme="minorHAnsi"/>
                <w:b/>
                <w:bCs/>
                <w:i/>
                <w:iCs/>
                <w:sz w:val="20"/>
                <w:szCs w:val="18"/>
              </w:rPr>
              <w:t xml:space="preserve">No. of transactions per rollup </w:t>
            </w:r>
            <w:r w:rsidR="0047538D" w:rsidRPr="00CC0F21">
              <w:rPr>
                <w:rFonts w:cstheme="minorHAnsi"/>
                <w:b/>
                <w:bCs/>
                <w:i/>
                <w:iCs/>
                <w:sz w:val="20"/>
                <w:szCs w:val="18"/>
              </w:rPr>
              <w:t xml:space="preserve">increasing 10% </w:t>
            </w:r>
            <w:r w:rsidR="00B71A9B" w:rsidRPr="00CC0F21">
              <w:rPr>
                <w:rFonts w:cstheme="minorHAnsi"/>
                <w:b/>
                <w:bCs/>
                <w:i/>
                <w:iCs/>
                <w:sz w:val="20"/>
                <w:szCs w:val="18"/>
              </w:rPr>
              <w:t>MoM</w:t>
            </w:r>
          </w:p>
          <w:p w14:paraId="0DCE47D3" w14:textId="36F64CB3" w:rsidR="001B7E23" w:rsidRPr="00CC0F21" w:rsidRDefault="001B7E23" w:rsidP="00DF2015">
            <w:pPr>
              <w:jc w:val="both"/>
              <w:rPr>
                <w:rFonts w:cstheme="minorHAnsi"/>
                <w:i/>
                <w:iCs/>
                <w:sz w:val="20"/>
                <w:szCs w:val="18"/>
              </w:rPr>
            </w:pPr>
            <w:r w:rsidRPr="00CC0F21">
              <w:rPr>
                <w:rFonts w:cstheme="minorHAnsi"/>
                <w:i/>
                <w:iCs/>
                <w:sz w:val="20"/>
                <w:szCs w:val="18"/>
              </w:rPr>
              <w:t xml:space="preserve">Rollup submission interval = </w:t>
            </w:r>
            <w:r w:rsidR="00B71A9B" w:rsidRPr="00CC0F21">
              <w:rPr>
                <w:rFonts w:cstheme="minorHAnsi"/>
                <w:i/>
                <w:iCs/>
                <w:sz w:val="20"/>
                <w:szCs w:val="18"/>
              </w:rPr>
              <w:t>2</w:t>
            </w:r>
            <w:r w:rsidRPr="00CC0F21">
              <w:rPr>
                <w:rFonts w:cstheme="minorHAnsi"/>
                <w:i/>
                <w:iCs/>
                <w:sz w:val="20"/>
                <w:szCs w:val="18"/>
              </w:rPr>
              <w:t>h</w:t>
            </w:r>
          </w:p>
          <w:p w14:paraId="3DA611F7" w14:textId="43C2606D" w:rsidR="001B7E23" w:rsidRPr="00CC0F21" w:rsidRDefault="001B7E23" w:rsidP="00DF2015">
            <w:pPr>
              <w:jc w:val="both"/>
              <w:rPr>
                <w:rFonts w:cstheme="minorHAnsi"/>
                <w:i/>
                <w:iCs/>
                <w:sz w:val="20"/>
                <w:szCs w:val="18"/>
              </w:rPr>
            </w:pPr>
            <w:r w:rsidRPr="00CC0F21">
              <w:rPr>
                <w:rFonts w:cstheme="minorHAnsi"/>
                <w:i/>
                <w:iCs/>
                <w:sz w:val="20"/>
                <w:szCs w:val="18"/>
              </w:rPr>
              <w:t xml:space="preserve">Token price increase 10% </w:t>
            </w:r>
            <w:r w:rsidR="00B71A9B" w:rsidRPr="00CC0F21">
              <w:rPr>
                <w:rFonts w:cstheme="minorHAnsi"/>
                <w:i/>
                <w:iCs/>
                <w:sz w:val="20"/>
                <w:szCs w:val="18"/>
              </w:rPr>
              <w:t>MoM</w:t>
            </w:r>
          </w:p>
          <w:p w14:paraId="270BFFEE" w14:textId="77777777" w:rsidR="001B7E23" w:rsidRPr="00CC0F21" w:rsidRDefault="001B7E23" w:rsidP="00DF2015">
            <w:pPr>
              <w:jc w:val="both"/>
              <w:rPr>
                <w:rFonts w:cstheme="minorHAnsi"/>
                <w:i/>
                <w:iCs/>
                <w:sz w:val="20"/>
                <w:szCs w:val="18"/>
              </w:rPr>
            </w:pPr>
          </w:p>
        </w:tc>
        <w:tc>
          <w:tcPr>
            <w:tcW w:w="6027" w:type="dxa"/>
            <w:vAlign w:val="center"/>
          </w:tcPr>
          <w:p w14:paraId="12662714" w14:textId="435E1C5D" w:rsidR="001B7E23" w:rsidRPr="00CC0F21" w:rsidRDefault="6E2B9E21" w:rsidP="00DF2015">
            <w:pPr>
              <w:jc w:val="both"/>
              <w:rPr>
                <w:rFonts w:cstheme="minorHAnsi"/>
              </w:rPr>
            </w:pPr>
            <w:r w:rsidRPr="00CC0F21">
              <w:rPr>
                <w:rFonts w:cstheme="minorHAnsi"/>
              </w:rPr>
              <w:drawing>
                <wp:inline distT="0" distB="0" distL="0" distR="0" wp14:anchorId="5AA9D071" wp14:editId="60F81E66">
                  <wp:extent cx="3614808" cy="219456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14808" cy="2194560"/>
                          </a:xfrm>
                          <a:prstGeom prst="rect">
                            <a:avLst/>
                          </a:prstGeom>
                        </pic:spPr>
                      </pic:pic>
                    </a:graphicData>
                  </a:graphic>
                </wp:inline>
              </w:drawing>
            </w:r>
          </w:p>
        </w:tc>
      </w:tr>
    </w:tbl>
    <w:p w14:paraId="3BAD03A9" w14:textId="77777777" w:rsidR="001B7E23" w:rsidRPr="00CC0F21" w:rsidRDefault="001B7E23" w:rsidP="00DF2015">
      <w:pPr>
        <w:jc w:val="both"/>
        <w:rPr>
          <w:rFonts w:cstheme="minorHAnsi"/>
        </w:rPr>
      </w:pPr>
    </w:p>
    <w:p w14:paraId="233B68C9" w14:textId="3993E9F5" w:rsidR="000168C9" w:rsidRPr="00CC0F21" w:rsidRDefault="000168C9" w:rsidP="00DF2015">
      <w:pPr>
        <w:jc w:val="both"/>
        <w:rPr>
          <w:rFonts w:cstheme="minorHAnsi"/>
        </w:rPr>
      </w:pPr>
      <w:r w:rsidRPr="00CC0F21">
        <w:rPr>
          <w:rFonts w:cstheme="minorHAnsi"/>
        </w:rPr>
        <w:br w:type="page"/>
      </w:r>
    </w:p>
    <w:p w14:paraId="7A831E3D" w14:textId="6C8CECEC" w:rsidR="00CC65CD" w:rsidRPr="00CC0F21" w:rsidRDefault="000168C9" w:rsidP="001A7314">
      <w:pPr>
        <w:pStyle w:val="Heading1"/>
        <w:rPr>
          <w:color w:val="auto"/>
        </w:rPr>
      </w:pPr>
      <w:bookmarkStart w:id="44" w:name="_Toc104212443"/>
      <w:r w:rsidRPr="00CC0F21">
        <w:rPr>
          <w:color w:val="auto"/>
        </w:rPr>
        <w:lastRenderedPageBreak/>
        <w:t>Appendix 3 – Contributors</w:t>
      </w:r>
      <w:bookmarkEnd w:id="44"/>
    </w:p>
    <w:p w14:paraId="569F3E21" w14:textId="5ECD7AB0" w:rsidR="000168C9" w:rsidRPr="00CC0F21" w:rsidRDefault="000168C9" w:rsidP="00DF2015">
      <w:pPr>
        <w:jc w:val="both"/>
        <w:rPr>
          <w:rFonts w:cstheme="minorHAnsi"/>
        </w:rPr>
      </w:pPr>
      <w:r w:rsidRPr="00CC0F21">
        <w:rPr>
          <w:rFonts w:cstheme="minorHAnsi"/>
        </w:rPr>
        <w:t>Thanks to the following contributors to this document:</w:t>
      </w:r>
    </w:p>
    <w:p w14:paraId="60F65CD1" w14:textId="21ABAED0" w:rsidR="000168C9" w:rsidRPr="00CC0F21" w:rsidRDefault="37E2A8F7" w:rsidP="00DF2015">
      <w:pPr>
        <w:jc w:val="both"/>
        <w:rPr>
          <w:rFonts w:cstheme="minorHAnsi"/>
        </w:rPr>
      </w:pPr>
      <w:r w:rsidRPr="00CC0F21">
        <w:rPr>
          <w:rFonts w:cstheme="minorHAnsi"/>
        </w:rPr>
        <w:t>Polo</w:t>
      </w:r>
      <w:r w:rsidR="000168C9" w:rsidRPr="00CC0F21">
        <w:rPr>
          <w:rFonts w:cstheme="minorHAnsi"/>
        </w:rPr>
        <w:br/>
      </w:r>
      <w:r w:rsidRPr="00CC0F21">
        <w:rPr>
          <w:rFonts w:cstheme="minorHAnsi"/>
        </w:rPr>
        <w:t>Sp</w:t>
      </w:r>
      <w:r w:rsidR="7A1648A6" w:rsidRPr="00CC0F21">
        <w:rPr>
          <w:rFonts w:cstheme="minorHAnsi"/>
        </w:rPr>
        <w:t>iritanto</w:t>
      </w:r>
      <w:r w:rsidR="000168C9" w:rsidRPr="00CC0F21">
        <w:rPr>
          <w:rFonts w:cstheme="minorHAnsi"/>
        </w:rPr>
        <w:br/>
      </w:r>
      <w:r w:rsidR="7A1648A6" w:rsidRPr="00CC0F21">
        <w:rPr>
          <w:rFonts w:cstheme="minorHAnsi"/>
        </w:rPr>
        <w:t>Slo</w:t>
      </w:r>
      <w:r w:rsidR="0C18E965" w:rsidRPr="00CC0F21">
        <w:rPr>
          <w:rFonts w:cstheme="minorHAnsi"/>
        </w:rPr>
        <w:t>zzzz</w:t>
      </w:r>
      <w:r w:rsidR="7A1648A6" w:rsidRPr="00CC0F21">
        <w:rPr>
          <w:rFonts w:cstheme="minorHAnsi"/>
        </w:rPr>
        <w:t>a</w:t>
      </w:r>
      <w:r w:rsidR="000168C9" w:rsidRPr="00CC0F21">
        <w:rPr>
          <w:rFonts w:cstheme="minorHAnsi"/>
        </w:rPr>
        <w:br/>
      </w:r>
      <w:r w:rsidR="09254920" w:rsidRPr="00CC0F21">
        <w:rPr>
          <w:rFonts w:cstheme="minorHAnsi"/>
        </w:rPr>
        <w:t>Pizzzyy</w:t>
      </w:r>
      <w:r w:rsidR="000168C9" w:rsidRPr="00CC0F21">
        <w:rPr>
          <w:rFonts w:cstheme="minorHAnsi"/>
        </w:rPr>
        <w:br/>
      </w:r>
      <w:r w:rsidR="09254920" w:rsidRPr="00CC0F21">
        <w:rPr>
          <w:rFonts w:cstheme="minorHAnsi"/>
        </w:rPr>
        <w:t>Shill_Pill</w:t>
      </w:r>
    </w:p>
    <w:p w14:paraId="4A342064" w14:textId="5B733F39" w:rsidR="0172EE41" w:rsidRPr="00CC0F21" w:rsidRDefault="0172EE41" w:rsidP="00DF2015">
      <w:pPr>
        <w:jc w:val="both"/>
        <w:rPr>
          <w:rFonts w:cstheme="minorHAnsi"/>
        </w:rPr>
      </w:pPr>
      <w:r w:rsidRPr="00CC0F21">
        <w:rPr>
          <w:rFonts w:cstheme="minorHAnsi"/>
        </w:rPr>
        <w:br w:type="page"/>
      </w:r>
    </w:p>
    <w:p w14:paraId="1728F9B5" w14:textId="049AB3C3" w:rsidR="0172EE41" w:rsidRPr="00CC0F21" w:rsidRDefault="0172EE41" w:rsidP="001A7314">
      <w:pPr>
        <w:pStyle w:val="Heading1"/>
        <w:rPr>
          <w:color w:val="auto"/>
        </w:rPr>
      </w:pPr>
      <w:bookmarkStart w:id="45" w:name="_Toc104212444"/>
      <w:r w:rsidRPr="00CC0F21">
        <w:rPr>
          <w:color w:val="auto"/>
        </w:rPr>
        <w:lastRenderedPageBreak/>
        <w:t>Mike Ward Comments</w:t>
      </w:r>
      <w:bookmarkEnd w:id="45"/>
    </w:p>
    <w:p w14:paraId="2EB947C1" w14:textId="17060B26" w:rsidR="0172EE41" w:rsidRPr="00CC0F21" w:rsidRDefault="0172EE41" w:rsidP="001A7314">
      <w:r w:rsidRPr="00CC0F21">
        <w:t xml:space="preserve">1/ </w:t>
      </w:r>
      <w:commentRangeStart w:id="46"/>
      <w:r w:rsidRPr="00CC0F21">
        <w:t>We're missing some of the basics on tokenomic</w:t>
      </w:r>
      <w:commentRangeEnd w:id="46"/>
      <w:r w:rsidRPr="00CC0F21">
        <w:rPr>
          <w:rStyle w:val="CommentReference"/>
          <w:rFonts w:cstheme="minorHAnsi"/>
        </w:rPr>
        <w:commentReference w:id="46"/>
      </w:r>
      <w:r w:rsidRPr="00CC0F21">
        <w:t>s I see in other papers. More should be clearly stated up front as the basis of the system. Ex: there is a fixed supply of OBX. Value of OBX primarily will increase through the increasing demand for the token to pay for services. It is not deflationary in issuance but holders are incentivized to lock up OBX as validators to increase the return via validating rewards. -</w:t>
      </w:r>
    </w:p>
    <w:p w14:paraId="6A275943" w14:textId="1A5B37A7" w:rsidR="0172EE41" w:rsidRPr="00CC0F21" w:rsidRDefault="0172EE41" w:rsidP="001A7314">
      <w:r w:rsidRPr="00CC0F21">
        <w:t xml:space="preserve">[14:11] tooward: </w:t>
      </w:r>
    </w:p>
    <w:p w14:paraId="365FDEFF" w14:textId="3F9EEEE1" w:rsidR="0172EE41" w:rsidRPr="00CC0F21" w:rsidRDefault="0172EE41" w:rsidP="001A7314">
      <w:r w:rsidRPr="00CC0F21">
        <w:t>2/ Foundations power seems too high? The foundation should only be able to allocate tokens per it's charter but in a manner that is similar to any token holder - simple grants via transfers. The paper makes the foundation seem to have oversight powers. This is against the principles of distributed systems. I worry our model is trying to replicate a DeFi governance model but that model doesn't work for infrastructure for me. DeFi models allow voting on changes, then voting on the code deployed. Fine to vote on changes like EIPs but the deployment comes down to validators selecting to deploy it or fork. I'd love to see us have our governance simpler, I guess more Machiavellian in the style of Ethereum and Bitcoin. But even if we do go with the voting approach etc we need more detail on how this will work. -</w:t>
      </w:r>
    </w:p>
    <w:p w14:paraId="48223B4D" w14:textId="1A3FDA9C" w:rsidR="0172EE41" w:rsidRPr="00CC0F21" w:rsidRDefault="0172EE41" w:rsidP="001A7314">
      <w:r w:rsidRPr="00CC0F21">
        <w:t xml:space="preserve">[14:11] tooward: </w:t>
      </w:r>
    </w:p>
    <w:p w14:paraId="30CB2FC3" w14:textId="41E33129" w:rsidR="0172EE41" w:rsidRPr="00CC0F21" w:rsidRDefault="0172EE41" w:rsidP="001A7314">
      <w:r w:rsidRPr="00CC0F21">
        <w:t xml:space="preserve">3/ Slashing. </w:t>
      </w:r>
      <w:commentRangeStart w:id="47"/>
      <w:r w:rsidRPr="00CC0F21">
        <w:t>How will this be implemented</w:t>
      </w:r>
      <w:commentRangeEnd w:id="47"/>
      <w:r w:rsidRPr="00CC0F21">
        <w:rPr>
          <w:rStyle w:val="CommentReference"/>
          <w:rFonts w:cstheme="minorHAnsi"/>
        </w:rPr>
        <w:commentReference w:id="47"/>
      </w:r>
      <w:r w:rsidRPr="00CC0F21">
        <w:t>? This is a generic concept but I'm struggling to see how it is implemented. But also, is it even necessary? The nodes whitelist by attestations. That should be the sole model we rely on, no? Just a lack of understanding on my part. As an investor I'd be skeptical we can pull this off. It is an increased surface area and thus more ways to exploit the protocol and has no design yet. - (edited)</w:t>
      </w:r>
    </w:p>
    <w:p w14:paraId="49185A05" w14:textId="356D4661" w:rsidR="0172EE41" w:rsidRPr="00CC0F21" w:rsidRDefault="0172EE41" w:rsidP="001A7314">
      <w:r w:rsidRPr="00CC0F21">
        <w:t xml:space="preserve">[14:12] tooward: </w:t>
      </w:r>
    </w:p>
    <w:p w14:paraId="74FC4B84" w14:textId="1F3758AE" w:rsidR="0172EE41" w:rsidRPr="00CC0F21" w:rsidRDefault="0172EE41" w:rsidP="001A7314">
      <w:r w:rsidRPr="00CC0F21">
        <w:t xml:space="preserve">4/ </w:t>
      </w:r>
      <w:commentRangeStart w:id="48"/>
      <w:r w:rsidRPr="00CC0F21">
        <w:t>Fees</w:t>
      </w:r>
      <w:commentRangeEnd w:id="48"/>
      <w:r w:rsidRPr="00CC0F21">
        <w:rPr>
          <w:rStyle w:val="CommentReference"/>
          <w:rFonts w:cstheme="minorHAnsi"/>
        </w:rPr>
        <w:commentReference w:id="48"/>
      </w:r>
      <w:r w:rsidRPr="00CC0F21">
        <w:t>. If fees are the primary motivator, how are they set? There's nothing about this. Seems like the all-powerful foundation sets this rather than an open market? Will we have gas + fees to allow validators to rank how they will process txns? I'd want to see something on this in the paper as it's the PRIMARY motivator for the validators. -</w:t>
      </w:r>
    </w:p>
    <w:p w14:paraId="0FA0E34F" w14:textId="20D1F604" w:rsidR="0172EE41" w:rsidRPr="00CC0F21" w:rsidRDefault="0172EE41" w:rsidP="001A7314">
      <w:r w:rsidRPr="00CC0F21">
        <w:t xml:space="preserve">[14:12] tooward: </w:t>
      </w:r>
    </w:p>
    <w:p w14:paraId="4C76EFE8" w14:textId="641D6D2D" w:rsidR="0172EE41" w:rsidRPr="00CC0F21" w:rsidRDefault="0172EE41" w:rsidP="001A7314">
      <w:r w:rsidRPr="00CC0F21">
        <w:t xml:space="preserve">5/ Money supply. This should be very easy to see. </w:t>
      </w:r>
      <w:commentRangeStart w:id="49"/>
      <w:r w:rsidRPr="00CC0F21">
        <w:t>A graph showing supply increasing as vesting periods unwind</w:t>
      </w:r>
      <w:commentRangeEnd w:id="49"/>
      <w:r w:rsidRPr="00CC0F21">
        <w:rPr>
          <w:rStyle w:val="CommentReference"/>
          <w:rFonts w:cstheme="minorHAnsi"/>
        </w:rPr>
        <w:commentReference w:id="49"/>
      </w:r>
      <w:r w:rsidRPr="00CC0F21">
        <w:t>. Show how much supply will be locked up by staking. Etc. Money supply is a big part of tokenomics and we don't address it. -</w:t>
      </w:r>
    </w:p>
    <w:p w14:paraId="023A0E52" w14:textId="3C0981AB" w:rsidR="0172EE41" w:rsidRPr="00CC0F21" w:rsidRDefault="0172EE41" w:rsidP="001A7314">
      <w:r w:rsidRPr="00CC0F21">
        <w:t xml:space="preserve">[14:12] tooward: </w:t>
      </w:r>
    </w:p>
    <w:p w14:paraId="4202E865" w14:textId="7078A30F" w:rsidR="0172EE41" w:rsidRPr="00CC0F21" w:rsidRDefault="0172EE41" w:rsidP="001A7314">
      <w:r w:rsidRPr="00CC0F21">
        <w:t xml:space="preserve">6/ Roll-up Costs. This is HUGE. How does this fit into the economics of the overall system. It's not really addressed and leaves me wondering how we ensure users pay the fees for roll-ups. TBH, in the white paper I was unconvinced this was solved. It seems to me this MUST be a </w:t>
      </w:r>
      <w:r w:rsidRPr="00CC0F21">
        <w:lastRenderedPageBreak/>
        <w:t>closed system where the user pays the fee for the roll-up there transaction is in with ETH directly. There is a big risk here that the system fails economically as the ETH prices get too high. (I may just not get this btw but needs to be in the paper). - (edited)</w:t>
      </w:r>
    </w:p>
    <w:p w14:paraId="0AFF8A14" w14:textId="0D132016" w:rsidR="0172EE41" w:rsidRPr="00CC0F21" w:rsidRDefault="0172EE41" w:rsidP="001A7314">
      <w:r w:rsidRPr="00CC0F21">
        <w:t xml:space="preserve">[14:13] tooward: </w:t>
      </w:r>
    </w:p>
    <w:p w14:paraId="3CA9B4E6" w14:textId="06C7D5BC" w:rsidR="0172EE41" w:rsidRPr="00CC0F21" w:rsidRDefault="0172EE41" w:rsidP="001A7314">
      <w:r w:rsidRPr="00CC0F21">
        <w:t xml:space="preserve">7/ Ecosystem vs. </w:t>
      </w:r>
      <w:commentRangeStart w:id="50"/>
      <w:r w:rsidRPr="00CC0F21">
        <w:t>Foundation</w:t>
      </w:r>
      <w:commentRangeEnd w:id="50"/>
      <w:r w:rsidRPr="00CC0F21">
        <w:rPr>
          <w:rStyle w:val="CommentReference"/>
          <w:rFonts w:cstheme="minorHAnsi"/>
        </w:rPr>
        <w:commentReference w:id="50"/>
      </w:r>
      <w:r w:rsidRPr="00CC0F21">
        <w:t>. I don't see why this split is needed. The Foundations role is to fund the ecosystem. With this explicit split it is not clear who allocates the rewards from the ecosystem bucket. This would lead me to worry as a OBX holder that it's y'all. Also, I think we talk a lot about how we'll use tokens to reward people but it's pretty obvious to most I'd anticipate since that is very common (makes it feel like we think we are being more clever). -</w:t>
      </w:r>
    </w:p>
    <w:p w14:paraId="63F56B43" w14:textId="57056930" w:rsidR="0172EE41" w:rsidRPr="00CC0F21" w:rsidRDefault="0172EE41" w:rsidP="001A7314">
      <w:r w:rsidRPr="00CC0F21">
        <w:t xml:space="preserve">[14:13] tooward: </w:t>
      </w:r>
    </w:p>
    <w:p w14:paraId="3BE3FD4F" w14:textId="3A9E35BF" w:rsidR="0172EE41" w:rsidRPr="00CC0F21" w:rsidRDefault="0172EE41" w:rsidP="001A7314">
      <w:r w:rsidRPr="00CC0F21">
        <w:t xml:space="preserve">8/ LBA. I'm a bit confused on this one TBH, but I think I just need to digest it more and compare to other options. This seems like something our investment banker friends can help with. ex: should we have a launch price set with a </w:t>
      </w:r>
      <w:commentRangeStart w:id="51"/>
      <w:r w:rsidRPr="00CC0F21">
        <w:t>market maker holding tokens</w:t>
      </w:r>
      <w:commentRangeEnd w:id="51"/>
      <w:r w:rsidRPr="00CC0F21">
        <w:rPr>
          <w:rStyle w:val="CommentReference"/>
          <w:rFonts w:cstheme="minorHAnsi"/>
        </w:rPr>
        <w:commentReference w:id="51"/>
      </w:r>
      <w:r w:rsidRPr="00CC0F21">
        <w:t>? I'm out of my depth on this one. - (edited)</w:t>
      </w:r>
    </w:p>
    <w:p w14:paraId="1221A779" w14:textId="18DA75B2" w:rsidR="0172EE41" w:rsidRPr="00CC0F21" w:rsidRDefault="0172EE41" w:rsidP="001A7314">
      <w:r w:rsidRPr="00CC0F21">
        <w:t xml:space="preserve">[14:13] tooward: </w:t>
      </w:r>
    </w:p>
    <w:p w14:paraId="33E1349B" w14:textId="586A5CBD" w:rsidR="0172EE41" w:rsidRPr="00CC0F21" w:rsidRDefault="0172EE41" w:rsidP="001A7314">
      <w:r w:rsidRPr="00CC0F21">
        <w:t xml:space="preserve">9/ </w:t>
      </w:r>
      <w:commentRangeStart w:id="52"/>
      <w:commentRangeStart w:id="53"/>
      <w:r w:rsidRPr="00CC0F21">
        <w:t>Whitelisting</w:t>
      </w:r>
      <w:commentRangeEnd w:id="52"/>
      <w:r w:rsidRPr="00CC0F21">
        <w:rPr>
          <w:rStyle w:val="CommentReference"/>
          <w:rFonts w:cstheme="minorHAnsi"/>
        </w:rPr>
        <w:commentReference w:id="52"/>
      </w:r>
      <w:commentRangeEnd w:id="53"/>
      <w:r w:rsidRPr="00CC0F21">
        <w:rPr>
          <w:rStyle w:val="CommentReference"/>
          <w:rFonts w:cstheme="minorHAnsi"/>
        </w:rPr>
        <w:commentReference w:id="53"/>
      </w:r>
      <w:r w:rsidRPr="00CC0F21">
        <w:t>. Sorry, I don't see the value we are getting for $2m worth of tokens. Translating white paper, saying GM each day is not worth this type of return. We should think harder on how to get more, real value IMHO. Code contributions to Obscuro are a clear one. How about contributions of ported Dapps? We should ensure bug bounty is in this also</w:t>
      </w:r>
    </w:p>
    <w:p w14:paraId="62D3AC45" w14:textId="15A82159" w:rsidR="59D76693" w:rsidRPr="00CC0F21" w:rsidRDefault="59D76693" w:rsidP="001A7314"/>
    <w:p w14:paraId="05A7861C" w14:textId="042CD677" w:rsidR="59D76693" w:rsidRPr="00CC0F21" w:rsidRDefault="59D76693" w:rsidP="001A7314">
      <w:r w:rsidRPr="00CC0F21">
        <w:t>From Surbhi at GSR:</w:t>
      </w:r>
      <w:r w:rsidRPr="00CC0F21">
        <w:br/>
        <w:t>Have you set aside some tokens for market makers as well to provide liquidity?</w:t>
      </w:r>
    </w:p>
    <w:p w14:paraId="6CE47156" w14:textId="3FA18552" w:rsidR="0172EE41" w:rsidRPr="00CC0F21" w:rsidRDefault="0172EE41" w:rsidP="001A7314"/>
    <w:p w14:paraId="426A4267" w14:textId="68561746" w:rsidR="000168C9" w:rsidRPr="00CC0F21" w:rsidRDefault="000168C9" w:rsidP="001A7314">
      <w:r w:rsidRPr="00CC0F21">
        <w:br/>
      </w:r>
    </w:p>
    <w:sectPr w:rsidR="000168C9" w:rsidRPr="00CC0F21" w:rsidSect="00652B03">
      <w:headerReference w:type="default" r:id="rId26"/>
      <w:type w:val="continuous"/>
      <w:pgSz w:w="11906" w:h="16838" w:code="9"/>
      <w:pgMar w:top="1304" w:right="1304" w:bottom="1304" w:left="130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avin Thomas" w:date="2022-03-11T13:39:00Z" w:initials="GT">
    <w:p w14:paraId="27A35199" w14:textId="2F523AE4" w:rsidR="009860C1" w:rsidRDefault="009860C1" w:rsidP="009860C1">
      <w:pPr>
        <w:pStyle w:val="CommentText"/>
      </w:pPr>
      <w:r>
        <w:rPr>
          <w:rStyle w:val="CommentReference"/>
        </w:rPr>
        <w:annotationRef/>
      </w:r>
      <w:r>
        <w:t>Theoretical Trading suggests an analysis of 1) Aleph aero</w:t>
      </w:r>
      <w:r w:rsidR="001044D8">
        <w:t xml:space="preserve"> </w:t>
      </w:r>
      <w:r>
        <w:t>2) Metis token</w:t>
      </w:r>
      <w:r w:rsidR="001044D8">
        <w:t xml:space="preserve"> tokenomics</w:t>
      </w:r>
    </w:p>
  </w:comment>
  <w:comment w:id="2" w:author="Pedro Gomes" w:date="2022-03-06T17:57:00Z" w:initials="PG">
    <w:p w14:paraId="48DD011B" w14:textId="1BBF393F" w:rsidR="5181A51C" w:rsidRDefault="5181A51C">
      <w:pPr>
        <w:pStyle w:val="CommentText"/>
      </w:pPr>
      <w:r>
        <w:t>Are we missing the rewards utility ?</w:t>
      </w:r>
      <w:r>
        <w:rPr>
          <w:rStyle w:val="CommentReference"/>
        </w:rPr>
        <w:annotationRef/>
      </w:r>
      <w:r>
        <w:rPr>
          <w:rStyle w:val="CommentReference"/>
        </w:rPr>
        <w:annotationRef/>
      </w:r>
    </w:p>
    <w:p w14:paraId="228CED4C" w14:textId="5CC495BF" w:rsidR="5181A51C" w:rsidRDefault="5181A51C">
      <w:pPr>
        <w:pStyle w:val="CommentText"/>
      </w:pPr>
      <w:r>
        <w:t>The lottery pay out ?</w:t>
      </w:r>
    </w:p>
    <w:p w14:paraId="1CD467ED" w14:textId="2045A6CF" w:rsidR="5181A51C" w:rsidRDefault="5181A51C">
      <w:pPr>
        <w:pStyle w:val="CommentText"/>
      </w:pPr>
    </w:p>
    <w:p w14:paraId="180E284D" w14:textId="77531B17" w:rsidR="5181A51C" w:rsidRDefault="5181A51C">
      <w:pPr>
        <w:pStyle w:val="CommentText"/>
      </w:pPr>
      <w:r>
        <w:t>Also, should we explain that in a paragraph above ?</w:t>
      </w:r>
    </w:p>
  </w:comment>
  <w:comment w:id="3" w:author="Gavin Thomas" w:date="2022-03-07T20:16:00Z" w:initials="GT">
    <w:p w14:paraId="08A87BD5" w14:textId="21DECCEE" w:rsidR="0062219F" w:rsidRDefault="00116511">
      <w:pPr>
        <w:pStyle w:val="CommentText"/>
      </w:pPr>
      <w:r>
        <w:rPr>
          <w:rStyle w:val="CommentReference"/>
        </w:rPr>
        <w:annotationRef/>
      </w:r>
      <w:r w:rsidR="0048550A">
        <w:t xml:space="preserve">Those rewards are covered in the 4 bullets: </w:t>
      </w:r>
      <w:r w:rsidR="001F582C">
        <w:t xml:space="preserve">rewards to run nodes (active node reward) and a reward to </w:t>
      </w:r>
      <w:r w:rsidR="0062219F">
        <w:t>cover fees including fees to cover L1 gas costs to submit a rollup. Or do you think it needs to be more explicit?</w:t>
      </w:r>
      <w:r>
        <w:rPr>
          <w:rStyle w:val="CommentReference"/>
        </w:rPr>
        <w:annotationRef/>
      </w:r>
    </w:p>
  </w:comment>
  <w:comment w:id="4" w:author="Gavin Thomas" w:date="2022-03-11T12:12:00Z" w:initials="GT">
    <w:p w14:paraId="6F9C7752" w14:textId="39A5C4B6" w:rsidR="003E2534" w:rsidRDefault="003E2534">
      <w:pPr>
        <w:pStyle w:val="CommentText"/>
      </w:pPr>
      <w:r>
        <w:rPr>
          <w:rStyle w:val="CommentReference"/>
        </w:rPr>
        <w:annotationRef/>
      </w:r>
      <w:r>
        <w:t xml:space="preserve">Suggestion from Polo to allow </w:t>
      </w:r>
      <w:r w:rsidR="00825F79">
        <w:t xml:space="preserve">Aggregator node operators to stake higher values thereby increasing their chance of winning the lottery, a la Secret Network. This </w:t>
      </w:r>
      <w:r w:rsidR="007C1938">
        <w:t>brings more transparency to which node operators have a larger chance of winning the lottery rather than hoping there is enough decentralisation without having a way to check</w:t>
      </w:r>
      <w:r w:rsidR="00272825">
        <w:t>.</w:t>
      </w:r>
    </w:p>
  </w:comment>
  <w:comment w:id="6" w:author="Gavin Thomas" w:date="2022-03-11T11:04:00Z" w:initials="GT">
    <w:p w14:paraId="66F8FDBA" w14:textId="4EC2F22B" w:rsidR="00F378D5" w:rsidRDefault="00F378D5">
      <w:pPr>
        <w:pStyle w:val="CommentText"/>
      </w:pPr>
      <w:r>
        <w:rPr>
          <w:rStyle w:val="CommentReference"/>
        </w:rPr>
        <w:annotationRef/>
      </w:r>
      <w:r>
        <w:t>We want to encourage mass decentralisation of Aggregator nodes however over 50% of the token supply</w:t>
      </w:r>
      <w:r w:rsidR="00BC4824">
        <w:t>, which is the only way to stake, is tied up with insiders. Would this mean they</w:t>
      </w:r>
      <w:r w:rsidR="00450BBB">
        <w:t xml:space="preserve"> have a higher chance of having an outsized number of nodes</w:t>
      </w:r>
      <w:r w:rsidR="008B6ADF">
        <w:t xml:space="preserve"> thus leading to more centralisation?</w:t>
      </w:r>
    </w:p>
  </w:comment>
  <w:comment w:id="7" w:author="Gavin Thomas" w:date="2022-03-11T11:11:00Z" w:initials="GT">
    <w:p w14:paraId="225364D0" w14:textId="56F8773A" w:rsidR="009E4EC5" w:rsidRDefault="009E4EC5">
      <w:pPr>
        <w:pStyle w:val="CommentText"/>
      </w:pPr>
      <w:r>
        <w:rPr>
          <w:rStyle w:val="CommentReference"/>
        </w:rPr>
        <w:annotationRef/>
      </w:r>
      <w:r>
        <w:t xml:space="preserve">Introducing a vesting schedule </w:t>
      </w:r>
      <w:r w:rsidR="0034147C">
        <w:t>will prevent dumping.</w:t>
      </w:r>
    </w:p>
  </w:comment>
  <w:comment w:id="8" w:author="Gavin Thomas" w:date="2022-03-11T15:19:00Z" w:initials="GT">
    <w:p w14:paraId="07361C91" w14:textId="2D8EA550" w:rsidR="00CD1378" w:rsidRDefault="000F4CFB">
      <w:pPr>
        <w:pStyle w:val="CommentText"/>
      </w:pPr>
      <w:r>
        <w:rPr>
          <w:rStyle w:val="CommentReference"/>
        </w:rPr>
        <w:annotationRef/>
      </w:r>
      <w:r>
        <w:t xml:space="preserve">Messari analysis shows dumping an airdrop </w:t>
      </w:r>
      <w:r w:rsidR="00AA5483">
        <w:t>1 week after token i</w:t>
      </w:r>
      <w:r w:rsidR="00BB31D0">
        <w:t>s tradable</w:t>
      </w:r>
      <w:r w:rsidR="00AA5483">
        <w:t xml:space="preserve"> </w:t>
      </w:r>
      <w:r>
        <w:t>provides a better return than holding. This</w:t>
      </w:r>
      <w:r w:rsidR="00CD1378">
        <w:t xml:space="preserve"> will put downward pressure on OBX.</w:t>
      </w:r>
      <w:r w:rsidR="00CD1378">
        <w:br/>
      </w:r>
      <w:hyperlink r:id="rId1" w:history="1">
        <w:r w:rsidR="00CD1378" w:rsidRPr="004F1346">
          <w:rPr>
            <w:rStyle w:val="Hyperlink"/>
          </w:rPr>
          <w:t>https://dune.xyz/messari/Messari:-Airdrops</w:t>
        </w:r>
      </w:hyperlink>
      <w:r w:rsidR="00CD1378">
        <w:t xml:space="preserve"> </w:t>
      </w:r>
    </w:p>
  </w:comment>
  <w:comment w:id="9" w:author="Gavin Thomas" w:date="2022-04-05T10:15:00Z" w:initials="GT">
    <w:p w14:paraId="516A997A" w14:textId="137CECED" w:rsidR="24BA5E98" w:rsidRDefault="24BA5E98" w:rsidP="4C2DE1DF">
      <w:pPr>
        <w:pStyle w:val="CommentText"/>
      </w:pPr>
      <w:r>
        <w:t>From Theoretical Trading:</w:t>
      </w:r>
      <w:r>
        <w:rPr>
          <w:rStyle w:val="CommentReference"/>
        </w:rPr>
        <w:annotationRef/>
      </w:r>
    </w:p>
    <w:p w14:paraId="400A44DA" w14:textId="1B26E7F3" w:rsidR="24BA5E98" w:rsidRDefault="24BA5E98" w:rsidP="4C2DE1DF">
      <w:pPr>
        <w:pStyle w:val="CommentText"/>
      </w:pPr>
      <w:r>
        <w:t>"Typically when there are multiple rounds i.e. pre seed / seed / private the TGE amount and lock up will be altered in respect to this level</w:t>
      </w:r>
    </w:p>
    <w:p w14:paraId="1212B31C" w14:textId="59080AA2" w:rsidR="24BA5E98" w:rsidRDefault="24BA5E98" w:rsidP="4C2DE1DF">
      <w:pPr>
        <w:pStyle w:val="CommentText"/>
      </w:pPr>
      <w:r>
        <w:t>I would suggest here that either a decrease on the % TGE for pre-seed tokens or an increase in the amount for seed. This could be as minor as changing from 5% to 3% for pre-seed or 5% to 7.5% for seed. Further many projects would lock up earlier rounds for longer although I don't believe this is needed</w:t>
      </w:r>
    </w:p>
    <w:p w14:paraId="27096130" w14:textId="000C4085" w:rsidR="24BA5E98" w:rsidRDefault="24BA5E98" w:rsidP="4C2DE1DF">
      <w:pPr>
        <w:pStyle w:val="CommentText"/>
      </w:pPr>
      <w:r>
        <w:t>Honestly, I am not as worried about this as the pre-seed investors are R3 which in my mind lends me to the belief that they will be less likely to sell even with equal vesting periods. "</w:t>
      </w:r>
    </w:p>
  </w:comment>
  <w:comment w:id="11" w:author="Gavin Thomas" w:date="2022-03-11T12:15:00Z" w:initials="GT">
    <w:p w14:paraId="2B8615B6" w14:textId="77777777" w:rsidR="00CC0F21" w:rsidRDefault="00CC0F21" w:rsidP="00CC0F21">
      <w:pPr>
        <w:pStyle w:val="CommentText"/>
      </w:pPr>
      <w:r>
        <w:rPr>
          <w:rStyle w:val="CommentReference"/>
        </w:rPr>
        <w:annotationRef/>
      </w:r>
      <w:r>
        <w:t>Suggestion from Polo to automate the process of converting OBX to ETH via an Obscuro DEX. This has been discussed already in the team because it would provide a better user experience</w:t>
      </w:r>
      <w:r>
        <w:rPr>
          <w:rStyle w:val="CommentReference"/>
        </w:rPr>
        <w:annotationRef/>
      </w:r>
    </w:p>
  </w:comment>
  <w:comment w:id="14" w:author="Gavin Thomas [2]" w:date="2022-05-23T15:28:00Z" w:initials="GT">
    <w:p w14:paraId="6F3DD6C0" w14:textId="77777777" w:rsidR="00CC0F21" w:rsidRPr="001A7314" w:rsidRDefault="00CC0F21" w:rsidP="00CC0F21">
      <w:pPr>
        <w:jc w:val="both"/>
        <w:rPr>
          <w:rFonts w:cstheme="minorHAnsi"/>
          <w:szCs w:val="24"/>
        </w:rPr>
      </w:pPr>
      <w:r>
        <w:rPr>
          <w:rStyle w:val="CommentReference"/>
        </w:rPr>
        <w:annotationRef/>
      </w:r>
      <w:r w:rsidRPr="001A7314">
        <w:rPr>
          <w:rFonts w:cstheme="minorHAnsi"/>
          <w:szCs w:val="24"/>
        </w:rPr>
        <w:t>Working on Ethereum as a basis... need to take approx 10% of OBX out of circulation to drive up OBX price.</w:t>
      </w:r>
      <w:r w:rsidRPr="001A7314">
        <w:rPr>
          <w:rFonts w:cstheme="minorHAnsi"/>
        </w:rPr>
        <w:br/>
      </w:r>
      <w:r w:rsidRPr="001A7314">
        <w:rPr>
          <w:rFonts w:cstheme="minorHAnsi"/>
          <w:szCs w:val="24"/>
        </w:rPr>
        <w:t>Delegators are choosing an operator</w:t>
      </w:r>
      <w:r w:rsidRPr="001A7314">
        <w:rPr>
          <w:rFonts w:cstheme="minorHAnsi"/>
        </w:rPr>
        <w:br/>
      </w:r>
      <w:r w:rsidRPr="001A7314">
        <w:rPr>
          <w:rFonts w:cstheme="minorHAnsi"/>
          <w:szCs w:val="24"/>
        </w:rPr>
        <w:t>Yield: separate payout from delegated staking to make the tech implementation less complex. Yield is determined by the node operator based on how much of the RU reward they are comfortable to take.</w:t>
      </w:r>
    </w:p>
    <w:p w14:paraId="3264786A" w14:textId="77777777" w:rsidR="00CC0F21" w:rsidRDefault="00CC0F21" w:rsidP="00CC0F21">
      <w:pPr>
        <w:pStyle w:val="CommentText"/>
      </w:pPr>
    </w:p>
  </w:comment>
  <w:comment w:id="15" w:author="Gavin Thomas [2]" w:date="2022-05-23T15:38:00Z" w:initials="GT">
    <w:p w14:paraId="3360A05F" w14:textId="77777777" w:rsidR="00E556E8" w:rsidRPr="00CC0F21" w:rsidRDefault="00E556E8" w:rsidP="00E556E8">
      <w:pPr>
        <w:jc w:val="both"/>
        <w:rPr>
          <w:rFonts w:cstheme="minorHAnsi"/>
          <w:szCs w:val="24"/>
        </w:rPr>
      </w:pPr>
      <w:r>
        <w:rPr>
          <w:rStyle w:val="CommentReference"/>
        </w:rPr>
        <w:annotationRef/>
      </w:r>
      <w:r w:rsidRPr="00CC0F21">
        <w:rPr>
          <w:rFonts w:cstheme="minorHAnsi"/>
          <w:szCs w:val="24"/>
        </w:rPr>
        <w:t>Aggregators are critical for HA. Validators are critical for security (do not take part in the gossip round so not a bottleneck</w:t>
      </w:r>
    </w:p>
    <w:p w14:paraId="1CF52E1C" w14:textId="77777777" w:rsidR="00E556E8" w:rsidRPr="00CC0F21" w:rsidRDefault="00E556E8" w:rsidP="00E556E8">
      <w:pPr>
        <w:jc w:val="both"/>
        <w:rPr>
          <w:rFonts w:cstheme="minorHAnsi"/>
          <w:szCs w:val="24"/>
        </w:rPr>
      </w:pPr>
      <w:r w:rsidRPr="00CC0F21">
        <w:rPr>
          <w:rFonts w:cstheme="minorHAnsi"/>
          <w:szCs w:val="24"/>
        </w:rPr>
        <w:t>Validator lottery incentives validators to check in and proof they are alive – have to check in to claim in a particular time period.</w:t>
      </w:r>
    </w:p>
    <w:p w14:paraId="5B4C4F41" w14:textId="04F6BA99" w:rsidR="00E556E8" w:rsidRDefault="00E556E8">
      <w:pPr>
        <w:pStyle w:val="CommentText"/>
      </w:pPr>
    </w:p>
  </w:comment>
  <w:comment w:id="19" w:author="Gavin Thomas" w:date="2022-05-05T14:50:00Z" w:initials="GT">
    <w:p w14:paraId="62483453" w14:textId="7240785E" w:rsidR="0172EE41" w:rsidRDefault="0172EE41">
      <w:pPr>
        <w:pStyle w:val="CommentText"/>
      </w:pPr>
      <w:r>
        <w:t>A quantified portion of the ecosystem fund needs to be set aside to incentivise dapp builders. Based on pre-money valuation and the typical salary for a developer ($250k) working for 3 months on building a dapp, 0.3% of tokens should be allocated to individual dapp builders. So 3% total allocation to incentivise 10 dapp builders.</w:t>
      </w:r>
      <w:r>
        <w:rPr>
          <w:rStyle w:val="CommentReference"/>
        </w:rPr>
        <w:annotationRef/>
      </w:r>
    </w:p>
  </w:comment>
  <w:comment w:id="22" w:author="Gavin Thomas" w:date="2022-04-05T10:15:00Z" w:initials="GT">
    <w:p w14:paraId="551674C3" w14:textId="7D077CB8" w:rsidR="28E58660" w:rsidRDefault="28E58660">
      <w:pPr>
        <w:pStyle w:val="CommentText"/>
      </w:pPr>
      <w:r>
        <w:t>From Theoretical Trading:</w:t>
      </w:r>
      <w:r>
        <w:rPr>
          <w:rStyle w:val="CommentReference"/>
        </w:rPr>
        <w:annotationRef/>
      </w:r>
    </w:p>
    <w:p w14:paraId="7AAA2A55" w14:textId="6A26A23D" w:rsidR="28E58660" w:rsidRDefault="28E58660">
      <w:pPr>
        <w:pStyle w:val="CommentText"/>
      </w:pPr>
      <w:r>
        <w:t>"-Investor and team vesting schedules need to be aligned at a min, with team extended beyond investors as the ideal position.</w:t>
      </w:r>
    </w:p>
    <w:p w14:paraId="458B08D4" w14:textId="378298C3" w:rsidR="28E58660" w:rsidRDefault="28E58660">
      <w:pPr>
        <w:pStyle w:val="CommentText"/>
      </w:pPr>
      <w:r>
        <w:t xml:space="preserve">This is the case as the team is the ones who are building, so they need to demonstrate most commitment. I would personally recommend that they receive either no tokens at TGE or a small amount with vesting of 4-5 years. </w:t>
      </w:r>
    </w:p>
    <w:p w14:paraId="64932FB7" w14:textId="2A43E0F0" w:rsidR="28E58660" w:rsidRDefault="28E58660">
      <w:pPr>
        <w:pStyle w:val="CommentText"/>
      </w:pPr>
      <w:r>
        <w:t>If the team tokens are being used to help fund the project or for other reasons such as marketing etc, I believe it would be better to split these portions into another segment and used that way."</w:t>
      </w:r>
    </w:p>
  </w:comment>
  <w:comment w:id="23" w:author="Gavin Thomas" w:date="2022-03-11T11:38:00Z" w:initials="GT">
    <w:p w14:paraId="1EC9BFC0" w14:textId="14D71553" w:rsidR="00C47FC9" w:rsidRDefault="00C47FC9">
      <w:pPr>
        <w:pStyle w:val="CommentText"/>
      </w:pPr>
      <w:r>
        <w:rPr>
          <w:rStyle w:val="CommentReference"/>
        </w:rPr>
        <w:annotationRef/>
      </w:r>
      <w:r>
        <w:t xml:space="preserve">Could / should vesting for investors be milestone based as it is for the team? </w:t>
      </w:r>
      <w:r w:rsidR="00B176A4">
        <w:t>Does that incentivise the right behaviour? For example investors providing assistance to reach the milestone, or would they simply give the core team a harder time to hit the deadlines. This could be a large rod for the backs of the core team</w:t>
      </w:r>
    </w:p>
  </w:comment>
  <w:comment w:id="25" w:author="Tudor Malene" w:date="2022-02-21T16:28:00Z" w:initials="TM">
    <w:p w14:paraId="4EF8582F" w14:textId="1BA12F95" w:rsidR="657071CE" w:rsidRDefault="657071CE" w:rsidP="09254920">
      <w:pPr>
        <w:pStyle w:val="CommentText"/>
      </w:pPr>
      <w:r>
        <w:t>Will it be significant? I would say we need a section to analyze staking value with pros and cons for different amounts.</w:t>
      </w:r>
      <w:r>
        <w:rPr>
          <w:rStyle w:val="CommentReference"/>
        </w:rPr>
        <w:annotationRef/>
      </w:r>
    </w:p>
  </w:comment>
  <w:comment w:id="28" w:author="Gavin Thomas" w:date="2022-04-05T10:16:00Z" w:initials="GT">
    <w:p w14:paraId="512D48F2" w14:textId="280D66B0" w:rsidR="316D3AAB" w:rsidRDefault="316D3AAB" w:rsidP="09254920">
      <w:pPr>
        <w:pStyle w:val="CommentText"/>
      </w:pPr>
      <w:r>
        <w:t>From Theoretical Trading:</w:t>
      </w:r>
      <w:r>
        <w:rPr>
          <w:rStyle w:val="CommentReference"/>
        </w:rPr>
        <w:annotationRef/>
      </w:r>
    </w:p>
    <w:p w14:paraId="7A335EF9" w14:textId="714519B5" w:rsidR="316D3AAB" w:rsidRDefault="316D3AAB" w:rsidP="09254920">
      <w:pPr>
        <w:pStyle w:val="CommentText"/>
      </w:pPr>
      <w:r>
        <w:t xml:space="preserve">"-I would also recommend to look at altering away from the LBP style Copper Pool Launch pad. </w:t>
      </w:r>
    </w:p>
    <w:p w14:paraId="72CC776D" w14:textId="2AC0A5E7" w:rsidR="316D3AAB" w:rsidRDefault="316D3AAB" w:rsidP="09254920">
      <w:pPr>
        <w:pStyle w:val="CommentText"/>
      </w:pPr>
      <w:r>
        <w:t>I believe this is a fantastic way to raise a large amount of capital, however the down side is that this causes the project to have a slower gain in traction. If a Fair pricing mechanism was to be explored then I would recommend something more akin to a standard auction setup where all participants recieve the same amount of tokens when the sale is completed. Good examples of this is how Redacted Cartel raised $73m usd or Perion Dao."</w:t>
      </w:r>
    </w:p>
  </w:comment>
  <w:comment w:id="26" w:author="Gavin Thomas [3]" w:date="2022-02-24T11:04:00Z" w:initials="G[">
    <w:p w14:paraId="7F278A48" w14:textId="6B75F653" w:rsidR="73033742" w:rsidRDefault="73033742" w:rsidP="09254920">
      <w:pPr>
        <w:pStyle w:val="CommentText"/>
      </w:pPr>
      <w:r>
        <w:t xml:space="preserve">Astro saw lots of selling / downward pressure once the price had been established. Partly because they still did an airdrop </w:t>
      </w:r>
      <w:r w:rsidR="509C8A9B">
        <w:t>despite using the LBA.</w:t>
      </w:r>
      <w:r>
        <w:rPr>
          <w:rStyle w:val="CommentReference"/>
        </w:rPr>
        <w:annotationRef/>
      </w:r>
    </w:p>
  </w:comment>
  <w:comment w:id="27" w:author="Gavin Thomas" w:date="2022-03-11T11:35:00Z" w:initials="GT">
    <w:p w14:paraId="5597E0FE" w14:textId="7B333F40" w:rsidR="6647EBD0" w:rsidRDefault="34639074" w:rsidP="34639074">
      <w:pPr>
        <w:pStyle w:val="CommentText"/>
      </w:pPr>
      <w:r>
        <w:t>LBA will start the phase of speculation and is likely to change the mood of the community if the community is not already built, well established and culturally and ethically robust</w:t>
      </w:r>
      <w:r w:rsidR="6647EBD0">
        <w:rPr>
          <w:rStyle w:val="CommentReference"/>
        </w:rPr>
        <w:annotationRef/>
      </w:r>
      <w:r w:rsidR="6647EBD0">
        <w:rPr>
          <w:rStyle w:val="CommentReference"/>
        </w:rPr>
        <w:annotationRef/>
      </w:r>
    </w:p>
  </w:comment>
  <w:comment w:id="29" w:author="Gavin Thomas" w:date="2022-03-11T11:24:00Z" w:initials="GT">
    <w:p w14:paraId="5C9B1C51" w14:textId="03603920" w:rsidR="14B35419" w:rsidRDefault="14B35419" w:rsidP="09254920">
      <w:pPr>
        <w:pStyle w:val="CommentText"/>
      </w:pPr>
      <w:r>
        <w:t>Cais argues LBAs are used when participants don’t want to be KYC’</w:t>
      </w:r>
      <w:r w:rsidR="6A613259">
        <w:t>í</w:t>
      </w:r>
      <w:r>
        <w:rPr>
          <w:rStyle w:val="CommentReference"/>
        </w:rPr>
        <w:annotationRef/>
      </w:r>
    </w:p>
  </w:comment>
  <w:comment w:id="33" w:author="Tudor Malene" w:date="2022-02-21T16:52:00Z" w:initials="TM">
    <w:p w14:paraId="25C4A344" w14:textId="4B7BB465" w:rsidR="00FA5C5B" w:rsidRDefault="00FA5C5B">
      <w:pPr>
        <w:pStyle w:val="CommentText"/>
      </w:pPr>
      <w:r>
        <w:rPr>
          <w:rStyle w:val="CommentReference"/>
        </w:rPr>
        <w:annotationRef/>
      </w:r>
      <w:r>
        <w:t>You can also add that having a token gives the foundation ammunition to make the project successful (like you mentioned before: grants, aggregator rewards, etc), in a way that using eth does not.</w:t>
      </w:r>
    </w:p>
    <w:p w14:paraId="35E26B06" w14:textId="0E30032C" w:rsidR="00FA5C5B" w:rsidRDefault="00FA5C5B">
      <w:pPr>
        <w:pStyle w:val="CommentText"/>
      </w:pPr>
    </w:p>
  </w:comment>
  <w:comment w:id="32" w:author="Tudor Malene" w:date="2022-02-21T16:51:00Z" w:initials="TM">
    <w:p w14:paraId="5701BFA9" w14:textId="02DB65F0" w:rsidR="00FA5C5B" w:rsidRDefault="00FA5C5B">
      <w:pPr>
        <w:pStyle w:val="CommentText"/>
      </w:pPr>
      <w:r>
        <w:rPr>
          <w:rStyle w:val="CommentReference"/>
        </w:rPr>
        <w:annotationRef/>
      </w:r>
      <w:r>
        <w:t>I think this makes a better explanation , then the circular one from before</w:t>
      </w:r>
    </w:p>
  </w:comment>
  <w:comment w:id="35" w:author="Tudor Malene" w:date="2022-02-21T16:54:00Z" w:initials="TM">
    <w:p w14:paraId="26B39EB1" w14:textId="77777777" w:rsidR="00FA5C5B" w:rsidRDefault="00FA5C5B">
      <w:pPr>
        <w:pStyle w:val="CommentText"/>
      </w:pPr>
      <w:r>
        <w:rPr>
          <w:rStyle w:val="CommentReference"/>
        </w:rPr>
        <w:annotationRef/>
      </w:r>
      <w:r>
        <w:t xml:space="preserve">Isn’t this included in “why not use eth?”? </w:t>
      </w:r>
    </w:p>
    <w:p w14:paraId="6C669EC6" w14:textId="77777777" w:rsidR="00FA5C5B" w:rsidRDefault="00FA5C5B">
      <w:pPr>
        <w:pStyle w:val="CommentText"/>
      </w:pPr>
      <w:r>
        <w:t>Also maybe should be rephrased as users pay fees anyway?</w:t>
      </w:r>
    </w:p>
    <w:p w14:paraId="63C45CEF" w14:textId="08F1729A" w:rsidR="00FA5C5B" w:rsidRDefault="00FA5C5B">
      <w:pPr>
        <w:pStyle w:val="CommentText"/>
      </w:pPr>
      <w:r>
        <w:t>I think you need to specify that this talks about the revenue model of the foundation itself.</w:t>
      </w:r>
    </w:p>
  </w:comment>
  <w:comment w:id="36" w:author="Pedro Gomes" w:date="2022-03-06T18:40:00Z" w:initials="PG">
    <w:p w14:paraId="25405874" w14:textId="2917404A" w:rsidR="7FC8EDEC" w:rsidRDefault="7FC8EDEC">
      <w:pPr>
        <w:pStyle w:val="CommentText"/>
      </w:pPr>
      <w:r>
        <w:t xml:space="preserve">What if there was a paragraph discussing how fees work? </w:t>
      </w:r>
      <w:r>
        <w:rPr>
          <w:rStyle w:val="CommentReference"/>
        </w:rPr>
        <w:annotationRef/>
      </w:r>
    </w:p>
  </w:comment>
  <w:comment w:id="37" w:author="Gavin Thomas" w:date="2022-03-07T18:50:00Z" w:initials="GT">
    <w:p w14:paraId="797D3B4F" w14:textId="54593471" w:rsidR="003F43BA" w:rsidRDefault="003F43BA">
      <w:pPr>
        <w:pStyle w:val="CommentText"/>
      </w:pPr>
      <w:r>
        <w:rPr>
          <w:rStyle w:val="CommentReference"/>
        </w:rPr>
        <w:annotationRef/>
      </w:r>
    </w:p>
  </w:comment>
  <w:comment w:id="38" w:author="Pedro Gomes" w:date="2022-03-06T18:19:00Z" w:initials="PG">
    <w:p w14:paraId="4682D00D" w14:textId="0039E7A5" w:rsidR="7FC8EDEC" w:rsidRDefault="7FC8EDEC">
      <w:pPr>
        <w:pStyle w:val="CommentText"/>
      </w:pPr>
      <w:r>
        <w:t xml:space="preserve">Feels like there is no fees in obscuro for transactions in general ? </w:t>
      </w:r>
      <w:r>
        <w:rPr>
          <w:rStyle w:val="CommentReference"/>
        </w:rPr>
        <w:annotationRef/>
      </w:r>
    </w:p>
  </w:comment>
  <w:comment w:id="39" w:author="Gavin Thomas" w:date="2022-03-07T18:51:00Z" w:initials="GT">
    <w:p w14:paraId="6A605C74" w14:textId="0DC7BCBD" w:rsidR="003F43BA" w:rsidRDefault="003F43BA">
      <w:pPr>
        <w:pStyle w:val="CommentText"/>
      </w:pPr>
      <w:r>
        <w:rPr>
          <w:rStyle w:val="CommentReference"/>
        </w:rPr>
        <w:annotationRef/>
      </w:r>
    </w:p>
  </w:comment>
  <w:comment w:id="46" w:author="Gavin Thomas" w:date="2022-05-11T17:13:00Z" w:initials="GT">
    <w:p w14:paraId="55F0DD40" w14:textId="249222AF" w:rsidR="59D76693" w:rsidRDefault="59D76693">
      <w:pPr>
        <w:pStyle w:val="CommentText"/>
      </w:pPr>
      <w:r>
        <w:t>Introduction has been updated</w:t>
      </w:r>
      <w:r>
        <w:rPr>
          <w:rStyle w:val="CommentReference"/>
        </w:rPr>
        <w:annotationRef/>
      </w:r>
    </w:p>
  </w:comment>
  <w:comment w:id="47" w:author="Gavin Thomas" w:date="2022-05-11T13:56:00Z" w:initials="GT">
    <w:p w14:paraId="3558276E" w14:textId="1AE83DF0" w:rsidR="59D76693" w:rsidRDefault="59D76693">
      <w:pPr>
        <w:pStyle w:val="CommentText"/>
      </w:pPr>
      <w:r>
        <w:t>This will be implemented in one of the contracts, I guess the management contract: when a rollup is submitted to L1 from a hacked node which has forced a lowest nonce, they will have to pay the rollup fee and a fork is created on L1. The Management contract on the L1 will identify the fork and block withdrawals until the fork conflict can be resolved</w:t>
      </w:r>
      <w:r>
        <w:rPr>
          <w:rStyle w:val="CommentReference"/>
        </w:rPr>
        <w:annotationRef/>
      </w:r>
    </w:p>
    <w:p w14:paraId="584C97C3" w14:textId="18C5F0B5" w:rsidR="59D76693" w:rsidRDefault="59D76693">
      <w:pPr>
        <w:pStyle w:val="CommentText"/>
      </w:pPr>
      <w:r>
        <w:t>Intel release patch for hacked SGX, re-run attestation and only the lastest ver of the SGX can be used by nodes.</w:t>
      </w:r>
    </w:p>
  </w:comment>
  <w:comment w:id="48" w:author="Gavin Thomas" w:date="2022-05-11T17:25:00Z" w:initials="GT">
    <w:p w14:paraId="26BD26F3" w14:textId="53E4381E" w:rsidR="59D76693" w:rsidRDefault="59D76693">
      <w:pPr>
        <w:pStyle w:val="CommentText"/>
      </w:pPr>
      <w:r>
        <w:t>Extra text added to Token Supply, Rewards and Fees section</w:t>
      </w:r>
      <w:r>
        <w:rPr>
          <w:rStyle w:val="CommentReference"/>
        </w:rPr>
        <w:annotationRef/>
      </w:r>
    </w:p>
  </w:comment>
  <w:comment w:id="49" w:author="Gavin Thomas" w:date="2022-05-11T17:44:00Z" w:initials="GT">
    <w:p w14:paraId="4E2F124E" w14:textId="6AD2E928" w:rsidR="59D76693" w:rsidRDefault="59D76693">
      <w:pPr>
        <w:pStyle w:val="CommentText"/>
      </w:pPr>
      <w:r>
        <w:t>Graph added</w:t>
      </w:r>
      <w:r>
        <w:rPr>
          <w:rStyle w:val="CommentReference"/>
        </w:rPr>
        <w:annotationRef/>
      </w:r>
    </w:p>
  </w:comment>
  <w:comment w:id="50" w:author="Gavin Thomas" w:date="2022-05-08T09:25:00Z" w:initials="GT">
    <w:p w14:paraId="41EB94E6" w14:textId="7B6CA831" w:rsidR="0172EE41" w:rsidRDefault="0172EE41">
      <w:pPr>
        <w:pStyle w:val="CommentText"/>
      </w:pPr>
      <w:r>
        <w:t>MW: how do you prevent the current OBX holders from simply voting to distribute all the OBX the foundation holds? Must be in the charter I assume.</w:t>
      </w:r>
      <w:r>
        <w:rPr>
          <w:rStyle w:val="CommentReference"/>
        </w:rPr>
        <w:annotationRef/>
      </w:r>
    </w:p>
  </w:comment>
  <w:comment w:id="51" w:author="Gavin Thomas" w:date="2022-05-11T18:20:00Z" w:initials="GT">
    <w:p w14:paraId="2B8321CD" w14:textId="57A60933" w:rsidR="59D76693" w:rsidRDefault="59D76693">
      <w:pPr>
        <w:pStyle w:val="CommentText"/>
      </w:pPr>
      <w:r>
        <w:t>LBAs replace the need for market makers. There is some divided opinion on LBAs for example they are aimed at individuals who don't want to be doxxed / KYCed. Going down a MM route does not jive particularly well with the community focus we have IMO</w:t>
      </w:r>
      <w:r>
        <w:rPr>
          <w:rStyle w:val="CommentReference"/>
        </w:rPr>
        <w:annotationRef/>
      </w:r>
    </w:p>
  </w:comment>
  <w:comment w:id="52" w:author="Gavin Thomas" w:date="2022-05-08T09:24:00Z" w:initials="GT">
    <w:p w14:paraId="6B2655C0" w14:textId="36C6B096" w:rsidR="0172EE41" w:rsidRDefault="0172EE41">
      <w:pPr>
        <w:pStyle w:val="CommentText"/>
      </w:pPr>
      <w:r>
        <w:t>MW: To tie this to the conversation about about trading - I think we should reward people who build the contracts we keep talking about, or those who port over with tests the existing ones. Keep in mind, founders and developers are different. In this case we'd want to build the primitives that can enable others to build more complex trading products that leverage privacy. Good way to get value from whitelist.</w:t>
      </w:r>
      <w:r>
        <w:rPr>
          <w:rStyle w:val="CommentReference"/>
        </w:rPr>
        <w:annotationRef/>
      </w:r>
    </w:p>
  </w:comment>
  <w:comment w:id="53" w:author="Gavin Thomas" w:date="2022-05-11T18:21:00Z" w:initials="GT">
    <w:p w14:paraId="6EB1CCFD" w14:textId="1A6DE146" w:rsidR="59D76693" w:rsidRDefault="59D76693">
      <w:pPr>
        <w:pStyle w:val="CommentText"/>
      </w:pPr>
      <w:r>
        <w:t>I do think this is covered by the Dework approach</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A35199" w15:done="0"/>
  <w15:commentEx w15:paraId="180E284D" w15:done="1"/>
  <w15:commentEx w15:paraId="08A87BD5" w15:paraIdParent="180E284D" w15:done="1"/>
  <w15:commentEx w15:paraId="6F9C7752" w15:done="0"/>
  <w15:commentEx w15:paraId="66F8FDBA" w15:done="0"/>
  <w15:commentEx w15:paraId="225364D0" w15:done="0"/>
  <w15:commentEx w15:paraId="07361C91" w15:done="0"/>
  <w15:commentEx w15:paraId="27096130" w15:done="0"/>
  <w15:commentEx w15:paraId="2B8615B6" w15:done="0"/>
  <w15:commentEx w15:paraId="3264786A" w15:done="0"/>
  <w15:commentEx w15:paraId="5B4C4F41" w15:done="0"/>
  <w15:commentEx w15:paraId="62483453" w15:done="0"/>
  <w15:commentEx w15:paraId="64932FB7" w15:done="0"/>
  <w15:commentEx w15:paraId="1EC9BFC0" w15:done="0"/>
  <w15:commentEx w15:paraId="4EF8582F" w15:done="1"/>
  <w15:commentEx w15:paraId="72CC776D" w15:done="0"/>
  <w15:commentEx w15:paraId="7F278A48" w15:done="0"/>
  <w15:commentEx w15:paraId="5597E0FE" w15:done="0"/>
  <w15:commentEx w15:paraId="5C9B1C51" w15:done="0"/>
  <w15:commentEx w15:paraId="35E26B06" w15:done="1"/>
  <w15:commentEx w15:paraId="5701BFA9" w15:done="1"/>
  <w15:commentEx w15:paraId="63C45CEF" w15:done="1"/>
  <w15:commentEx w15:paraId="25405874" w15:done="1"/>
  <w15:commentEx w15:paraId="797D3B4F" w15:paraIdParent="25405874" w15:done="1"/>
  <w15:commentEx w15:paraId="4682D00D" w15:done="1"/>
  <w15:commentEx w15:paraId="6A605C74" w15:paraIdParent="4682D00D" w15:done="1"/>
  <w15:commentEx w15:paraId="55F0DD40" w15:done="0"/>
  <w15:commentEx w15:paraId="584C97C3" w15:done="0"/>
  <w15:commentEx w15:paraId="26BD26F3" w15:done="0"/>
  <w15:commentEx w15:paraId="4E2F124E" w15:done="0"/>
  <w15:commentEx w15:paraId="41EB94E6" w15:done="0"/>
  <w15:commentEx w15:paraId="2B8321CD" w15:done="0"/>
  <w15:commentEx w15:paraId="6B2655C0" w15:done="0"/>
  <w15:commentEx w15:paraId="6EB1CCFD" w15:paraIdParent="6B2655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CF82" w16cex:dateUtc="2022-03-11T13:39:00Z"/>
  <w16cex:commentExtensible w16cex:durableId="4F81A339" w16cex:dateUtc="2022-03-06T17:57:00Z"/>
  <w16cex:commentExtensible w16cex:durableId="25D0E6A0" w16cex:dateUtc="2022-03-07T20:16:00Z"/>
  <w16cex:commentExtensible w16cex:durableId="25D5BB14" w16cex:dateUtc="2022-03-11T12:12:00Z"/>
  <w16cex:commentExtensible w16cex:durableId="25D5AB36" w16cex:dateUtc="2022-03-11T11:04:00Z"/>
  <w16cex:commentExtensible w16cex:durableId="25D5ACCF" w16cex:dateUtc="2022-03-11T11:11:00Z"/>
  <w16cex:commentExtensible w16cex:durableId="25D5E6F4" w16cex:dateUtc="2022-03-11T15:19:00Z"/>
  <w16cex:commentExtensible w16cex:durableId="45125BC9" w16cex:dateUtc="2022-04-05T09:15:00Z"/>
  <w16cex:commentExtensible w16cex:durableId="25D5BBFB" w16cex:dateUtc="2022-03-11T12:15:00Z"/>
  <w16cex:commentExtensible w16cex:durableId="26362680" w16cex:dateUtc="2022-05-23T14:28:00Z"/>
  <w16cex:commentExtensible w16cex:durableId="263628DF" w16cex:dateUtc="2022-05-23T14:38:00Z"/>
  <w16cex:commentExtensible w16cex:durableId="2E247368" w16cex:dateUtc="2022-05-05T13:50:00Z"/>
  <w16cex:commentExtensible w16cex:durableId="0502C49D" w16cex:dateUtc="2022-04-05T09:15:00Z"/>
  <w16cex:commentExtensible w16cex:durableId="25D5B32A" w16cex:dateUtc="2022-03-11T11:38:00Z"/>
  <w16cex:commentExtensible w16cex:durableId="30396CEB" w16cex:dateUtc="2022-02-21T16:28:00Z"/>
  <w16cex:commentExtensible w16cex:durableId="6889C9B2" w16cex:dateUtc="2022-04-05T09:16:00Z"/>
  <w16cex:commentExtensible w16cex:durableId="66EE15A1" w16cex:dateUtc="2022-02-24T11:04:00Z"/>
  <w16cex:commentExtensible w16cex:durableId="26AAECF0" w16cex:dateUtc="2022-03-11T11:35:00Z"/>
  <w16cex:commentExtensible w16cex:durableId="27FC9518" w16cex:dateUtc="2022-03-11T11:24:00Z"/>
  <w16cex:commentExtensible w16cex:durableId="25BE41BE" w16cex:dateUtc="2022-02-21T16:52:00Z"/>
  <w16cex:commentExtensible w16cex:durableId="25BE4192" w16cex:dateUtc="2022-02-21T16:51:00Z"/>
  <w16cex:commentExtensible w16cex:durableId="25BE4232" w16cex:dateUtc="2022-02-21T16:54:00Z"/>
  <w16cex:commentExtensible w16cex:durableId="28827E8B" w16cex:dateUtc="2022-03-06T18:40:00Z"/>
  <w16cex:commentExtensible w16cex:durableId="25D0D293" w16cex:dateUtc="2022-03-07T18:50:00Z"/>
  <w16cex:commentExtensible w16cex:durableId="14EA43C4" w16cex:dateUtc="2022-03-06T18:19:00Z"/>
  <w16cex:commentExtensible w16cex:durableId="25D0D29C" w16cex:dateUtc="2022-03-07T18:51:00Z"/>
  <w16cex:commentExtensible w16cex:durableId="26C0A884" w16cex:dateUtc="2022-05-11T16:13:00Z"/>
  <w16cex:commentExtensible w16cex:durableId="0C7255EA" w16cex:dateUtc="2022-05-11T12:56:00Z"/>
  <w16cex:commentExtensible w16cex:durableId="0E2E41D4" w16cex:dateUtc="2022-05-11T16:25:00Z"/>
  <w16cex:commentExtensible w16cex:durableId="3708B5B3" w16cex:dateUtc="2022-05-11T16:44:00Z"/>
  <w16cex:commentExtensible w16cex:durableId="224DF765" w16cex:dateUtc="2022-05-08T08:25:00Z"/>
  <w16cex:commentExtensible w16cex:durableId="6589F42C" w16cex:dateUtc="2022-05-11T17:20:00Z"/>
  <w16cex:commentExtensible w16cex:durableId="172ACDEE" w16cex:dateUtc="2022-05-08T08:24:00Z"/>
  <w16cex:commentExtensible w16cex:durableId="56309769" w16cex:dateUtc="2022-05-11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A35199" w16cid:durableId="25D5CF82"/>
  <w16cid:commentId w16cid:paraId="180E284D" w16cid:durableId="4F81A339"/>
  <w16cid:commentId w16cid:paraId="08A87BD5" w16cid:durableId="25D0E6A0"/>
  <w16cid:commentId w16cid:paraId="6F9C7752" w16cid:durableId="25D5BB14"/>
  <w16cid:commentId w16cid:paraId="66F8FDBA" w16cid:durableId="25D5AB36"/>
  <w16cid:commentId w16cid:paraId="225364D0" w16cid:durableId="25D5ACCF"/>
  <w16cid:commentId w16cid:paraId="07361C91" w16cid:durableId="25D5E6F4"/>
  <w16cid:commentId w16cid:paraId="27096130" w16cid:durableId="45125BC9"/>
  <w16cid:commentId w16cid:paraId="2B8615B6" w16cid:durableId="25D5BBFB"/>
  <w16cid:commentId w16cid:paraId="3264786A" w16cid:durableId="26362680"/>
  <w16cid:commentId w16cid:paraId="5B4C4F41" w16cid:durableId="263628DF"/>
  <w16cid:commentId w16cid:paraId="62483453" w16cid:durableId="2E247368"/>
  <w16cid:commentId w16cid:paraId="64932FB7" w16cid:durableId="0502C49D"/>
  <w16cid:commentId w16cid:paraId="1EC9BFC0" w16cid:durableId="25D5B32A"/>
  <w16cid:commentId w16cid:paraId="4EF8582F" w16cid:durableId="30396CEB"/>
  <w16cid:commentId w16cid:paraId="72CC776D" w16cid:durableId="6889C9B2"/>
  <w16cid:commentId w16cid:paraId="7F278A48" w16cid:durableId="66EE15A1"/>
  <w16cid:commentId w16cid:paraId="5597E0FE" w16cid:durableId="26AAECF0"/>
  <w16cid:commentId w16cid:paraId="5C9B1C51" w16cid:durableId="27FC9518"/>
  <w16cid:commentId w16cid:paraId="35E26B06" w16cid:durableId="25BE41BE"/>
  <w16cid:commentId w16cid:paraId="5701BFA9" w16cid:durableId="25BE4192"/>
  <w16cid:commentId w16cid:paraId="63C45CEF" w16cid:durableId="25BE4232"/>
  <w16cid:commentId w16cid:paraId="25405874" w16cid:durableId="28827E8B"/>
  <w16cid:commentId w16cid:paraId="797D3B4F" w16cid:durableId="25D0D293"/>
  <w16cid:commentId w16cid:paraId="4682D00D" w16cid:durableId="14EA43C4"/>
  <w16cid:commentId w16cid:paraId="6A605C74" w16cid:durableId="25D0D29C"/>
  <w16cid:commentId w16cid:paraId="55F0DD40" w16cid:durableId="26C0A884"/>
  <w16cid:commentId w16cid:paraId="584C97C3" w16cid:durableId="0C7255EA"/>
  <w16cid:commentId w16cid:paraId="26BD26F3" w16cid:durableId="0E2E41D4"/>
  <w16cid:commentId w16cid:paraId="4E2F124E" w16cid:durableId="3708B5B3"/>
  <w16cid:commentId w16cid:paraId="41EB94E6" w16cid:durableId="224DF765"/>
  <w16cid:commentId w16cid:paraId="2B8321CD" w16cid:durableId="6589F42C"/>
  <w16cid:commentId w16cid:paraId="6B2655C0" w16cid:durableId="172ACDEE"/>
  <w16cid:commentId w16cid:paraId="6EB1CCFD" w16cid:durableId="563097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034F3" w14:textId="77777777" w:rsidR="00486E9D" w:rsidRDefault="00486E9D" w:rsidP="00F44475">
      <w:pPr>
        <w:spacing w:after="0" w:line="240" w:lineRule="auto"/>
      </w:pPr>
      <w:r>
        <w:separator/>
      </w:r>
    </w:p>
  </w:endnote>
  <w:endnote w:type="continuationSeparator" w:id="0">
    <w:p w14:paraId="1F89D05A" w14:textId="77777777" w:rsidR="00486E9D" w:rsidRDefault="00486E9D" w:rsidP="00F44475">
      <w:pPr>
        <w:spacing w:after="0" w:line="240" w:lineRule="auto"/>
      </w:pPr>
      <w:r>
        <w:continuationSeparator/>
      </w:r>
    </w:p>
  </w:endnote>
  <w:endnote w:type="continuationNotice" w:id="1">
    <w:p w14:paraId="0BD0E340" w14:textId="77777777" w:rsidR="00486E9D" w:rsidRDefault="00486E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82783" w14:textId="77777777" w:rsidR="00486E9D" w:rsidRDefault="00486E9D" w:rsidP="00F44475">
      <w:pPr>
        <w:spacing w:after="0" w:line="240" w:lineRule="auto"/>
      </w:pPr>
      <w:r>
        <w:separator/>
      </w:r>
    </w:p>
  </w:footnote>
  <w:footnote w:type="continuationSeparator" w:id="0">
    <w:p w14:paraId="77665633" w14:textId="77777777" w:rsidR="00486E9D" w:rsidRDefault="00486E9D" w:rsidP="00F44475">
      <w:pPr>
        <w:spacing w:after="0" w:line="240" w:lineRule="auto"/>
      </w:pPr>
      <w:r>
        <w:continuationSeparator/>
      </w:r>
    </w:p>
  </w:footnote>
  <w:footnote w:type="continuationNotice" w:id="1">
    <w:p w14:paraId="75D59456" w14:textId="77777777" w:rsidR="00486E9D" w:rsidRDefault="00486E9D">
      <w:pPr>
        <w:spacing w:after="0" w:line="240" w:lineRule="auto"/>
      </w:pPr>
    </w:p>
  </w:footnote>
  <w:footnote w:id="2">
    <w:p w14:paraId="18AD5423" w14:textId="20A32B7A" w:rsidR="09254920" w:rsidRDefault="09254920" w:rsidP="09254920">
      <w:pPr>
        <w:pStyle w:val="FootnoteText"/>
      </w:pPr>
      <w:r w:rsidRPr="09254920">
        <w:rPr>
          <w:rStyle w:val="FootnoteReference"/>
        </w:rPr>
        <w:footnoteRef/>
      </w:r>
      <w:r>
        <w:t xml:space="preserve"> Thanks to Delphi Digital for the inspiration: </w:t>
      </w:r>
      <w:hyperlink r:id="rId1">
        <w:r w:rsidRPr="09254920">
          <w:rPr>
            <w:rStyle w:val="Hyperlink"/>
          </w:rPr>
          <w:t>https://members.delphidigital.io/reports/introducing-lockdrop-lba-a-novel-token-launch-mechanism/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95"/>
      <w:gridCol w:w="3095"/>
      <w:gridCol w:w="3095"/>
    </w:tblGrid>
    <w:tr w:rsidR="530B5721" w14:paraId="342039D1" w14:textId="77777777" w:rsidTr="00F56DBE">
      <w:tc>
        <w:tcPr>
          <w:tcW w:w="3095" w:type="dxa"/>
        </w:tcPr>
        <w:p w14:paraId="0B1F04F4" w14:textId="2E3A9022" w:rsidR="530B5721" w:rsidRDefault="530B5721" w:rsidP="234B0F2B">
          <w:pPr>
            <w:pStyle w:val="Header"/>
            <w:ind w:left="-115"/>
            <w:rPr>
              <w:szCs w:val="24"/>
            </w:rPr>
          </w:pPr>
        </w:p>
      </w:tc>
      <w:tc>
        <w:tcPr>
          <w:tcW w:w="3095" w:type="dxa"/>
        </w:tcPr>
        <w:p w14:paraId="237D09CA" w14:textId="03D11692" w:rsidR="530B5721" w:rsidRDefault="530B5721" w:rsidP="234B0F2B">
          <w:pPr>
            <w:pStyle w:val="Header"/>
            <w:jc w:val="center"/>
            <w:rPr>
              <w:szCs w:val="24"/>
            </w:rPr>
          </w:pPr>
        </w:p>
      </w:tc>
      <w:tc>
        <w:tcPr>
          <w:tcW w:w="3095" w:type="dxa"/>
        </w:tcPr>
        <w:p w14:paraId="4A15C346" w14:textId="766F8D47" w:rsidR="530B5721" w:rsidRDefault="234B0F2B" w:rsidP="6B5F2A58">
          <w:pPr>
            <w:pStyle w:val="Header"/>
            <w:ind w:right="-115"/>
            <w:jc w:val="right"/>
            <w:rPr>
              <w:szCs w:val="24"/>
            </w:rPr>
          </w:pPr>
          <w:r>
            <w:rPr>
              <w:noProof/>
            </w:rPr>
            <w:drawing>
              <wp:inline distT="0" distB="0" distL="0" distR="0" wp14:anchorId="6E71BC19" wp14:editId="4B02F0A9">
                <wp:extent cx="1819275" cy="866775"/>
                <wp:effectExtent l="0" t="0" r="0" b="0"/>
                <wp:docPr id="1405658170" name="Picture 1405658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819275" cy="866775"/>
                        </a:xfrm>
                        <a:prstGeom prst="rect">
                          <a:avLst/>
                        </a:prstGeom>
                      </pic:spPr>
                    </pic:pic>
                  </a:graphicData>
                </a:graphic>
              </wp:inline>
            </w:drawing>
          </w:r>
        </w:p>
      </w:tc>
    </w:tr>
  </w:tbl>
  <w:p w14:paraId="479674E6" w14:textId="20DFE3C7" w:rsidR="530B5721" w:rsidRDefault="530B5721" w:rsidP="234B0F2B">
    <w:pPr>
      <w:pStyle w:val="Header"/>
      <w:rPr>
        <w:szCs w:val="24"/>
      </w:rPr>
    </w:pPr>
  </w:p>
</w:hdr>
</file>

<file path=word/intelligence2.xml><?xml version="1.0" encoding="utf-8"?>
<int2:intelligence xmlns:int2="http://schemas.microsoft.com/office/intelligence/2020/intelligence" xmlns:oel="http://schemas.microsoft.com/office/2019/extlst">
  <int2:observations>
    <int2:textHash int2:hashCode="2jqIONuQLCmjpX" int2:id="Wmzwv8z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614C"/>
    <w:multiLevelType w:val="hybridMultilevel"/>
    <w:tmpl w:val="BC5E11DE"/>
    <w:lvl w:ilvl="0" w:tplc="DA06A77C">
      <w:start w:val="1"/>
      <w:numFmt w:val="decimal"/>
      <w:lvlText w:val="%1."/>
      <w:lvlJc w:val="left"/>
      <w:pPr>
        <w:ind w:left="720" w:hanging="360"/>
      </w:pPr>
    </w:lvl>
    <w:lvl w:ilvl="1" w:tplc="ABF2E4D6">
      <w:start w:val="1"/>
      <w:numFmt w:val="lowerLetter"/>
      <w:lvlText w:val="%2."/>
      <w:lvlJc w:val="left"/>
      <w:pPr>
        <w:ind w:left="1440" w:hanging="360"/>
      </w:pPr>
    </w:lvl>
    <w:lvl w:ilvl="2" w:tplc="782A5C98">
      <w:start w:val="1"/>
      <w:numFmt w:val="lowerRoman"/>
      <w:lvlText w:val="%3."/>
      <w:lvlJc w:val="right"/>
      <w:pPr>
        <w:ind w:left="2160" w:hanging="180"/>
      </w:pPr>
    </w:lvl>
    <w:lvl w:ilvl="3" w:tplc="CA48C35E">
      <w:start w:val="1"/>
      <w:numFmt w:val="decimal"/>
      <w:lvlText w:val="%4."/>
      <w:lvlJc w:val="left"/>
      <w:pPr>
        <w:ind w:left="2880" w:hanging="360"/>
      </w:pPr>
    </w:lvl>
    <w:lvl w:ilvl="4" w:tplc="946EE4E8">
      <w:start w:val="1"/>
      <w:numFmt w:val="lowerLetter"/>
      <w:lvlText w:val="%5."/>
      <w:lvlJc w:val="left"/>
      <w:pPr>
        <w:ind w:left="3600" w:hanging="360"/>
      </w:pPr>
    </w:lvl>
    <w:lvl w:ilvl="5" w:tplc="54A6BAB2">
      <w:start w:val="1"/>
      <w:numFmt w:val="lowerRoman"/>
      <w:lvlText w:val="%6."/>
      <w:lvlJc w:val="right"/>
      <w:pPr>
        <w:ind w:left="4320" w:hanging="180"/>
      </w:pPr>
    </w:lvl>
    <w:lvl w:ilvl="6" w:tplc="B296DBBC">
      <w:start w:val="1"/>
      <w:numFmt w:val="decimal"/>
      <w:lvlText w:val="%7."/>
      <w:lvlJc w:val="left"/>
      <w:pPr>
        <w:ind w:left="5040" w:hanging="360"/>
      </w:pPr>
    </w:lvl>
    <w:lvl w:ilvl="7" w:tplc="66E85664">
      <w:start w:val="1"/>
      <w:numFmt w:val="lowerLetter"/>
      <w:lvlText w:val="%8."/>
      <w:lvlJc w:val="left"/>
      <w:pPr>
        <w:ind w:left="5760" w:hanging="360"/>
      </w:pPr>
    </w:lvl>
    <w:lvl w:ilvl="8" w:tplc="99A84E38">
      <w:start w:val="1"/>
      <w:numFmt w:val="lowerRoman"/>
      <w:lvlText w:val="%9."/>
      <w:lvlJc w:val="right"/>
      <w:pPr>
        <w:ind w:left="6480" w:hanging="180"/>
      </w:pPr>
    </w:lvl>
  </w:abstractNum>
  <w:abstractNum w:abstractNumId="1" w15:restartNumberingAfterBreak="0">
    <w:nsid w:val="08CA4D0D"/>
    <w:multiLevelType w:val="hybridMultilevel"/>
    <w:tmpl w:val="3E0CD6BA"/>
    <w:lvl w:ilvl="0" w:tplc="50321DAE">
      <w:start w:val="1"/>
      <w:numFmt w:val="decimal"/>
      <w:lvlText w:val="%1."/>
      <w:lvlJc w:val="left"/>
      <w:pPr>
        <w:ind w:left="720" w:hanging="360"/>
      </w:pPr>
    </w:lvl>
    <w:lvl w:ilvl="1" w:tplc="F5C66D04">
      <w:start w:val="1"/>
      <w:numFmt w:val="lowerLetter"/>
      <w:lvlText w:val="%2."/>
      <w:lvlJc w:val="left"/>
      <w:pPr>
        <w:ind w:left="1440" w:hanging="360"/>
      </w:pPr>
    </w:lvl>
    <w:lvl w:ilvl="2" w:tplc="A912B7B2">
      <w:start w:val="1"/>
      <w:numFmt w:val="lowerRoman"/>
      <w:lvlText w:val="%3."/>
      <w:lvlJc w:val="right"/>
      <w:pPr>
        <w:ind w:left="2160" w:hanging="180"/>
      </w:pPr>
    </w:lvl>
    <w:lvl w:ilvl="3" w:tplc="BA6AF8A4">
      <w:start w:val="1"/>
      <w:numFmt w:val="decimal"/>
      <w:lvlText w:val="%4."/>
      <w:lvlJc w:val="left"/>
      <w:pPr>
        <w:ind w:left="2880" w:hanging="360"/>
      </w:pPr>
    </w:lvl>
    <w:lvl w:ilvl="4" w:tplc="43CC5BC4">
      <w:start w:val="1"/>
      <w:numFmt w:val="lowerLetter"/>
      <w:lvlText w:val="%5."/>
      <w:lvlJc w:val="left"/>
      <w:pPr>
        <w:ind w:left="3600" w:hanging="360"/>
      </w:pPr>
    </w:lvl>
    <w:lvl w:ilvl="5" w:tplc="0256FE22">
      <w:start w:val="1"/>
      <w:numFmt w:val="lowerRoman"/>
      <w:lvlText w:val="%6."/>
      <w:lvlJc w:val="right"/>
      <w:pPr>
        <w:ind w:left="4320" w:hanging="180"/>
      </w:pPr>
    </w:lvl>
    <w:lvl w:ilvl="6" w:tplc="035A0A60">
      <w:start w:val="1"/>
      <w:numFmt w:val="decimal"/>
      <w:lvlText w:val="%7."/>
      <w:lvlJc w:val="left"/>
      <w:pPr>
        <w:ind w:left="5040" w:hanging="360"/>
      </w:pPr>
    </w:lvl>
    <w:lvl w:ilvl="7" w:tplc="540A5DEC">
      <w:start w:val="1"/>
      <w:numFmt w:val="lowerLetter"/>
      <w:lvlText w:val="%8."/>
      <w:lvlJc w:val="left"/>
      <w:pPr>
        <w:ind w:left="5760" w:hanging="360"/>
      </w:pPr>
    </w:lvl>
    <w:lvl w:ilvl="8" w:tplc="AB20982C">
      <w:start w:val="1"/>
      <w:numFmt w:val="lowerRoman"/>
      <w:lvlText w:val="%9."/>
      <w:lvlJc w:val="right"/>
      <w:pPr>
        <w:ind w:left="6480" w:hanging="180"/>
      </w:pPr>
    </w:lvl>
  </w:abstractNum>
  <w:abstractNum w:abstractNumId="2" w15:restartNumberingAfterBreak="0">
    <w:nsid w:val="0FFE27FF"/>
    <w:multiLevelType w:val="hybridMultilevel"/>
    <w:tmpl w:val="2638AE9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BC18C9"/>
    <w:multiLevelType w:val="hybridMultilevel"/>
    <w:tmpl w:val="E98090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56079D"/>
    <w:multiLevelType w:val="hybridMultilevel"/>
    <w:tmpl w:val="85AEC9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5D284C"/>
    <w:multiLevelType w:val="hybridMultilevel"/>
    <w:tmpl w:val="28942458"/>
    <w:lvl w:ilvl="0" w:tplc="B11C2D0C">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1F5425"/>
    <w:multiLevelType w:val="hybridMultilevel"/>
    <w:tmpl w:val="4044EF60"/>
    <w:lvl w:ilvl="0" w:tplc="B4F4785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578FB"/>
    <w:multiLevelType w:val="hybridMultilevel"/>
    <w:tmpl w:val="C7AA7392"/>
    <w:lvl w:ilvl="0" w:tplc="335CDF8E">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45217B"/>
    <w:multiLevelType w:val="hybridMultilevel"/>
    <w:tmpl w:val="50961B06"/>
    <w:lvl w:ilvl="0" w:tplc="28DE38F6">
      <w:start w:val="1"/>
      <w:numFmt w:val="decimal"/>
      <w:lvlText w:val="%1."/>
      <w:lvlJc w:val="left"/>
      <w:pPr>
        <w:ind w:left="720" w:hanging="360"/>
      </w:pPr>
    </w:lvl>
    <w:lvl w:ilvl="1" w:tplc="8806CA64">
      <w:start w:val="1"/>
      <w:numFmt w:val="lowerLetter"/>
      <w:lvlText w:val="%2."/>
      <w:lvlJc w:val="left"/>
      <w:pPr>
        <w:ind w:left="1440" w:hanging="360"/>
      </w:pPr>
    </w:lvl>
    <w:lvl w:ilvl="2" w:tplc="F6107D0E">
      <w:start w:val="1"/>
      <w:numFmt w:val="lowerRoman"/>
      <w:lvlText w:val="%3."/>
      <w:lvlJc w:val="right"/>
      <w:pPr>
        <w:ind w:left="2160" w:hanging="180"/>
      </w:pPr>
    </w:lvl>
    <w:lvl w:ilvl="3" w:tplc="2388894A">
      <w:start w:val="1"/>
      <w:numFmt w:val="decimal"/>
      <w:lvlText w:val="%4."/>
      <w:lvlJc w:val="left"/>
      <w:pPr>
        <w:ind w:left="2880" w:hanging="360"/>
      </w:pPr>
    </w:lvl>
    <w:lvl w:ilvl="4" w:tplc="6782634C">
      <w:start w:val="1"/>
      <w:numFmt w:val="lowerLetter"/>
      <w:lvlText w:val="%5."/>
      <w:lvlJc w:val="left"/>
      <w:pPr>
        <w:ind w:left="3600" w:hanging="360"/>
      </w:pPr>
    </w:lvl>
    <w:lvl w:ilvl="5" w:tplc="F418FDB8">
      <w:start w:val="1"/>
      <w:numFmt w:val="lowerRoman"/>
      <w:lvlText w:val="%6."/>
      <w:lvlJc w:val="right"/>
      <w:pPr>
        <w:ind w:left="4320" w:hanging="180"/>
      </w:pPr>
    </w:lvl>
    <w:lvl w:ilvl="6" w:tplc="2CD41DBC">
      <w:start w:val="1"/>
      <w:numFmt w:val="decimal"/>
      <w:lvlText w:val="%7."/>
      <w:lvlJc w:val="left"/>
      <w:pPr>
        <w:ind w:left="5040" w:hanging="360"/>
      </w:pPr>
    </w:lvl>
    <w:lvl w:ilvl="7" w:tplc="16AC245C">
      <w:start w:val="1"/>
      <w:numFmt w:val="lowerLetter"/>
      <w:lvlText w:val="%8."/>
      <w:lvlJc w:val="left"/>
      <w:pPr>
        <w:ind w:left="5760" w:hanging="360"/>
      </w:pPr>
    </w:lvl>
    <w:lvl w:ilvl="8" w:tplc="3AA67BB2">
      <w:start w:val="1"/>
      <w:numFmt w:val="lowerRoman"/>
      <w:lvlText w:val="%9."/>
      <w:lvlJc w:val="right"/>
      <w:pPr>
        <w:ind w:left="6480" w:hanging="180"/>
      </w:pPr>
    </w:lvl>
  </w:abstractNum>
  <w:abstractNum w:abstractNumId="9" w15:restartNumberingAfterBreak="0">
    <w:nsid w:val="37993407"/>
    <w:multiLevelType w:val="hybridMultilevel"/>
    <w:tmpl w:val="C4DE1D20"/>
    <w:lvl w:ilvl="0" w:tplc="EDD819D0">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5E7AAD"/>
    <w:multiLevelType w:val="hybridMultilevel"/>
    <w:tmpl w:val="1ADCE34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3F72EAF"/>
    <w:multiLevelType w:val="hybridMultilevel"/>
    <w:tmpl w:val="458431D4"/>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4D591DDE"/>
    <w:multiLevelType w:val="hybridMultilevel"/>
    <w:tmpl w:val="02D2B5B2"/>
    <w:lvl w:ilvl="0" w:tplc="151C19BA">
      <w:start w:val="1"/>
      <w:numFmt w:val="decimal"/>
      <w:lvlText w:val="%1."/>
      <w:lvlJc w:val="left"/>
      <w:pPr>
        <w:ind w:left="720" w:hanging="360"/>
      </w:pPr>
    </w:lvl>
    <w:lvl w:ilvl="1" w:tplc="54AA919A">
      <w:start w:val="1"/>
      <w:numFmt w:val="lowerLetter"/>
      <w:lvlText w:val="%2."/>
      <w:lvlJc w:val="left"/>
      <w:pPr>
        <w:ind w:left="1440" w:hanging="360"/>
      </w:pPr>
    </w:lvl>
    <w:lvl w:ilvl="2" w:tplc="62C48D08">
      <w:start w:val="1"/>
      <w:numFmt w:val="lowerRoman"/>
      <w:lvlText w:val="%3."/>
      <w:lvlJc w:val="right"/>
      <w:pPr>
        <w:ind w:left="2160" w:hanging="180"/>
      </w:pPr>
    </w:lvl>
    <w:lvl w:ilvl="3" w:tplc="0A0831E6">
      <w:start w:val="1"/>
      <w:numFmt w:val="decimal"/>
      <w:lvlText w:val="%4."/>
      <w:lvlJc w:val="left"/>
      <w:pPr>
        <w:ind w:left="2880" w:hanging="360"/>
      </w:pPr>
    </w:lvl>
    <w:lvl w:ilvl="4" w:tplc="B310F678">
      <w:start w:val="1"/>
      <w:numFmt w:val="lowerLetter"/>
      <w:lvlText w:val="%5."/>
      <w:lvlJc w:val="left"/>
      <w:pPr>
        <w:ind w:left="3600" w:hanging="360"/>
      </w:pPr>
    </w:lvl>
    <w:lvl w:ilvl="5" w:tplc="FCC81222">
      <w:start w:val="1"/>
      <w:numFmt w:val="lowerRoman"/>
      <w:lvlText w:val="%6."/>
      <w:lvlJc w:val="right"/>
      <w:pPr>
        <w:ind w:left="4320" w:hanging="180"/>
      </w:pPr>
    </w:lvl>
    <w:lvl w:ilvl="6" w:tplc="0E2C2710">
      <w:start w:val="1"/>
      <w:numFmt w:val="decimal"/>
      <w:lvlText w:val="%7."/>
      <w:lvlJc w:val="left"/>
      <w:pPr>
        <w:ind w:left="5040" w:hanging="360"/>
      </w:pPr>
    </w:lvl>
    <w:lvl w:ilvl="7" w:tplc="F9B8BB88">
      <w:start w:val="1"/>
      <w:numFmt w:val="lowerLetter"/>
      <w:lvlText w:val="%8."/>
      <w:lvlJc w:val="left"/>
      <w:pPr>
        <w:ind w:left="5760" w:hanging="360"/>
      </w:pPr>
    </w:lvl>
    <w:lvl w:ilvl="8" w:tplc="CACA5678">
      <w:start w:val="1"/>
      <w:numFmt w:val="lowerRoman"/>
      <w:lvlText w:val="%9."/>
      <w:lvlJc w:val="right"/>
      <w:pPr>
        <w:ind w:left="6480" w:hanging="180"/>
      </w:pPr>
    </w:lvl>
  </w:abstractNum>
  <w:abstractNum w:abstractNumId="13" w15:restartNumberingAfterBreak="0">
    <w:nsid w:val="505E7277"/>
    <w:multiLevelType w:val="hybridMultilevel"/>
    <w:tmpl w:val="3274F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9376D89"/>
    <w:multiLevelType w:val="hybridMultilevel"/>
    <w:tmpl w:val="C60C6A4E"/>
    <w:lvl w:ilvl="0" w:tplc="B11C2D0C">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B9550B"/>
    <w:multiLevelType w:val="hybridMultilevel"/>
    <w:tmpl w:val="4FAC0FBC"/>
    <w:lvl w:ilvl="0" w:tplc="5B540EF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233372"/>
    <w:multiLevelType w:val="hybridMultilevel"/>
    <w:tmpl w:val="AF0851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9177601"/>
    <w:multiLevelType w:val="hybridMultilevel"/>
    <w:tmpl w:val="9740E3C8"/>
    <w:lvl w:ilvl="0" w:tplc="1F78863A">
      <w:start w:val="1"/>
      <w:numFmt w:val="decimal"/>
      <w:lvlText w:val="%1."/>
      <w:lvlJc w:val="left"/>
      <w:pPr>
        <w:ind w:left="720" w:hanging="360"/>
      </w:pPr>
    </w:lvl>
    <w:lvl w:ilvl="1" w:tplc="C05C0CD6">
      <w:start w:val="1"/>
      <w:numFmt w:val="lowerLetter"/>
      <w:lvlText w:val="%2."/>
      <w:lvlJc w:val="left"/>
      <w:pPr>
        <w:ind w:left="1440" w:hanging="360"/>
      </w:pPr>
    </w:lvl>
    <w:lvl w:ilvl="2" w:tplc="D946E572">
      <w:start w:val="1"/>
      <w:numFmt w:val="lowerRoman"/>
      <w:lvlText w:val="%3."/>
      <w:lvlJc w:val="right"/>
      <w:pPr>
        <w:ind w:left="2160" w:hanging="180"/>
      </w:pPr>
    </w:lvl>
    <w:lvl w:ilvl="3" w:tplc="E1725B64">
      <w:start w:val="1"/>
      <w:numFmt w:val="decimal"/>
      <w:lvlText w:val="%4."/>
      <w:lvlJc w:val="left"/>
      <w:pPr>
        <w:ind w:left="2880" w:hanging="360"/>
      </w:pPr>
    </w:lvl>
    <w:lvl w:ilvl="4" w:tplc="96FCDDB0">
      <w:start w:val="1"/>
      <w:numFmt w:val="lowerLetter"/>
      <w:lvlText w:val="%5."/>
      <w:lvlJc w:val="left"/>
      <w:pPr>
        <w:ind w:left="3600" w:hanging="360"/>
      </w:pPr>
    </w:lvl>
    <w:lvl w:ilvl="5" w:tplc="4DB6C3B8">
      <w:start w:val="1"/>
      <w:numFmt w:val="lowerRoman"/>
      <w:lvlText w:val="%6."/>
      <w:lvlJc w:val="right"/>
      <w:pPr>
        <w:ind w:left="4320" w:hanging="180"/>
      </w:pPr>
    </w:lvl>
    <w:lvl w:ilvl="6" w:tplc="1E56367A">
      <w:start w:val="1"/>
      <w:numFmt w:val="decimal"/>
      <w:lvlText w:val="%7."/>
      <w:lvlJc w:val="left"/>
      <w:pPr>
        <w:ind w:left="5040" w:hanging="360"/>
      </w:pPr>
    </w:lvl>
    <w:lvl w:ilvl="7" w:tplc="4A18E950">
      <w:start w:val="1"/>
      <w:numFmt w:val="lowerLetter"/>
      <w:lvlText w:val="%8."/>
      <w:lvlJc w:val="left"/>
      <w:pPr>
        <w:ind w:left="5760" w:hanging="360"/>
      </w:pPr>
    </w:lvl>
    <w:lvl w:ilvl="8" w:tplc="3BC44D30">
      <w:start w:val="1"/>
      <w:numFmt w:val="lowerRoman"/>
      <w:lvlText w:val="%9."/>
      <w:lvlJc w:val="right"/>
      <w:pPr>
        <w:ind w:left="6480" w:hanging="180"/>
      </w:pPr>
    </w:lvl>
  </w:abstractNum>
  <w:abstractNum w:abstractNumId="18" w15:restartNumberingAfterBreak="0">
    <w:nsid w:val="6DA65301"/>
    <w:multiLevelType w:val="hybridMultilevel"/>
    <w:tmpl w:val="3BA81138"/>
    <w:lvl w:ilvl="0" w:tplc="0F14B8CC">
      <w:start w:val="1"/>
      <w:numFmt w:val="decimal"/>
      <w:lvlText w:val="%1."/>
      <w:lvlJc w:val="left"/>
      <w:pPr>
        <w:ind w:left="720" w:hanging="360"/>
      </w:pPr>
    </w:lvl>
    <w:lvl w:ilvl="1" w:tplc="072C9E66">
      <w:start w:val="1"/>
      <w:numFmt w:val="lowerLetter"/>
      <w:lvlText w:val="%2."/>
      <w:lvlJc w:val="left"/>
      <w:pPr>
        <w:ind w:left="1440" w:hanging="360"/>
      </w:pPr>
    </w:lvl>
    <w:lvl w:ilvl="2" w:tplc="17E4E75A">
      <w:start w:val="1"/>
      <w:numFmt w:val="lowerRoman"/>
      <w:lvlText w:val="%3."/>
      <w:lvlJc w:val="right"/>
      <w:pPr>
        <w:ind w:left="2160" w:hanging="180"/>
      </w:pPr>
    </w:lvl>
    <w:lvl w:ilvl="3" w:tplc="FF68CBB6">
      <w:start w:val="1"/>
      <w:numFmt w:val="decimal"/>
      <w:lvlText w:val="%4."/>
      <w:lvlJc w:val="left"/>
      <w:pPr>
        <w:ind w:left="2880" w:hanging="360"/>
      </w:pPr>
    </w:lvl>
    <w:lvl w:ilvl="4" w:tplc="8348F482">
      <w:start w:val="1"/>
      <w:numFmt w:val="lowerLetter"/>
      <w:lvlText w:val="%5."/>
      <w:lvlJc w:val="left"/>
      <w:pPr>
        <w:ind w:left="3600" w:hanging="360"/>
      </w:pPr>
    </w:lvl>
    <w:lvl w:ilvl="5" w:tplc="E9B68E22">
      <w:start w:val="1"/>
      <w:numFmt w:val="lowerRoman"/>
      <w:lvlText w:val="%6."/>
      <w:lvlJc w:val="right"/>
      <w:pPr>
        <w:ind w:left="4320" w:hanging="180"/>
      </w:pPr>
    </w:lvl>
    <w:lvl w:ilvl="6" w:tplc="379CD62E">
      <w:start w:val="1"/>
      <w:numFmt w:val="decimal"/>
      <w:lvlText w:val="%7."/>
      <w:lvlJc w:val="left"/>
      <w:pPr>
        <w:ind w:left="5040" w:hanging="360"/>
      </w:pPr>
    </w:lvl>
    <w:lvl w:ilvl="7" w:tplc="3ED4C476">
      <w:start w:val="1"/>
      <w:numFmt w:val="lowerLetter"/>
      <w:lvlText w:val="%8."/>
      <w:lvlJc w:val="left"/>
      <w:pPr>
        <w:ind w:left="5760" w:hanging="360"/>
      </w:pPr>
    </w:lvl>
    <w:lvl w:ilvl="8" w:tplc="8FFAE196">
      <w:start w:val="1"/>
      <w:numFmt w:val="lowerRoman"/>
      <w:lvlText w:val="%9."/>
      <w:lvlJc w:val="right"/>
      <w:pPr>
        <w:ind w:left="6480" w:hanging="180"/>
      </w:pPr>
    </w:lvl>
  </w:abstractNum>
  <w:abstractNum w:abstractNumId="19" w15:restartNumberingAfterBreak="0">
    <w:nsid w:val="7ACA60D1"/>
    <w:multiLevelType w:val="hybridMultilevel"/>
    <w:tmpl w:val="FA10CC7A"/>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7C8D73E1"/>
    <w:multiLevelType w:val="hybridMultilevel"/>
    <w:tmpl w:val="C4EE8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2E6514"/>
    <w:multiLevelType w:val="hybridMultilevel"/>
    <w:tmpl w:val="C15EA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3612822">
    <w:abstractNumId w:val="12"/>
  </w:num>
  <w:num w:numId="2" w16cid:durableId="1135176920">
    <w:abstractNumId w:val="8"/>
  </w:num>
  <w:num w:numId="3" w16cid:durableId="558243798">
    <w:abstractNumId w:val="17"/>
  </w:num>
  <w:num w:numId="4" w16cid:durableId="910697082">
    <w:abstractNumId w:val="13"/>
  </w:num>
  <w:num w:numId="5" w16cid:durableId="813763415">
    <w:abstractNumId w:val="14"/>
  </w:num>
  <w:num w:numId="6" w16cid:durableId="863247434">
    <w:abstractNumId w:val="5"/>
  </w:num>
  <w:num w:numId="7" w16cid:durableId="1707291498">
    <w:abstractNumId w:val="20"/>
  </w:num>
  <w:num w:numId="8" w16cid:durableId="402028412">
    <w:abstractNumId w:val="6"/>
  </w:num>
  <w:num w:numId="9" w16cid:durableId="211230020">
    <w:abstractNumId w:val="2"/>
  </w:num>
  <w:num w:numId="10" w16cid:durableId="8069379">
    <w:abstractNumId w:val="4"/>
  </w:num>
  <w:num w:numId="11" w16cid:durableId="1758018584">
    <w:abstractNumId w:val="3"/>
  </w:num>
  <w:num w:numId="12" w16cid:durableId="50345998">
    <w:abstractNumId w:val="16"/>
  </w:num>
  <w:num w:numId="13" w16cid:durableId="2092577241">
    <w:abstractNumId w:val="19"/>
  </w:num>
  <w:num w:numId="14" w16cid:durableId="881331825">
    <w:abstractNumId w:val="11"/>
  </w:num>
  <w:num w:numId="15" w16cid:durableId="1481465168">
    <w:abstractNumId w:val="10"/>
  </w:num>
  <w:num w:numId="16" w16cid:durableId="1274089490">
    <w:abstractNumId w:val="7"/>
  </w:num>
  <w:num w:numId="17" w16cid:durableId="650523538">
    <w:abstractNumId w:val="21"/>
  </w:num>
  <w:num w:numId="18" w16cid:durableId="1659380619">
    <w:abstractNumId w:val="15"/>
  </w:num>
  <w:num w:numId="19" w16cid:durableId="1160463441">
    <w:abstractNumId w:val="18"/>
  </w:num>
  <w:num w:numId="20" w16cid:durableId="263153006">
    <w:abstractNumId w:val="1"/>
  </w:num>
  <w:num w:numId="21" w16cid:durableId="2096124788">
    <w:abstractNumId w:val="0"/>
  </w:num>
  <w:num w:numId="22" w16cid:durableId="140051815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vin Thomas">
    <w15:presenceInfo w15:providerId="AD" w15:userId="S::gavin@obscu.ro::c4d5a6b0-eebf-4912-901a-b044f82727a1"/>
  </w15:person>
  <w15:person w15:author="Pedro Gomes">
    <w15:presenceInfo w15:providerId="AD" w15:userId="S::h3llm_hotmail.com#ext#@gtobscuro.onmicrosoft.com::7410d756-1871-4a38-82ca-fd13ce44f0dc"/>
  </w15:person>
  <w15:person w15:author="Gavin Thomas [2]">
    <w15:presenceInfo w15:providerId="None" w15:userId="Gavin Thomas"/>
  </w15:person>
  <w15:person w15:author="Tudor Malene">
    <w15:presenceInfo w15:providerId="AD" w15:userId="S::tudor.malene@r3.com::56e0d74b-74ac-43b9-9723-a50012beb686"/>
  </w15:person>
  <w15:person w15:author="Gavin Thomas [3]">
    <w15:presenceInfo w15:providerId="AD" w15:userId="S::gavin.thomas@r3.com::e22e44ed-08d3-42e2-b384-375643798f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0MzMyNzK0NDY3tLRU0lEKTi0uzszPAykwrAUAFbSV5iwAAAA="/>
  </w:docVars>
  <w:rsids>
    <w:rsidRoot w:val="00151615"/>
    <w:rsid w:val="00001AF3"/>
    <w:rsid w:val="000035D8"/>
    <w:rsid w:val="00006E2F"/>
    <w:rsid w:val="000110D0"/>
    <w:rsid w:val="000163AF"/>
    <w:rsid w:val="000168C9"/>
    <w:rsid w:val="000222A3"/>
    <w:rsid w:val="00030494"/>
    <w:rsid w:val="00031A02"/>
    <w:rsid w:val="00031CC7"/>
    <w:rsid w:val="000323EB"/>
    <w:rsid w:val="00032B6D"/>
    <w:rsid w:val="00034030"/>
    <w:rsid w:val="00040758"/>
    <w:rsid w:val="00040D81"/>
    <w:rsid w:val="00041F29"/>
    <w:rsid w:val="0004321D"/>
    <w:rsid w:val="00047892"/>
    <w:rsid w:val="00050B7B"/>
    <w:rsid w:val="00052A17"/>
    <w:rsid w:val="00052A3F"/>
    <w:rsid w:val="000537FC"/>
    <w:rsid w:val="0005516F"/>
    <w:rsid w:val="00055A1B"/>
    <w:rsid w:val="000609E5"/>
    <w:rsid w:val="00061978"/>
    <w:rsid w:val="00061F07"/>
    <w:rsid w:val="0006257F"/>
    <w:rsid w:val="00066E9A"/>
    <w:rsid w:val="0007317D"/>
    <w:rsid w:val="000736C1"/>
    <w:rsid w:val="00075C1D"/>
    <w:rsid w:val="000841EB"/>
    <w:rsid w:val="00085544"/>
    <w:rsid w:val="000864B0"/>
    <w:rsid w:val="00090A81"/>
    <w:rsid w:val="00091AAF"/>
    <w:rsid w:val="0009330D"/>
    <w:rsid w:val="00094019"/>
    <w:rsid w:val="00094CA2"/>
    <w:rsid w:val="0009655F"/>
    <w:rsid w:val="000970DA"/>
    <w:rsid w:val="000A0637"/>
    <w:rsid w:val="000A0EB1"/>
    <w:rsid w:val="000A3936"/>
    <w:rsid w:val="000B03D9"/>
    <w:rsid w:val="000B0572"/>
    <w:rsid w:val="000B0F2F"/>
    <w:rsid w:val="000B1D34"/>
    <w:rsid w:val="000B25A4"/>
    <w:rsid w:val="000B2772"/>
    <w:rsid w:val="000B42FE"/>
    <w:rsid w:val="000C6A05"/>
    <w:rsid w:val="000D1ED9"/>
    <w:rsid w:val="000D2A0E"/>
    <w:rsid w:val="000D4194"/>
    <w:rsid w:val="000D4EF1"/>
    <w:rsid w:val="000D65C4"/>
    <w:rsid w:val="000D7211"/>
    <w:rsid w:val="000D7907"/>
    <w:rsid w:val="000E0F27"/>
    <w:rsid w:val="000E1A9E"/>
    <w:rsid w:val="000E21D1"/>
    <w:rsid w:val="000E47A8"/>
    <w:rsid w:val="000E4ED6"/>
    <w:rsid w:val="000E5A9F"/>
    <w:rsid w:val="000E64DB"/>
    <w:rsid w:val="000E6E09"/>
    <w:rsid w:val="000E72F0"/>
    <w:rsid w:val="000E7A72"/>
    <w:rsid w:val="000F069E"/>
    <w:rsid w:val="000F0B08"/>
    <w:rsid w:val="000F1800"/>
    <w:rsid w:val="000F2E61"/>
    <w:rsid w:val="000F3BF7"/>
    <w:rsid w:val="000F4CFB"/>
    <w:rsid w:val="000F5DBA"/>
    <w:rsid w:val="000F7E3A"/>
    <w:rsid w:val="000F7FBB"/>
    <w:rsid w:val="001025B0"/>
    <w:rsid w:val="001044D8"/>
    <w:rsid w:val="00110044"/>
    <w:rsid w:val="00110EE6"/>
    <w:rsid w:val="00111696"/>
    <w:rsid w:val="001163E4"/>
    <w:rsid w:val="00116511"/>
    <w:rsid w:val="001170DA"/>
    <w:rsid w:val="001211B5"/>
    <w:rsid w:val="00122EF7"/>
    <w:rsid w:val="00123E38"/>
    <w:rsid w:val="00124DD5"/>
    <w:rsid w:val="00125863"/>
    <w:rsid w:val="00126160"/>
    <w:rsid w:val="001307B0"/>
    <w:rsid w:val="00131AAF"/>
    <w:rsid w:val="0013220A"/>
    <w:rsid w:val="001336B0"/>
    <w:rsid w:val="00135F1F"/>
    <w:rsid w:val="0014498E"/>
    <w:rsid w:val="001464DB"/>
    <w:rsid w:val="00151615"/>
    <w:rsid w:val="00151B42"/>
    <w:rsid w:val="00151C0F"/>
    <w:rsid w:val="00153986"/>
    <w:rsid w:val="00155065"/>
    <w:rsid w:val="00162E03"/>
    <w:rsid w:val="00164B2F"/>
    <w:rsid w:val="001668A3"/>
    <w:rsid w:val="001717E2"/>
    <w:rsid w:val="00171E5C"/>
    <w:rsid w:val="0017246B"/>
    <w:rsid w:val="001749D7"/>
    <w:rsid w:val="00174B65"/>
    <w:rsid w:val="001753C2"/>
    <w:rsid w:val="00177D21"/>
    <w:rsid w:val="001830A7"/>
    <w:rsid w:val="00184EFB"/>
    <w:rsid w:val="001902F6"/>
    <w:rsid w:val="00190DE4"/>
    <w:rsid w:val="00192095"/>
    <w:rsid w:val="001934A1"/>
    <w:rsid w:val="00195124"/>
    <w:rsid w:val="00196226"/>
    <w:rsid w:val="00196B75"/>
    <w:rsid w:val="00196F05"/>
    <w:rsid w:val="00197367"/>
    <w:rsid w:val="001A1FD4"/>
    <w:rsid w:val="001A23AC"/>
    <w:rsid w:val="001A258B"/>
    <w:rsid w:val="001A2A44"/>
    <w:rsid w:val="001A3230"/>
    <w:rsid w:val="001A4A14"/>
    <w:rsid w:val="001A7314"/>
    <w:rsid w:val="001B45FF"/>
    <w:rsid w:val="001B4DDC"/>
    <w:rsid w:val="001B696A"/>
    <w:rsid w:val="001B7E23"/>
    <w:rsid w:val="001B7F67"/>
    <w:rsid w:val="001C2E51"/>
    <w:rsid w:val="001C624F"/>
    <w:rsid w:val="001D3DFA"/>
    <w:rsid w:val="001D74C4"/>
    <w:rsid w:val="001E0177"/>
    <w:rsid w:val="001E2D2E"/>
    <w:rsid w:val="001E5AC7"/>
    <w:rsid w:val="001E6BFE"/>
    <w:rsid w:val="001E7305"/>
    <w:rsid w:val="001F48AB"/>
    <w:rsid w:val="001F582C"/>
    <w:rsid w:val="00200E6E"/>
    <w:rsid w:val="00201A58"/>
    <w:rsid w:val="002045E8"/>
    <w:rsid w:val="00204833"/>
    <w:rsid w:val="00204C5A"/>
    <w:rsid w:val="00205F87"/>
    <w:rsid w:val="002064DE"/>
    <w:rsid w:val="0020686C"/>
    <w:rsid w:val="0020F275"/>
    <w:rsid w:val="0021074D"/>
    <w:rsid w:val="00214364"/>
    <w:rsid w:val="0021604F"/>
    <w:rsid w:val="00216A7A"/>
    <w:rsid w:val="00221D5B"/>
    <w:rsid w:val="00221F3D"/>
    <w:rsid w:val="0022547E"/>
    <w:rsid w:val="00225756"/>
    <w:rsid w:val="002261A1"/>
    <w:rsid w:val="002276DA"/>
    <w:rsid w:val="00228D0D"/>
    <w:rsid w:val="002311A0"/>
    <w:rsid w:val="002324FF"/>
    <w:rsid w:val="00235F57"/>
    <w:rsid w:val="0023737A"/>
    <w:rsid w:val="002405EC"/>
    <w:rsid w:val="00240999"/>
    <w:rsid w:val="00240F51"/>
    <w:rsid w:val="00241817"/>
    <w:rsid w:val="00242DB3"/>
    <w:rsid w:val="002435B9"/>
    <w:rsid w:val="00245B83"/>
    <w:rsid w:val="00245BF5"/>
    <w:rsid w:val="002461B3"/>
    <w:rsid w:val="002507CA"/>
    <w:rsid w:val="0025132E"/>
    <w:rsid w:val="00251DCB"/>
    <w:rsid w:val="0025286D"/>
    <w:rsid w:val="0025735B"/>
    <w:rsid w:val="002578F1"/>
    <w:rsid w:val="00260EC9"/>
    <w:rsid w:val="00264515"/>
    <w:rsid w:val="00266846"/>
    <w:rsid w:val="00266EF6"/>
    <w:rsid w:val="0027055F"/>
    <w:rsid w:val="00272825"/>
    <w:rsid w:val="002740FC"/>
    <w:rsid w:val="00274B26"/>
    <w:rsid w:val="002769DC"/>
    <w:rsid w:val="002773CD"/>
    <w:rsid w:val="00280996"/>
    <w:rsid w:val="00280AB5"/>
    <w:rsid w:val="00283DB7"/>
    <w:rsid w:val="00284D18"/>
    <w:rsid w:val="00285B51"/>
    <w:rsid w:val="00290890"/>
    <w:rsid w:val="00291B04"/>
    <w:rsid w:val="00296B46"/>
    <w:rsid w:val="00296C81"/>
    <w:rsid w:val="002B0D69"/>
    <w:rsid w:val="002B12A0"/>
    <w:rsid w:val="002B1CB0"/>
    <w:rsid w:val="002B6D6C"/>
    <w:rsid w:val="002C0405"/>
    <w:rsid w:val="002C045E"/>
    <w:rsid w:val="002C0F20"/>
    <w:rsid w:val="002C2259"/>
    <w:rsid w:val="002C231F"/>
    <w:rsid w:val="002C31E2"/>
    <w:rsid w:val="002C515C"/>
    <w:rsid w:val="002D3F1F"/>
    <w:rsid w:val="002D4910"/>
    <w:rsid w:val="002E0EBE"/>
    <w:rsid w:val="002E0F36"/>
    <w:rsid w:val="002E464F"/>
    <w:rsid w:val="002E4D4E"/>
    <w:rsid w:val="002F0753"/>
    <w:rsid w:val="002F118E"/>
    <w:rsid w:val="002F210F"/>
    <w:rsid w:val="002F3ECE"/>
    <w:rsid w:val="002F5CCA"/>
    <w:rsid w:val="002F63E9"/>
    <w:rsid w:val="002F6BFC"/>
    <w:rsid w:val="002F778C"/>
    <w:rsid w:val="003013F5"/>
    <w:rsid w:val="00304EF5"/>
    <w:rsid w:val="003066AB"/>
    <w:rsid w:val="00307822"/>
    <w:rsid w:val="00310BB0"/>
    <w:rsid w:val="00313BE9"/>
    <w:rsid w:val="003164B0"/>
    <w:rsid w:val="00317770"/>
    <w:rsid w:val="0032003E"/>
    <w:rsid w:val="00322128"/>
    <w:rsid w:val="003223F3"/>
    <w:rsid w:val="003227A2"/>
    <w:rsid w:val="00324ECB"/>
    <w:rsid w:val="0032528C"/>
    <w:rsid w:val="00327E1B"/>
    <w:rsid w:val="00330EA5"/>
    <w:rsid w:val="00331EC8"/>
    <w:rsid w:val="003329E9"/>
    <w:rsid w:val="00332E47"/>
    <w:rsid w:val="003335DE"/>
    <w:rsid w:val="00333E04"/>
    <w:rsid w:val="00336B44"/>
    <w:rsid w:val="0034147C"/>
    <w:rsid w:val="0034264F"/>
    <w:rsid w:val="00343F43"/>
    <w:rsid w:val="003443DC"/>
    <w:rsid w:val="0034584E"/>
    <w:rsid w:val="003477C2"/>
    <w:rsid w:val="0035003F"/>
    <w:rsid w:val="00350BC1"/>
    <w:rsid w:val="00351ECE"/>
    <w:rsid w:val="003532D0"/>
    <w:rsid w:val="003534F7"/>
    <w:rsid w:val="00355668"/>
    <w:rsid w:val="003569EE"/>
    <w:rsid w:val="00356B92"/>
    <w:rsid w:val="0035799B"/>
    <w:rsid w:val="00362F4F"/>
    <w:rsid w:val="00363150"/>
    <w:rsid w:val="00363696"/>
    <w:rsid w:val="00364546"/>
    <w:rsid w:val="00364E72"/>
    <w:rsid w:val="00366171"/>
    <w:rsid w:val="00367705"/>
    <w:rsid w:val="00376C5C"/>
    <w:rsid w:val="00376F5C"/>
    <w:rsid w:val="0037709C"/>
    <w:rsid w:val="0038433E"/>
    <w:rsid w:val="003845EB"/>
    <w:rsid w:val="003851C2"/>
    <w:rsid w:val="003871B1"/>
    <w:rsid w:val="003877CF"/>
    <w:rsid w:val="003901EB"/>
    <w:rsid w:val="00390E3D"/>
    <w:rsid w:val="00391493"/>
    <w:rsid w:val="0039410C"/>
    <w:rsid w:val="00396525"/>
    <w:rsid w:val="00397D1B"/>
    <w:rsid w:val="003A1048"/>
    <w:rsid w:val="003A1516"/>
    <w:rsid w:val="003B0F76"/>
    <w:rsid w:val="003B2681"/>
    <w:rsid w:val="003B4E4F"/>
    <w:rsid w:val="003B5B37"/>
    <w:rsid w:val="003B69C8"/>
    <w:rsid w:val="003B73AB"/>
    <w:rsid w:val="003C0B2C"/>
    <w:rsid w:val="003C1C35"/>
    <w:rsid w:val="003C453F"/>
    <w:rsid w:val="003D0069"/>
    <w:rsid w:val="003D0D93"/>
    <w:rsid w:val="003D2A24"/>
    <w:rsid w:val="003D2F96"/>
    <w:rsid w:val="003D59A3"/>
    <w:rsid w:val="003D6251"/>
    <w:rsid w:val="003E20D7"/>
    <w:rsid w:val="003E2534"/>
    <w:rsid w:val="003E64B7"/>
    <w:rsid w:val="003E6A49"/>
    <w:rsid w:val="003F19DC"/>
    <w:rsid w:val="003F1F1F"/>
    <w:rsid w:val="003F43BA"/>
    <w:rsid w:val="003F5CFA"/>
    <w:rsid w:val="004017DB"/>
    <w:rsid w:val="00404E2F"/>
    <w:rsid w:val="004051B1"/>
    <w:rsid w:val="0040659E"/>
    <w:rsid w:val="0040749B"/>
    <w:rsid w:val="00407777"/>
    <w:rsid w:val="00410341"/>
    <w:rsid w:val="004108EA"/>
    <w:rsid w:val="00412555"/>
    <w:rsid w:val="00412E86"/>
    <w:rsid w:val="0041449F"/>
    <w:rsid w:val="004153BE"/>
    <w:rsid w:val="004161C5"/>
    <w:rsid w:val="00416740"/>
    <w:rsid w:val="0042318E"/>
    <w:rsid w:val="00423BDB"/>
    <w:rsid w:val="004321EF"/>
    <w:rsid w:val="00432406"/>
    <w:rsid w:val="004331F2"/>
    <w:rsid w:val="00434F7F"/>
    <w:rsid w:val="00435102"/>
    <w:rsid w:val="0043681B"/>
    <w:rsid w:val="00436A79"/>
    <w:rsid w:val="00436D15"/>
    <w:rsid w:val="004401F7"/>
    <w:rsid w:val="00445E05"/>
    <w:rsid w:val="004500FD"/>
    <w:rsid w:val="00450BBB"/>
    <w:rsid w:val="004534F6"/>
    <w:rsid w:val="00455AB9"/>
    <w:rsid w:val="00456588"/>
    <w:rsid w:val="0045798C"/>
    <w:rsid w:val="00461493"/>
    <w:rsid w:val="00461AC2"/>
    <w:rsid w:val="004657CE"/>
    <w:rsid w:val="00470C84"/>
    <w:rsid w:val="0047538D"/>
    <w:rsid w:val="00475746"/>
    <w:rsid w:val="00477622"/>
    <w:rsid w:val="0048004F"/>
    <w:rsid w:val="00484450"/>
    <w:rsid w:val="0048550A"/>
    <w:rsid w:val="00486E9D"/>
    <w:rsid w:val="00492425"/>
    <w:rsid w:val="004925B4"/>
    <w:rsid w:val="00492DA8"/>
    <w:rsid w:val="00496E6C"/>
    <w:rsid w:val="004A1EAC"/>
    <w:rsid w:val="004A3600"/>
    <w:rsid w:val="004A501D"/>
    <w:rsid w:val="004A764A"/>
    <w:rsid w:val="004A78E2"/>
    <w:rsid w:val="004B171C"/>
    <w:rsid w:val="004B26CD"/>
    <w:rsid w:val="004B3D77"/>
    <w:rsid w:val="004B4D98"/>
    <w:rsid w:val="004B5BFC"/>
    <w:rsid w:val="004B736C"/>
    <w:rsid w:val="004C364E"/>
    <w:rsid w:val="004C5AFC"/>
    <w:rsid w:val="004C6184"/>
    <w:rsid w:val="004C72D8"/>
    <w:rsid w:val="004D01AB"/>
    <w:rsid w:val="004D10FA"/>
    <w:rsid w:val="004D1B60"/>
    <w:rsid w:val="004D25F2"/>
    <w:rsid w:val="004D2F14"/>
    <w:rsid w:val="004D4828"/>
    <w:rsid w:val="004E23A3"/>
    <w:rsid w:val="004E4685"/>
    <w:rsid w:val="004F197F"/>
    <w:rsid w:val="004F2ACA"/>
    <w:rsid w:val="004F47C2"/>
    <w:rsid w:val="004F4F2D"/>
    <w:rsid w:val="00500A7F"/>
    <w:rsid w:val="00500E38"/>
    <w:rsid w:val="00501A40"/>
    <w:rsid w:val="00501B46"/>
    <w:rsid w:val="005053F1"/>
    <w:rsid w:val="00505827"/>
    <w:rsid w:val="00507F3F"/>
    <w:rsid w:val="005125C9"/>
    <w:rsid w:val="005131C5"/>
    <w:rsid w:val="00513ED8"/>
    <w:rsid w:val="00514234"/>
    <w:rsid w:val="00514CF2"/>
    <w:rsid w:val="005166B6"/>
    <w:rsid w:val="00525E0B"/>
    <w:rsid w:val="005273DF"/>
    <w:rsid w:val="00530C1F"/>
    <w:rsid w:val="00532575"/>
    <w:rsid w:val="00534319"/>
    <w:rsid w:val="00534913"/>
    <w:rsid w:val="00534C61"/>
    <w:rsid w:val="005368D4"/>
    <w:rsid w:val="00541043"/>
    <w:rsid w:val="00541535"/>
    <w:rsid w:val="00541B35"/>
    <w:rsid w:val="0054247C"/>
    <w:rsid w:val="005446CD"/>
    <w:rsid w:val="00546C5E"/>
    <w:rsid w:val="00546E38"/>
    <w:rsid w:val="0055145A"/>
    <w:rsid w:val="005517D5"/>
    <w:rsid w:val="00553E52"/>
    <w:rsid w:val="00554875"/>
    <w:rsid w:val="00555B50"/>
    <w:rsid w:val="005569B5"/>
    <w:rsid w:val="00557ACD"/>
    <w:rsid w:val="00560D39"/>
    <w:rsid w:val="00563BE5"/>
    <w:rsid w:val="0056518E"/>
    <w:rsid w:val="00571A54"/>
    <w:rsid w:val="0057416B"/>
    <w:rsid w:val="00576E61"/>
    <w:rsid w:val="00580C4E"/>
    <w:rsid w:val="00581A5F"/>
    <w:rsid w:val="005832F1"/>
    <w:rsid w:val="00583352"/>
    <w:rsid w:val="00586362"/>
    <w:rsid w:val="0059110A"/>
    <w:rsid w:val="0059133E"/>
    <w:rsid w:val="00591DC5"/>
    <w:rsid w:val="00592C9D"/>
    <w:rsid w:val="00593FFF"/>
    <w:rsid w:val="00594860"/>
    <w:rsid w:val="0059493A"/>
    <w:rsid w:val="00594CF3"/>
    <w:rsid w:val="00595776"/>
    <w:rsid w:val="00595819"/>
    <w:rsid w:val="005A13CF"/>
    <w:rsid w:val="005A3E2C"/>
    <w:rsid w:val="005A422A"/>
    <w:rsid w:val="005A4F93"/>
    <w:rsid w:val="005A576C"/>
    <w:rsid w:val="005B2DD8"/>
    <w:rsid w:val="005B46C4"/>
    <w:rsid w:val="005B7854"/>
    <w:rsid w:val="005C0F4C"/>
    <w:rsid w:val="005C330D"/>
    <w:rsid w:val="005C3CD3"/>
    <w:rsid w:val="005C3E29"/>
    <w:rsid w:val="005C648C"/>
    <w:rsid w:val="005C7AB4"/>
    <w:rsid w:val="005D1525"/>
    <w:rsid w:val="005D3EFA"/>
    <w:rsid w:val="005D47DD"/>
    <w:rsid w:val="005D4891"/>
    <w:rsid w:val="005D4C1B"/>
    <w:rsid w:val="005D71F0"/>
    <w:rsid w:val="005E011D"/>
    <w:rsid w:val="005E241F"/>
    <w:rsid w:val="005E38B3"/>
    <w:rsid w:val="005E4BE8"/>
    <w:rsid w:val="005E5EC7"/>
    <w:rsid w:val="005E6A05"/>
    <w:rsid w:val="005E7030"/>
    <w:rsid w:val="005E7C5C"/>
    <w:rsid w:val="005F0D8F"/>
    <w:rsid w:val="005F10DC"/>
    <w:rsid w:val="005F1F85"/>
    <w:rsid w:val="005F2E9C"/>
    <w:rsid w:val="005F3A8E"/>
    <w:rsid w:val="005F6108"/>
    <w:rsid w:val="006031B4"/>
    <w:rsid w:val="006031FE"/>
    <w:rsid w:val="0061562A"/>
    <w:rsid w:val="00615844"/>
    <w:rsid w:val="006159D2"/>
    <w:rsid w:val="0061602F"/>
    <w:rsid w:val="00616A5A"/>
    <w:rsid w:val="0062219F"/>
    <w:rsid w:val="00625AD0"/>
    <w:rsid w:val="00626DF7"/>
    <w:rsid w:val="00634A36"/>
    <w:rsid w:val="006376EB"/>
    <w:rsid w:val="006379C8"/>
    <w:rsid w:val="0064311E"/>
    <w:rsid w:val="00644573"/>
    <w:rsid w:val="00647AD7"/>
    <w:rsid w:val="00647B08"/>
    <w:rsid w:val="00650475"/>
    <w:rsid w:val="00652B03"/>
    <w:rsid w:val="006550F7"/>
    <w:rsid w:val="00661ED3"/>
    <w:rsid w:val="006629A4"/>
    <w:rsid w:val="0066548F"/>
    <w:rsid w:val="00665F44"/>
    <w:rsid w:val="006660FC"/>
    <w:rsid w:val="00666262"/>
    <w:rsid w:val="00667646"/>
    <w:rsid w:val="00667A31"/>
    <w:rsid w:val="00667BA5"/>
    <w:rsid w:val="00667CC9"/>
    <w:rsid w:val="006704BF"/>
    <w:rsid w:val="00670826"/>
    <w:rsid w:val="006748D1"/>
    <w:rsid w:val="00674B3A"/>
    <w:rsid w:val="0068059E"/>
    <w:rsid w:val="00680624"/>
    <w:rsid w:val="006818ED"/>
    <w:rsid w:val="00683355"/>
    <w:rsid w:val="00685886"/>
    <w:rsid w:val="00687618"/>
    <w:rsid w:val="00691C25"/>
    <w:rsid w:val="006969FD"/>
    <w:rsid w:val="006979F8"/>
    <w:rsid w:val="00697A1C"/>
    <w:rsid w:val="006A4CE1"/>
    <w:rsid w:val="006A7269"/>
    <w:rsid w:val="006B09ED"/>
    <w:rsid w:val="006B4B13"/>
    <w:rsid w:val="006B5F92"/>
    <w:rsid w:val="006B768B"/>
    <w:rsid w:val="006C0BD3"/>
    <w:rsid w:val="006C1808"/>
    <w:rsid w:val="006C1D4D"/>
    <w:rsid w:val="006C3612"/>
    <w:rsid w:val="006C3FD4"/>
    <w:rsid w:val="006C4810"/>
    <w:rsid w:val="006C55A0"/>
    <w:rsid w:val="006C7695"/>
    <w:rsid w:val="006C7A89"/>
    <w:rsid w:val="006D00C2"/>
    <w:rsid w:val="006D0C4A"/>
    <w:rsid w:val="006D380D"/>
    <w:rsid w:val="006D4953"/>
    <w:rsid w:val="006D7AC5"/>
    <w:rsid w:val="006E1815"/>
    <w:rsid w:val="006E268D"/>
    <w:rsid w:val="006E4845"/>
    <w:rsid w:val="006E5B19"/>
    <w:rsid w:val="006E5FBE"/>
    <w:rsid w:val="006F1D83"/>
    <w:rsid w:val="006F3A8A"/>
    <w:rsid w:val="00702AC6"/>
    <w:rsid w:val="00704D34"/>
    <w:rsid w:val="00705CE7"/>
    <w:rsid w:val="00714AE3"/>
    <w:rsid w:val="0071684F"/>
    <w:rsid w:val="007228B9"/>
    <w:rsid w:val="007229CD"/>
    <w:rsid w:val="00722AAA"/>
    <w:rsid w:val="00722DD9"/>
    <w:rsid w:val="0073146C"/>
    <w:rsid w:val="00734BA5"/>
    <w:rsid w:val="00734C71"/>
    <w:rsid w:val="007377E9"/>
    <w:rsid w:val="00741AE8"/>
    <w:rsid w:val="007461E2"/>
    <w:rsid w:val="00747605"/>
    <w:rsid w:val="007476BC"/>
    <w:rsid w:val="00750671"/>
    <w:rsid w:val="0075252F"/>
    <w:rsid w:val="0075339A"/>
    <w:rsid w:val="00763458"/>
    <w:rsid w:val="007712E7"/>
    <w:rsid w:val="007730A3"/>
    <w:rsid w:val="0077339A"/>
    <w:rsid w:val="00783E82"/>
    <w:rsid w:val="00785DCD"/>
    <w:rsid w:val="00786255"/>
    <w:rsid w:val="00786B24"/>
    <w:rsid w:val="00787F8B"/>
    <w:rsid w:val="007928BC"/>
    <w:rsid w:val="007A36E7"/>
    <w:rsid w:val="007A4891"/>
    <w:rsid w:val="007A4EED"/>
    <w:rsid w:val="007A743B"/>
    <w:rsid w:val="007B1608"/>
    <w:rsid w:val="007B18EE"/>
    <w:rsid w:val="007B2792"/>
    <w:rsid w:val="007B4818"/>
    <w:rsid w:val="007B64ED"/>
    <w:rsid w:val="007B6CE9"/>
    <w:rsid w:val="007C12D9"/>
    <w:rsid w:val="007C15D9"/>
    <w:rsid w:val="007C1938"/>
    <w:rsid w:val="007C1DEE"/>
    <w:rsid w:val="007C2F66"/>
    <w:rsid w:val="007C4B39"/>
    <w:rsid w:val="007C5FAD"/>
    <w:rsid w:val="007D3173"/>
    <w:rsid w:val="007D5D6F"/>
    <w:rsid w:val="007D6581"/>
    <w:rsid w:val="007E205B"/>
    <w:rsid w:val="007E5B8C"/>
    <w:rsid w:val="007E7107"/>
    <w:rsid w:val="007F18A3"/>
    <w:rsid w:val="007F21EA"/>
    <w:rsid w:val="007F36F9"/>
    <w:rsid w:val="007F3E23"/>
    <w:rsid w:val="007F5D2D"/>
    <w:rsid w:val="007F5E26"/>
    <w:rsid w:val="007F7181"/>
    <w:rsid w:val="00801220"/>
    <w:rsid w:val="008026A4"/>
    <w:rsid w:val="00806399"/>
    <w:rsid w:val="008130EB"/>
    <w:rsid w:val="00814323"/>
    <w:rsid w:val="008159B0"/>
    <w:rsid w:val="0081644B"/>
    <w:rsid w:val="00823016"/>
    <w:rsid w:val="00825F79"/>
    <w:rsid w:val="00831B01"/>
    <w:rsid w:val="00833603"/>
    <w:rsid w:val="00840FAF"/>
    <w:rsid w:val="00841E4A"/>
    <w:rsid w:val="00844840"/>
    <w:rsid w:val="00844DBF"/>
    <w:rsid w:val="008530A5"/>
    <w:rsid w:val="00854D1B"/>
    <w:rsid w:val="00857DCA"/>
    <w:rsid w:val="00860347"/>
    <w:rsid w:val="00860DD5"/>
    <w:rsid w:val="0086241F"/>
    <w:rsid w:val="00862B49"/>
    <w:rsid w:val="0086389C"/>
    <w:rsid w:val="00863952"/>
    <w:rsid w:val="008665A4"/>
    <w:rsid w:val="00866628"/>
    <w:rsid w:val="00866FC8"/>
    <w:rsid w:val="00870AB4"/>
    <w:rsid w:val="00880BF2"/>
    <w:rsid w:val="00881236"/>
    <w:rsid w:val="00881796"/>
    <w:rsid w:val="00881BCF"/>
    <w:rsid w:val="00885860"/>
    <w:rsid w:val="00886DEE"/>
    <w:rsid w:val="0088755A"/>
    <w:rsid w:val="00891A1C"/>
    <w:rsid w:val="008924AC"/>
    <w:rsid w:val="00892794"/>
    <w:rsid w:val="00892C9F"/>
    <w:rsid w:val="00892D3F"/>
    <w:rsid w:val="00892D50"/>
    <w:rsid w:val="00894102"/>
    <w:rsid w:val="008A4768"/>
    <w:rsid w:val="008A6876"/>
    <w:rsid w:val="008B08A7"/>
    <w:rsid w:val="008B1D9B"/>
    <w:rsid w:val="008B1FE5"/>
    <w:rsid w:val="008B2E6A"/>
    <w:rsid w:val="008B66A5"/>
    <w:rsid w:val="008B6ADF"/>
    <w:rsid w:val="008C2B74"/>
    <w:rsid w:val="008C542C"/>
    <w:rsid w:val="008C5C9C"/>
    <w:rsid w:val="008D11BD"/>
    <w:rsid w:val="008D180D"/>
    <w:rsid w:val="008D39DF"/>
    <w:rsid w:val="008D42AD"/>
    <w:rsid w:val="008E225D"/>
    <w:rsid w:val="008E29EC"/>
    <w:rsid w:val="008E3C23"/>
    <w:rsid w:val="008E47C1"/>
    <w:rsid w:val="008E50B0"/>
    <w:rsid w:val="008E667A"/>
    <w:rsid w:val="008F3856"/>
    <w:rsid w:val="008F6F19"/>
    <w:rsid w:val="008F6FE4"/>
    <w:rsid w:val="00901563"/>
    <w:rsid w:val="00902087"/>
    <w:rsid w:val="009022B7"/>
    <w:rsid w:val="00902407"/>
    <w:rsid w:val="00906076"/>
    <w:rsid w:val="00907081"/>
    <w:rsid w:val="009102F9"/>
    <w:rsid w:val="00912089"/>
    <w:rsid w:val="00916E90"/>
    <w:rsid w:val="009173C0"/>
    <w:rsid w:val="00921645"/>
    <w:rsid w:val="00922277"/>
    <w:rsid w:val="0092228A"/>
    <w:rsid w:val="00922642"/>
    <w:rsid w:val="00924F0D"/>
    <w:rsid w:val="00930E5F"/>
    <w:rsid w:val="00931576"/>
    <w:rsid w:val="00931F6E"/>
    <w:rsid w:val="00935B61"/>
    <w:rsid w:val="009401F7"/>
    <w:rsid w:val="00944597"/>
    <w:rsid w:val="00946B5B"/>
    <w:rsid w:val="009508EC"/>
    <w:rsid w:val="0095097F"/>
    <w:rsid w:val="0095252D"/>
    <w:rsid w:val="00952CCE"/>
    <w:rsid w:val="00953774"/>
    <w:rsid w:val="00953E90"/>
    <w:rsid w:val="00953E92"/>
    <w:rsid w:val="009540BE"/>
    <w:rsid w:val="0096324C"/>
    <w:rsid w:val="00964B5B"/>
    <w:rsid w:val="0096765E"/>
    <w:rsid w:val="00973A3E"/>
    <w:rsid w:val="00973A4D"/>
    <w:rsid w:val="009778A8"/>
    <w:rsid w:val="00980A0F"/>
    <w:rsid w:val="00982BC4"/>
    <w:rsid w:val="00983A1D"/>
    <w:rsid w:val="00985185"/>
    <w:rsid w:val="00985754"/>
    <w:rsid w:val="009860C1"/>
    <w:rsid w:val="0099013B"/>
    <w:rsid w:val="00992BD2"/>
    <w:rsid w:val="00995163"/>
    <w:rsid w:val="009979BB"/>
    <w:rsid w:val="009A2915"/>
    <w:rsid w:val="009A3A33"/>
    <w:rsid w:val="009A680B"/>
    <w:rsid w:val="009A6EB6"/>
    <w:rsid w:val="009B096A"/>
    <w:rsid w:val="009B216F"/>
    <w:rsid w:val="009B2993"/>
    <w:rsid w:val="009B2B73"/>
    <w:rsid w:val="009B3A00"/>
    <w:rsid w:val="009B6258"/>
    <w:rsid w:val="009C7297"/>
    <w:rsid w:val="009D3FF0"/>
    <w:rsid w:val="009D45FC"/>
    <w:rsid w:val="009D4875"/>
    <w:rsid w:val="009D522C"/>
    <w:rsid w:val="009E0911"/>
    <w:rsid w:val="009E28E1"/>
    <w:rsid w:val="009E298C"/>
    <w:rsid w:val="009E4EC5"/>
    <w:rsid w:val="009E6C2F"/>
    <w:rsid w:val="009E78C5"/>
    <w:rsid w:val="009F1DB2"/>
    <w:rsid w:val="009F3C71"/>
    <w:rsid w:val="009F6935"/>
    <w:rsid w:val="009F6DB6"/>
    <w:rsid w:val="00A02328"/>
    <w:rsid w:val="00A042DA"/>
    <w:rsid w:val="00A04DF5"/>
    <w:rsid w:val="00A07F35"/>
    <w:rsid w:val="00A126E7"/>
    <w:rsid w:val="00A12D50"/>
    <w:rsid w:val="00A1629A"/>
    <w:rsid w:val="00A20415"/>
    <w:rsid w:val="00A20C5A"/>
    <w:rsid w:val="00A21277"/>
    <w:rsid w:val="00A26DFC"/>
    <w:rsid w:val="00A3168C"/>
    <w:rsid w:val="00A34538"/>
    <w:rsid w:val="00A350CE"/>
    <w:rsid w:val="00A363BB"/>
    <w:rsid w:val="00A377A1"/>
    <w:rsid w:val="00A42ACA"/>
    <w:rsid w:val="00A45566"/>
    <w:rsid w:val="00A466A8"/>
    <w:rsid w:val="00A46DD4"/>
    <w:rsid w:val="00A470FE"/>
    <w:rsid w:val="00A47CFB"/>
    <w:rsid w:val="00A516BE"/>
    <w:rsid w:val="00A57194"/>
    <w:rsid w:val="00A5747A"/>
    <w:rsid w:val="00A60A0F"/>
    <w:rsid w:val="00A61A88"/>
    <w:rsid w:val="00A632F5"/>
    <w:rsid w:val="00A70807"/>
    <w:rsid w:val="00A70D2C"/>
    <w:rsid w:val="00A73351"/>
    <w:rsid w:val="00A77457"/>
    <w:rsid w:val="00A86538"/>
    <w:rsid w:val="00A871B0"/>
    <w:rsid w:val="00A918B6"/>
    <w:rsid w:val="00A91ACE"/>
    <w:rsid w:val="00A933B4"/>
    <w:rsid w:val="00A94E2E"/>
    <w:rsid w:val="00AA0370"/>
    <w:rsid w:val="00AA2863"/>
    <w:rsid w:val="00AA5483"/>
    <w:rsid w:val="00AA578C"/>
    <w:rsid w:val="00AA7118"/>
    <w:rsid w:val="00AB18F3"/>
    <w:rsid w:val="00AB35EE"/>
    <w:rsid w:val="00AB3AC7"/>
    <w:rsid w:val="00AB3B26"/>
    <w:rsid w:val="00AB415C"/>
    <w:rsid w:val="00AB6E66"/>
    <w:rsid w:val="00AC0B37"/>
    <w:rsid w:val="00AC2161"/>
    <w:rsid w:val="00AC2E98"/>
    <w:rsid w:val="00AD0062"/>
    <w:rsid w:val="00AD0530"/>
    <w:rsid w:val="00AD3030"/>
    <w:rsid w:val="00AD3C14"/>
    <w:rsid w:val="00AD424A"/>
    <w:rsid w:val="00AE19DF"/>
    <w:rsid w:val="00AE2DF8"/>
    <w:rsid w:val="00AE34A6"/>
    <w:rsid w:val="00AE37F3"/>
    <w:rsid w:val="00AE4A3A"/>
    <w:rsid w:val="00AE51C9"/>
    <w:rsid w:val="00AE633B"/>
    <w:rsid w:val="00AF1E27"/>
    <w:rsid w:val="00AF227A"/>
    <w:rsid w:val="00AF2FDB"/>
    <w:rsid w:val="00AF4D43"/>
    <w:rsid w:val="00AF5A91"/>
    <w:rsid w:val="00AF6CB3"/>
    <w:rsid w:val="00B057CC"/>
    <w:rsid w:val="00B10094"/>
    <w:rsid w:val="00B11102"/>
    <w:rsid w:val="00B11458"/>
    <w:rsid w:val="00B115B8"/>
    <w:rsid w:val="00B13F34"/>
    <w:rsid w:val="00B14160"/>
    <w:rsid w:val="00B176A4"/>
    <w:rsid w:val="00B17A2C"/>
    <w:rsid w:val="00B227EF"/>
    <w:rsid w:val="00B240A1"/>
    <w:rsid w:val="00B24717"/>
    <w:rsid w:val="00B2495B"/>
    <w:rsid w:val="00B24ACD"/>
    <w:rsid w:val="00B254D1"/>
    <w:rsid w:val="00B33713"/>
    <w:rsid w:val="00B364D2"/>
    <w:rsid w:val="00B3740E"/>
    <w:rsid w:val="00B430C5"/>
    <w:rsid w:val="00B436F1"/>
    <w:rsid w:val="00B44302"/>
    <w:rsid w:val="00B4441C"/>
    <w:rsid w:val="00B4573C"/>
    <w:rsid w:val="00B53483"/>
    <w:rsid w:val="00B553DC"/>
    <w:rsid w:val="00B571F7"/>
    <w:rsid w:val="00B617B5"/>
    <w:rsid w:val="00B651E0"/>
    <w:rsid w:val="00B65585"/>
    <w:rsid w:val="00B65B44"/>
    <w:rsid w:val="00B665B8"/>
    <w:rsid w:val="00B67C31"/>
    <w:rsid w:val="00B71898"/>
    <w:rsid w:val="00B71A9B"/>
    <w:rsid w:val="00B733BE"/>
    <w:rsid w:val="00B73986"/>
    <w:rsid w:val="00B7601B"/>
    <w:rsid w:val="00B76A74"/>
    <w:rsid w:val="00B76FBA"/>
    <w:rsid w:val="00B77744"/>
    <w:rsid w:val="00B82360"/>
    <w:rsid w:val="00B832DB"/>
    <w:rsid w:val="00B90889"/>
    <w:rsid w:val="00B910BB"/>
    <w:rsid w:val="00B95DDF"/>
    <w:rsid w:val="00B96C9B"/>
    <w:rsid w:val="00B97769"/>
    <w:rsid w:val="00BA04F9"/>
    <w:rsid w:val="00BA3C94"/>
    <w:rsid w:val="00BA68C3"/>
    <w:rsid w:val="00BA6F9D"/>
    <w:rsid w:val="00BB204A"/>
    <w:rsid w:val="00BB31D0"/>
    <w:rsid w:val="00BB3B49"/>
    <w:rsid w:val="00BB47E5"/>
    <w:rsid w:val="00BB49EA"/>
    <w:rsid w:val="00BB574D"/>
    <w:rsid w:val="00BB62CC"/>
    <w:rsid w:val="00BB77B5"/>
    <w:rsid w:val="00BC0FBC"/>
    <w:rsid w:val="00BC2173"/>
    <w:rsid w:val="00BC2E02"/>
    <w:rsid w:val="00BC3143"/>
    <w:rsid w:val="00BC3627"/>
    <w:rsid w:val="00BC4824"/>
    <w:rsid w:val="00BC7D8F"/>
    <w:rsid w:val="00BD2A7F"/>
    <w:rsid w:val="00BD5723"/>
    <w:rsid w:val="00BD58B4"/>
    <w:rsid w:val="00BD7A72"/>
    <w:rsid w:val="00BE17D4"/>
    <w:rsid w:val="00BE689C"/>
    <w:rsid w:val="00BE7C64"/>
    <w:rsid w:val="00BE7FFE"/>
    <w:rsid w:val="00BF076A"/>
    <w:rsid w:val="00BF537B"/>
    <w:rsid w:val="00BF7A53"/>
    <w:rsid w:val="00C0071A"/>
    <w:rsid w:val="00C00C84"/>
    <w:rsid w:val="00C0291C"/>
    <w:rsid w:val="00C04968"/>
    <w:rsid w:val="00C07B63"/>
    <w:rsid w:val="00C10C2B"/>
    <w:rsid w:val="00C113F8"/>
    <w:rsid w:val="00C13027"/>
    <w:rsid w:val="00C15364"/>
    <w:rsid w:val="00C15B75"/>
    <w:rsid w:val="00C15CCD"/>
    <w:rsid w:val="00C21214"/>
    <w:rsid w:val="00C23638"/>
    <w:rsid w:val="00C239CA"/>
    <w:rsid w:val="00C24F7B"/>
    <w:rsid w:val="00C26307"/>
    <w:rsid w:val="00C31889"/>
    <w:rsid w:val="00C36779"/>
    <w:rsid w:val="00C415C1"/>
    <w:rsid w:val="00C41D81"/>
    <w:rsid w:val="00C4287A"/>
    <w:rsid w:val="00C43952"/>
    <w:rsid w:val="00C46B2C"/>
    <w:rsid w:val="00C47FC9"/>
    <w:rsid w:val="00C500B3"/>
    <w:rsid w:val="00C518DE"/>
    <w:rsid w:val="00C521BD"/>
    <w:rsid w:val="00C53D58"/>
    <w:rsid w:val="00C56C12"/>
    <w:rsid w:val="00C57F8B"/>
    <w:rsid w:val="00C62700"/>
    <w:rsid w:val="00C66012"/>
    <w:rsid w:val="00C66A58"/>
    <w:rsid w:val="00C67253"/>
    <w:rsid w:val="00C67E6C"/>
    <w:rsid w:val="00C70F67"/>
    <w:rsid w:val="00C72A07"/>
    <w:rsid w:val="00C7300E"/>
    <w:rsid w:val="00C7736D"/>
    <w:rsid w:val="00C802FB"/>
    <w:rsid w:val="00C8105B"/>
    <w:rsid w:val="00C85B44"/>
    <w:rsid w:val="00C875CE"/>
    <w:rsid w:val="00C93349"/>
    <w:rsid w:val="00C938EA"/>
    <w:rsid w:val="00C93AFE"/>
    <w:rsid w:val="00CA3314"/>
    <w:rsid w:val="00CA6E8D"/>
    <w:rsid w:val="00CA78F5"/>
    <w:rsid w:val="00CB0371"/>
    <w:rsid w:val="00CB28B7"/>
    <w:rsid w:val="00CB28CF"/>
    <w:rsid w:val="00CB3058"/>
    <w:rsid w:val="00CB364D"/>
    <w:rsid w:val="00CB36DA"/>
    <w:rsid w:val="00CB4FBA"/>
    <w:rsid w:val="00CC0F21"/>
    <w:rsid w:val="00CC31F4"/>
    <w:rsid w:val="00CC42FB"/>
    <w:rsid w:val="00CC65CD"/>
    <w:rsid w:val="00CC6B91"/>
    <w:rsid w:val="00CC72CD"/>
    <w:rsid w:val="00CC7FC1"/>
    <w:rsid w:val="00CD1378"/>
    <w:rsid w:val="00CD1B6E"/>
    <w:rsid w:val="00CD35EC"/>
    <w:rsid w:val="00CD6CD7"/>
    <w:rsid w:val="00CE192D"/>
    <w:rsid w:val="00CE506F"/>
    <w:rsid w:val="00CE5927"/>
    <w:rsid w:val="00CE63E5"/>
    <w:rsid w:val="00CE6465"/>
    <w:rsid w:val="00CE7965"/>
    <w:rsid w:val="00CF166B"/>
    <w:rsid w:val="00CF2D09"/>
    <w:rsid w:val="00CF2DC5"/>
    <w:rsid w:val="00D00053"/>
    <w:rsid w:val="00D04EA3"/>
    <w:rsid w:val="00D1191E"/>
    <w:rsid w:val="00D1367C"/>
    <w:rsid w:val="00D1470A"/>
    <w:rsid w:val="00D15DBA"/>
    <w:rsid w:val="00D160C1"/>
    <w:rsid w:val="00D234AF"/>
    <w:rsid w:val="00D23A6D"/>
    <w:rsid w:val="00D270DD"/>
    <w:rsid w:val="00D313D5"/>
    <w:rsid w:val="00D335D4"/>
    <w:rsid w:val="00D3684F"/>
    <w:rsid w:val="00D4216B"/>
    <w:rsid w:val="00D424F5"/>
    <w:rsid w:val="00D42B9D"/>
    <w:rsid w:val="00D42E00"/>
    <w:rsid w:val="00D45349"/>
    <w:rsid w:val="00D46563"/>
    <w:rsid w:val="00D50588"/>
    <w:rsid w:val="00D5249F"/>
    <w:rsid w:val="00D52B39"/>
    <w:rsid w:val="00D53A4A"/>
    <w:rsid w:val="00D53BE1"/>
    <w:rsid w:val="00D61F15"/>
    <w:rsid w:val="00D62395"/>
    <w:rsid w:val="00D6251F"/>
    <w:rsid w:val="00D62BF5"/>
    <w:rsid w:val="00D63EC5"/>
    <w:rsid w:val="00D67E03"/>
    <w:rsid w:val="00D72CCF"/>
    <w:rsid w:val="00D74182"/>
    <w:rsid w:val="00D74526"/>
    <w:rsid w:val="00D74596"/>
    <w:rsid w:val="00D74E5B"/>
    <w:rsid w:val="00D75DCE"/>
    <w:rsid w:val="00D83A39"/>
    <w:rsid w:val="00D83C51"/>
    <w:rsid w:val="00D849B5"/>
    <w:rsid w:val="00D8526B"/>
    <w:rsid w:val="00D86112"/>
    <w:rsid w:val="00D90E65"/>
    <w:rsid w:val="00D92300"/>
    <w:rsid w:val="00D943FA"/>
    <w:rsid w:val="00D947AF"/>
    <w:rsid w:val="00D96A59"/>
    <w:rsid w:val="00D97B41"/>
    <w:rsid w:val="00DA2293"/>
    <w:rsid w:val="00DA29E0"/>
    <w:rsid w:val="00DA3316"/>
    <w:rsid w:val="00DA3A3A"/>
    <w:rsid w:val="00DA4088"/>
    <w:rsid w:val="00DA4910"/>
    <w:rsid w:val="00DA5AA0"/>
    <w:rsid w:val="00DA612F"/>
    <w:rsid w:val="00DA6D8B"/>
    <w:rsid w:val="00DB1CD8"/>
    <w:rsid w:val="00DB22DD"/>
    <w:rsid w:val="00DB2ABD"/>
    <w:rsid w:val="00DB37A4"/>
    <w:rsid w:val="00DB56C7"/>
    <w:rsid w:val="00DB585E"/>
    <w:rsid w:val="00DB6ACB"/>
    <w:rsid w:val="00DB763E"/>
    <w:rsid w:val="00DC050E"/>
    <w:rsid w:val="00DC7F24"/>
    <w:rsid w:val="00DD1AEF"/>
    <w:rsid w:val="00DD1EE4"/>
    <w:rsid w:val="00DD37F1"/>
    <w:rsid w:val="00DD4415"/>
    <w:rsid w:val="00DD4A81"/>
    <w:rsid w:val="00DD6D76"/>
    <w:rsid w:val="00DD76AB"/>
    <w:rsid w:val="00DD77B0"/>
    <w:rsid w:val="00DE51C2"/>
    <w:rsid w:val="00DE5A8C"/>
    <w:rsid w:val="00DE68A7"/>
    <w:rsid w:val="00DF1C3B"/>
    <w:rsid w:val="00DF2015"/>
    <w:rsid w:val="00DF45EE"/>
    <w:rsid w:val="00DF563E"/>
    <w:rsid w:val="00DF69C3"/>
    <w:rsid w:val="00E011F7"/>
    <w:rsid w:val="00E01796"/>
    <w:rsid w:val="00E03AB8"/>
    <w:rsid w:val="00E03D64"/>
    <w:rsid w:val="00E04D58"/>
    <w:rsid w:val="00E050EA"/>
    <w:rsid w:val="00E05208"/>
    <w:rsid w:val="00E05A41"/>
    <w:rsid w:val="00E060ED"/>
    <w:rsid w:val="00E06E59"/>
    <w:rsid w:val="00E1023A"/>
    <w:rsid w:val="00E1203D"/>
    <w:rsid w:val="00E12D25"/>
    <w:rsid w:val="00E13310"/>
    <w:rsid w:val="00E151C9"/>
    <w:rsid w:val="00E213EE"/>
    <w:rsid w:val="00E21EFE"/>
    <w:rsid w:val="00E23D9C"/>
    <w:rsid w:val="00E3096D"/>
    <w:rsid w:val="00E35543"/>
    <w:rsid w:val="00E377DB"/>
    <w:rsid w:val="00E40641"/>
    <w:rsid w:val="00E411E9"/>
    <w:rsid w:val="00E4364B"/>
    <w:rsid w:val="00E437EF"/>
    <w:rsid w:val="00E45B41"/>
    <w:rsid w:val="00E4799C"/>
    <w:rsid w:val="00E52458"/>
    <w:rsid w:val="00E52D39"/>
    <w:rsid w:val="00E543FA"/>
    <w:rsid w:val="00E556E8"/>
    <w:rsid w:val="00E63DA8"/>
    <w:rsid w:val="00E72C83"/>
    <w:rsid w:val="00E75C7F"/>
    <w:rsid w:val="00E82935"/>
    <w:rsid w:val="00E82BA0"/>
    <w:rsid w:val="00E84D1B"/>
    <w:rsid w:val="00E9048F"/>
    <w:rsid w:val="00E908E4"/>
    <w:rsid w:val="00E91F0D"/>
    <w:rsid w:val="00E967DB"/>
    <w:rsid w:val="00E96A0E"/>
    <w:rsid w:val="00EA2E56"/>
    <w:rsid w:val="00EA3D36"/>
    <w:rsid w:val="00EB376B"/>
    <w:rsid w:val="00EB3C56"/>
    <w:rsid w:val="00EB4053"/>
    <w:rsid w:val="00EB5A54"/>
    <w:rsid w:val="00EB5CD0"/>
    <w:rsid w:val="00EC290A"/>
    <w:rsid w:val="00EC31E1"/>
    <w:rsid w:val="00EC39BA"/>
    <w:rsid w:val="00EC781C"/>
    <w:rsid w:val="00ED1F32"/>
    <w:rsid w:val="00ED2AD3"/>
    <w:rsid w:val="00ED2BDC"/>
    <w:rsid w:val="00ED331C"/>
    <w:rsid w:val="00ED4F41"/>
    <w:rsid w:val="00ED7F4A"/>
    <w:rsid w:val="00EE08A4"/>
    <w:rsid w:val="00EE0CF6"/>
    <w:rsid w:val="00EE4BA0"/>
    <w:rsid w:val="00EF069E"/>
    <w:rsid w:val="00EF3333"/>
    <w:rsid w:val="00EF7966"/>
    <w:rsid w:val="00F00244"/>
    <w:rsid w:val="00F009A5"/>
    <w:rsid w:val="00F01397"/>
    <w:rsid w:val="00F01DC1"/>
    <w:rsid w:val="00F03876"/>
    <w:rsid w:val="00F10F65"/>
    <w:rsid w:val="00F1135A"/>
    <w:rsid w:val="00F12238"/>
    <w:rsid w:val="00F1265A"/>
    <w:rsid w:val="00F130A0"/>
    <w:rsid w:val="00F16D08"/>
    <w:rsid w:val="00F17261"/>
    <w:rsid w:val="00F172F9"/>
    <w:rsid w:val="00F175C1"/>
    <w:rsid w:val="00F219C4"/>
    <w:rsid w:val="00F24A30"/>
    <w:rsid w:val="00F30529"/>
    <w:rsid w:val="00F31E2E"/>
    <w:rsid w:val="00F33012"/>
    <w:rsid w:val="00F3370E"/>
    <w:rsid w:val="00F33BE3"/>
    <w:rsid w:val="00F33DF6"/>
    <w:rsid w:val="00F34060"/>
    <w:rsid w:val="00F34DEF"/>
    <w:rsid w:val="00F378D5"/>
    <w:rsid w:val="00F4349A"/>
    <w:rsid w:val="00F443EA"/>
    <w:rsid w:val="00F44475"/>
    <w:rsid w:val="00F471E5"/>
    <w:rsid w:val="00F56DBE"/>
    <w:rsid w:val="00F6344F"/>
    <w:rsid w:val="00F66684"/>
    <w:rsid w:val="00F670E0"/>
    <w:rsid w:val="00F704C8"/>
    <w:rsid w:val="00F72778"/>
    <w:rsid w:val="00F72B78"/>
    <w:rsid w:val="00F731D6"/>
    <w:rsid w:val="00F736E0"/>
    <w:rsid w:val="00F75892"/>
    <w:rsid w:val="00F80892"/>
    <w:rsid w:val="00F83B7A"/>
    <w:rsid w:val="00F85CC9"/>
    <w:rsid w:val="00F860DE"/>
    <w:rsid w:val="00F8613C"/>
    <w:rsid w:val="00F86312"/>
    <w:rsid w:val="00F86CF4"/>
    <w:rsid w:val="00F911C3"/>
    <w:rsid w:val="00F922FB"/>
    <w:rsid w:val="00F93C57"/>
    <w:rsid w:val="00FA0A8D"/>
    <w:rsid w:val="00FA179D"/>
    <w:rsid w:val="00FA25A8"/>
    <w:rsid w:val="00FA2C28"/>
    <w:rsid w:val="00FA3D7D"/>
    <w:rsid w:val="00FA5C5B"/>
    <w:rsid w:val="00FA6417"/>
    <w:rsid w:val="00FA6853"/>
    <w:rsid w:val="00FA6ABC"/>
    <w:rsid w:val="00FA7606"/>
    <w:rsid w:val="00FA7D25"/>
    <w:rsid w:val="00FB0C85"/>
    <w:rsid w:val="00FB684F"/>
    <w:rsid w:val="00FC1081"/>
    <w:rsid w:val="00FC315F"/>
    <w:rsid w:val="00FC31DE"/>
    <w:rsid w:val="00FC5936"/>
    <w:rsid w:val="00FC6207"/>
    <w:rsid w:val="00FD4DE1"/>
    <w:rsid w:val="00FD5879"/>
    <w:rsid w:val="00FD5ACD"/>
    <w:rsid w:val="00FD65A3"/>
    <w:rsid w:val="00FD6A83"/>
    <w:rsid w:val="00FE250E"/>
    <w:rsid w:val="00FE28C6"/>
    <w:rsid w:val="00FE39CE"/>
    <w:rsid w:val="00FE4639"/>
    <w:rsid w:val="00FE5333"/>
    <w:rsid w:val="00FF3043"/>
    <w:rsid w:val="00FF32C3"/>
    <w:rsid w:val="00FF5205"/>
    <w:rsid w:val="00FF5497"/>
    <w:rsid w:val="00FF568F"/>
    <w:rsid w:val="00FF7EC7"/>
    <w:rsid w:val="012F9325"/>
    <w:rsid w:val="01633333"/>
    <w:rsid w:val="0172EE41"/>
    <w:rsid w:val="01B812A9"/>
    <w:rsid w:val="01D13B06"/>
    <w:rsid w:val="01D4B2BC"/>
    <w:rsid w:val="01D67841"/>
    <w:rsid w:val="01D92791"/>
    <w:rsid w:val="01DD7546"/>
    <w:rsid w:val="01E5C059"/>
    <w:rsid w:val="02AA32DB"/>
    <w:rsid w:val="02DBC19C"/>
    <w:rsid w:val="02F62316"/>
    <w:rsid w:val="031106E0"/>
    <w:rsid w:val="03B3A3CC"/>
    <w:rsid w:val="03B5C822"/>
    <w:rsid w:val="03C79709"/>
    <w:rsid w:val="041C5CA9"/>
    <w:rsid w:val="044C9E87"/>
    <w:rsid w:val="045838E4"/>
    <w:rsid w:val="04A12A4E"/>
    <w:rsid w:val="04CD103C"/>
    <w:rsid w:val="055DBC89"/>
    <w:rsid w:val="05B1AEED"/>
    <w:rsid w:val="05D28BDF"/>
    <w:rsid w:val="06195294"/>
    <w:rsid w:val="0648A7A2"/>
    <w:rsid w:val="06DCD6B9"/>
    <w:rsid w:val="06E0628E"/>
    <w:rsid w:val="06EFF5E5"/>
    <w:rsid w:val="071859AD"/>
    <w:rsid w:val="073D0112"/>
    <w:rsid w:val="07851F2F"/>
    <w:rsid w:val="08655DDA"/>
    <w:rsid w:val="087A9367"/>
    <w:rsid w:val="08BA4F57"/>
    <w:rsid w:val="08EF7F1D"/>
    <w:rsid w:val="09254920"/>
    <w:rsid w:val="094B0320"/>
    <w:rsid w:val="099B5D6C"/>
    <w:rsid w:val="09BC9C48"/>
    <w:rsid w:val="09E43976"/>
    <w:rsid w:val="0A1AD542"/>
    <w:rsid w:val="0A561FB8"/>
    <w:rsid w:val="0A5B20DD"/>
    <w:rsid w:val="0A6C1DD1"/>
    <w:rsid w:val="0AAAE9C5"/>
    <w:rsid w:val="0ABD0E00"/>
    <w:rsid w:val="0AD12457"/>
    <w:rsid w:val="0AEEECCB"/>
    <w:rsid w:val="0AFC1370"/>
    <w:rsid w:val="0AFC3AA5"/>
    <w:rsid w:val="0B5EF4EF"/>
    <w:rsid w:val="0B8FB117"/>
    <w:rsid w:val="0BB38B24"/>
    <w:rsid w:val="0C18E965"/>
    <w:rsid w:val="0D879237"/>
    <w:rsid w:val="0DB30D88"/>
    <w:rsid w:val="0DF47C90"/>
    <w:rsid w:val="0E0F9D2B"/>
    <w:rsid w:val="0E6ECE8F"/>
    <w:rsid w:val="0E9695B1"/>
    <w:rsid w:val="0EB02311"/>
    <w:rsid w:val="0EB7AA99"/>
    <w:rsid w:val="0F6D3199"/>
    <w:rsid w:val="101E1B01"/>
    <w:rsid w:val="104D25BE"/>
    <w:rsid w:val="10A013EE"/>
    <w:rsid w:val="10CB5126"/>
    <w:rsid w:val="1133EEFB"/>
    <w:rsid w:val="1141E8E3"/>
    <w:rsid w:val="11626990"/>
    <w:rsid w:val="11AA3058"/>
    <w:rsid w:val="11E82487"/>
    <w:rsid w:val="12981F7B"/>
    <w:rsid w:val="129A07EC"/>
    <w:rsid w:val="12E18397"/>
    <w:rsid w:val="12E993CD"/>
    <w:rsid w:val="1339CE97"/>
    <w:rsid w:val="1377E8A7"/>
    <w:rsid w:val="13A9473B"/>
    <w:rsid w:val="13BBE2D8"/>
    <w:rsid w:val="13C91A3D"/>
    <w:rsid w:val="13D928D7"/>
    <w:rsid w:val="140C2795"/>
    <w:rsid w:val="14171FD5"/>
    <w:rsid w:val="1425D0AF"/>
    <w:rsid w:val="144921F0"/>
    <w:rsid w:val="144BCA8B"/>
    <w:rsid w:val="14819860"/>
    <w:rsid w:val="14B35419"/>
    <w:rsid w:val="14BCCABB"/>
    <w:rsid w:val="1502CCAD"/>
    <w:rsid w:val="151E779B"/>
    <w:rsid w:val="15860FCF"/>
    <w:rsid w:val="158E900C"/>
    <w:rsid w:val="15A542A3"/>
    <w:rsid w:val="15B6BDFE"/>
    <w:rsid w:val="15BAB6CA"/>
    <w:rsid w:val="15C9B60B"/>
    <w:rsid w:val="15CEB670"/>
    <w:rsid w:val="16589B1C"/>
    <w:rsid w:val="1664791E"/>
    <w:rsid w:val="16F112CC"/>
    <w:rsid w:val="175F1EAD"/>
    <w:rsid w:val="17FCB630"/>
    <w:rsid w:val="17FD6EFA"/>
    <w:rsid w:val="1857660B"/>
    <w:rsid w:val="18625947"/>
    <w:rsid w:val="18667A65"/>
    <w:rsid w:val="1879A8F8"/>
    <w:rsid w:val="18D01C0A"/>
    <w:rsid w:val="18E59252"/>
    <w:rsid w:val="1922D519"/>
    <w:rsid w:val="193785AF"/>
    <w:rsid w:val="194F656E"/>
    <w:rsid w:val="19524FD2"/>
    <w:rsid w:val="197C521D"/>
    <w:rsid w:val="19A22880"/>
    <w:rsid w:val="19B10FEE"/>
    <w:rsid w:val="19DEB374"/>
    <w:rsid w:val="19E135DE"/>
    <w:rsid w:val="1A2D3121"/>
    <w:rsid w:val="1A62DBD5"/>
    <w:rsid w:val="1ABB0C0F"/>
    <w:rsid w:val="1BE88F6A"/>
    <w:rsid w:val="1C1EE821"/>
    <w:rsid w:val="1D7BF856"/>
    <w:rsid w:val="1DBB80A1"/>
    <w:rsid w:val="1DFDCB22"/>
    <w:rsid w:val="1E127203"/>
    <w:rsid w:val="1E298D5D"/>
    <w:rsid w:val="1E4DC2B2"/>
    <w:rsid w:val="1E853CB9"/>
    <w:rsid w:val="1EEFFFDB"/>
    <w:rsid w:val="1EFA1218"/>
    <w:rsid w:val="1F3FB706"/>
    <w:rsid w:val="1F81ACE3"/>
    <w:rsid w:val="1FE64B49"/>
    <w:rsid w:val="20394B56"/>
    <w:rsid w:val="205CB1A2"/>
    <w:rsid w:val="2087C8C0"/>
    <w:rsid w:val="20B22E21"/>
    <w:rsid w:val="20CB1162"/>
    <w:rsid w:val="211D2706"/>
    <w:rsid w:val="21296F37"/>
    <w:rsid w:val="21356BE4"/>
    <w:rsid w:val="214A12C5"/>
    <w:rsid w:val="215D20B7"/>
    <w:rsid w:val="21661BB5"/>
    <w:rsid w:val="2190433C"/>
    <w:rsid w:val="219B4DC3"/>
    <w:rsid w:val="21C480A1"/>
    <w:rsid w:val="21CA2D5D"/>
    <w:rsid w:val="220A7247"/>
    <w:rsid w:val="220D5CAB"/>
    <w:rsid w:val="221A0CB0"/>
    <w:rsid w:val="2280C74B"/>
    <w:rsid w:val="228C1585"/>
    <w:rsid w:val="22C61DF4"/>
    <w:rsid w:val="22E214D0"/>
    <w:rsid w:val="22F20B44"/>
    <w:rsid w:val="22FCFE80"/>
    <w:rsid w:val="23138B08"/>
    <w:rsid w:val="234B0F2B"/>
    <w:rsid w:val="235AA0CD"/>
    <w:rsid w:val="2391B198"/>
    <w:rsid w:val="239E2EF3"/>
    <w:rsid w:val="23A9F4AA"/>
    <w:rsid w:val="23F414C1"/>
    <w:rsid w:val="243F2553"/>
    <w:rsid w:val="24688B2A"/>
    <w:rsid w:val="246D2989"/>
    <w:rsid w:val="248F519C"/>
    <w:rsid w:val="249AE904"/>
    <w:rsid w:val="249B160A"/>
    <w:rsid w:val="24BA5E98"/>
    <w:rsid w:val="2539FF54"/>
    <w:rsid w:val="253E3ED7"/>
    <w:rsid w:val="25ADE59E"/>
    <w:rsid w:val="25DFFC6F"/>
    <w:rsid w:val="25E713D5"/>
    <w:rsid w:val="261022F5"/>
    <w:rsid w:val="265F2928"/>
    <w:rsid w:val="26C602B0"/>
    <w:rsid w:val="2704955E"/>
    <w:rsid w:val="2717B4D2"/>
    <w:rsid w:val="27366ABA"/>
    <w:rsid w:val="277C97F4"/>
    <w:rsid w:val="277D49E5"/>
    <w:rsid w:val="278FE3A7"/>
    <w:rsid w:val="27ED9ADE"/>
    <w:rsid w:val="282F3B53"/>
    <w:rsid w:val="2875DF99"/>
    <w:rsid w:val="288C456F"/>
    <w:rsid w:val="28A065BF"/>
    <w:rsid w:val="28CBC7EE"/>
    <w:rsid w:val="28E58660"/>
    <w:rsid w:val="291F40B6"/>
    <w:rsid w:val="29229E2C"/>
    <w:rsid w:val="2925E8F4"/>
    <w:rsid w:val="29A27DA1"/>
    <w:rsid w:val="29FC1F05"/>
    <w:rsid w:val="2A16A626"/>
    <w:rsid w:val="2A515B1D"/>
    <w:rsid w:val="2A9A229B"/>
    <w:rsid w:val="2AADFF2E"/>
    <w:rsid w:val="2ABD8353"/>
    <w:rsid w:val="2B0A8EC2"/>
    <w:rsid w:val="2B131D5D"/>
    <w:rsid w:val="2B34D8E7"/>
    <w:rsid w:val="2B545A38"/>
    <w:rsid w:val="2B72FFFB"/>
    <w:rsid w:val="2B83D62B"/>
    <w:rsid w:val="2BC3BDF8"/>
    <w:rsid w:val="2BF4C157"/>
    <w:rsid w:val="2BF5A331"/>
    <w:rsid w:val="2C5C0944"/>
    <w:rsid w:val="2C9D03CB"/>
    <w:rsid w:val="2C9E799B"/>
    <w:rsid w:val="2C9EC574"/>
    <w:rsid w:val="2CAA4D0C"/>
    <w:rsid w:val="2CF06313"/>
    <w:rsid w:val="2CFAB49C"/>
    <w:rsid w:val="2D09E503"/>
    <w:rsid w:val="2D0ED05C"/>
    <w:rsid w:val="2D6BE17E"/>
    <w:rsid w:val="2DECD251"/>
    <w:rsid w:val="2E08E6F8"/>
    <w:rsid w:val="2E27BF84"/>
    <w:rsid w:val="2ED279ED"/>
    <w:rsid w:val="2EE4F7D2"/>
    <w:rsid w:val="2F037E72"/>
    <w:rsid w:val="2F14E74C"/>
    <w:rsid w:val="2F23B554"/>
    <w:rsid w:val="2F63350D"/>
    <w:rsid w:val="301F5FBA"/>
    <w:rsid w:val="3061C246"/>
    <w:rsid w:val="30976666"/>
    <w:rsid w:val="30DDAB72"/>
    <w:rsid w:val="316D3AAB"/>
    <w:rsid w:val="3174B471"/>
    <w:rsid w:val="31B9B85B"/>
    <w:rsid w:val="31F7761D"/>
    <w:rsid w:val="321F3F53"/>
    <w:rsid w:val="32352954"/>
    <w:rsid w:val="324FC42A"/>
    <w:rsid w:val="3264E4B5"/>
    <w:rsid w:val="327EE733"/>
    <w:rsid w:val="329FC642"/>
    <w:rsid w:val="32A53480"/>
    <w:rsid w:val="32C54F74"/>
    <w:rsid w:val="33319C58"/>
    <w:rsid w:val="334CB2D3"/>
    <w:rsid w:val="3383A8AE"/>
    <w:rsid w:val="3385FF66"/>
    <w:rsid w:val="339D9513"/>
    <w:rsid w:val="33DFEDAC"/>
    <w:rsid w:val="33E2C9A4"/>
    <w:rsid w:val="344104E1"/>
    <w:rsid w:val="34639074"/>
    <w:rsid w:val="34714E01"/>
    <w:rsid w:val="3471D4D3"/>
    <w:rsid w:val="34D18B10"/>
    <w:rsid w:val="34E3B57A"/>
    <w:rsid w:val="34EABBCB"/>
    <w:rsid w:val="34EF875E"/>
    <w:rsid w:val="35219652"/>
    <w:rsid w:val="3521CFC7"/>
    <w:rsid w:val="35543FA5"/>
    <w:rsid w:val="35835D1A"/>
    <w:rsid w:val="35CCB062"/>
    <w:rsid w:val="360C4ED9"/>
    <w:rsid w:val="364C65BE"/>
    <w:rsid w:val="366682E9"/>
    <w:rsid w:val="36711E80"/>
    <w:rsid w:val="36B9A9CB"/>
    <w:rsid w:val="36D6A267"/>
    <w:rsid w:val="379D99AE"/>
    <w:rsid w:val="37BA4BC5"/>
    <w:rsid w:val="37CFE96D"/>
    <w:rsid w:val="37E2A8F7"/>
    <w:rsid w:val="38225C8D"/>
    <w:rsid w:val="387FE461"/>
    <w:rsid w:val="388A4D77"/>
    <w:rsid w:val="39282E06"/>
    <w:rsid w:val="3963D49A"/>
    <w:rsid w:val="39BE2CEE"/>
    <w:rsid w:val="3A21FB7E"/>
    <w:rsid w:val="3A261DD8"/>
    <w:rsid w:val="3A86F928"/>
    <w:rsid w:val="3AFCD0B3"/>
    <w:rsid w:val="3B026E5A"/>
    <w:rsid w:val="3B0C636C"/>
    <w:rsid w:val="3B1B01DD"/>
    <w:rsid w:val="3B434CF0"/>
    <w:rsid w:val="3B5F821B"/>
    <w:rsid w:val="3C91FC6E"/>
    <w:rsid w:val="3D49FA2C"/>
    <w:rsid w:val="3D4CC7A4"/>
    <w:rsid w:val="3D574D56"/>
    <w:rsid w:val="3D76575D"/>
    <w:rsid w:val="3DC16625"/>
    <w:rsid w:val="3E188FAE"/>
    <w:rsid w:val="3E1A1F95"/>
    <w:rsid w:val="3E1FB8CA"/>
    <w:rsid w:val="3E491EE4"/>
    <w:rsid w:val="3EC8B20D"/>
    <w:rsid w:val="3EDBAA1A"/>
    <w:rsid w:val="3F4F0C56"/>
    <w:rsid w:val="3F74B913"/>
    <w:rsid w:val="3FBB892B"/>
    <w:rsid w:val="40392FDF"/>
    <w:rsid w:val="404CB4AC"/>
    <w:rsid w:val="4134635A"/>
    <w:rsid w:val="41656D91"/>
    <w:rsid w:val="418E859C"/>
    <w:rsid w:val="41D5BD9C"/>
    <w:rsid w:val="41E638BE"/>
    <w:rsid w:val="41EF657C"/>
    <w:rsid w:val="41F47822"/>
    <w:rsid w:val="41FA227F"/>
    <w:rsid w:val="421128FF"/>
    <w:rsid w:val="422B67D3"/>
    <w:rsid w:val="427A861C"/>
    <w:rsid w:val="42C345D0"/>
    <w:rsid w:val="42E3D788"/>
    <w:rsid w:val="42ED2E81"/>
    <w:rsid w:val="43A64471"/>
    <w:rsid w:val="43F79FC0"/>
    <w:rsid w:val="44051764"/>
    <w:rsid w:val="444E0ACF"/>
    <w:rsid w:val="44F43C38"/>
    <w:rsid w:val="450B5AB6"/>
    <w:rsid w:val="4547B0AC"/>
    <w:rsid w:val="46A72B17"/>
    <w:rsid w:val="46F3A9EA"/>
    <w:rsid w:val="47799BB4"/>
    <w:rsid w:val="4779C28A"/>
    <w:rsid w:val="477D8E96"/>
    <w:rsid w:val="47EDFABD"/>
    <w:rsid w:val="485187A6"/>
    <w:rsid w:val="48566BF6"/>
    <w:rsid w:val="48A7806B"/>
    <w:rsid w:val="4901DBB3"/>
    <w:rsid w:val="498226B9"/>
    <w:rsid w:val="4A0EC111"/>
    <w:rsid w:val="4A4B1A0C"/>
    <w:rsid w:val="4A7458E8"/>
    <w:rsid w:val="4AA5B429"/>
    <w:rsid w:val="4AE5FF4A"/>
    <w:rsid w:val="4B02F2AE"/>
    <w:rsid w:val="4B244288"/>
    <w:rsid w:val="4B681BDB"/>
    <w:rsid w:val="4BC3B97A"/>
    <w:rsid w:val="4BE4B0FD"/>
    <w:rsid w:val="4BF9EB50"/>
    <w:rsid w:val="4C2DE1DF"/>
    <w:rsid w:val="4CA721E5"/>
    <w:rsid w:val="4CBADE00"/>
    <w:rsid w:val="4D120BE8"/>
    <w:rsid w:val="4D1A5A4C"/>
    <w:rsid w:val="4D2A9BB1"/>
    <w:rsid w:val="4D2CB046"/>
    <w:rsid w:val="4D57A6FF"/>
    <w:rsid w:val="4D94BB7C"/>
    <w:rsid w:val="4DAC804F"/>
    <w:rsid w:val="4DCD98AB"/>
    <w:rsid w:val="4DD54CD6"/>
    <w:rsid w:val="4DEC2854"/>
    <w:rsid w:val="4E58206C"/>
    <w:rsid w:val="4E6D3548"/>
    <w:rsid w:val="4ECD2F3E"/>
    <w:rsid w:val="4EEC710F"/>
    <w:rsid w:val="4EEE4FF8"/>
    <w:rsid w:val="4EF20AEF"/>
    <w:rsid w:val="4F318C12"/>
    <w:rsid w:val="4F676DD6"/>
    <w:rsid w:val="4FEB6458"/>
    <w:rsid w:val="50002C9D"/>
    <w:rsid w:val="50761F64"/>
    <w:rsid w:val="5086A017"/>
    <w:rsid w:val="509A484F"/>
    <w:rsid w:val="509C8A9B"/>
    <w:rsid w:val="50BA0D81"/>
    <w:rsid w:val="51091DDC"/>
    <w:rsid w:val="51514A71"/>
    <w:rsid w:val="5181A51C"/>
    <w:rsid w:val="5211EFC5"/>
    <w:rsid w:val="526EC2F9"/>
    <w:rsid w:val="52BEF65C"/>
    <w:rsid w:val="5302B603"/>
    <w:rsid w:val="530B5721"/>
    <w:rsid w:val="53163D64"/>
    <w:rsid w:val="53DF64F0"/>
    <w:rsid w:val="54068F96"/>
    <w:rsid w:val="541BC1D3"/>
    <w:rsid w:val="541F5625"/>
    <w:rsid w:val="542B290C"/>
    <w:rsid w:val="54A9FA10"/>
    <w:rsid w:val="5534FFA4"/>
    <w:rsid w:val="556CEA9C"/>
    <w:rsid w:val="556DB972"/>
    <w:rsid w:val="55B79234"/>
    <w:rsid w:val="55E84C41"/>
    <w:rsid w:val="5641B430"/>
    <w:rsid w:val="567FE3C6"/>
    <w:rsid w:val="56906F6B"/>
    <w:rsid w:val="56BF8488"/>
    <w:rsid w:val="5705BB0D"/>
    <w:rsid w:val="570F46C2"/>
    <w:rsid w:val="5740BC74"/>
    <w:rsid w:val="575F64B0"/>
    <w:rsid w:val="57841CA2"/>
    <w:rsid w:val="57E57217"/>
    <w:rsid w:val="5814E316"/>
    <w:rsid w:val="586684DB"/>
    <w:rsid w:val="587A2AF8"/>
    <w:rsid w:val="58A47BD8"/>
    <w:rsid w:val="58F2C748"/>
    <w:rsid w:val="591F5DE1"/>
    <w:rsid w:val="59419E58"/>
    <w:rsid w:val="597D6B33"/>
    <w:rsid w:val="598038AB"/>
    <w:rsid w:val="59D76693"/>
    <w:rsid w:val="59E193A8"/>
    <w:rsid w:val="5A1D01AA"/>
    <w:rsid w:val="5A2345B4"/>
    <w:rsid w:val="5A501F49"/>
    <w:rsid w:val="5A6B8666"/>
    <w:rsid w:val="5A7E0847"/>
    <w:rsid w:val="5ABB2265"/>
    <w:rsid w:val="5AD6F929"/>
    <w:rsid w:val="5B23FC44"/>
    <w:rsid w:val="5B2C395C"/>
    <w:rsid w:val="5B359AB7"/>
    <w:rsid w:val="5BEEFA32"/>
    <w:rsid w:val="5C192CE6"/>
    <w:rsid w:val="5C489C92"/>
    <w:rsid w:val="5C578DC5"/>
    <w:rsid w:val="5C683114"/>
    <w:rsid w:val="5C8FF482"/>
    <w:rsid w:val="5CB564F5"/>
    <w:rsid w:val="5CB5B26F"/>
    <w:rsid w:val="5CF0831B"/>
    <w:rsid w:val="5CFCC432"/>
    <w:rsid w:val="5D42DD21"/>
    <w:rsid w:val="5D8DB6F6"/>
    <w:rsid w:val="5DB22A40"/>
    <w:rsid w:val="5DD6DAF0"/>
    <w:rsid w:val="5E049D60"/>
    <w:rsid w:val="5ED9C26E"/>
    <w:rsid w:val="5F19426A"/>
    <w:rsid w:val="5F4CB2FE"/>
    <w:rsid w:val="6001745E"/>
    <w:rsid w:val="60853CDD"/>
    <w:rsid w:val="60ACDABC"/>
    <w:rsid w:val="612AFEE8"/>
    <w:rsid w:val="6161C512"/>
    <w:rsid w:val="61ACD0A2"/>
    <w:rsid w:val="61ADD421"/>
    <w:rsid w:val="61AF6B5F"/>
    <w:rsid w:val="61C3F43E"/>
    <w:rsid w:val="61F5844C"/>
    <w:rsid w:val="62196821"/>
    <w:rsid w:val="624895AE"/>
    <w:rsid w:val="628453C0"/>
    <w:rsid w:val="6295C168"/>
    <w:rsid w:val="635C2405"/>
    <w:rsid w:val="63BA5FF7"/>
    <w:rsid w:val="63D56023"/>
    <w:rsid w:val="63D96415"/>
    <w:rsid w:val="6435B022"/>
    <w:rsid w:val="644A5EEA"/>
    <w:rsid w:val="6457D196"/>
    <w:rsid w:val="64913B5B"/>
    <w:rsid w:val="64C2A771"/>
    <w:rsid w:val="64D3ACEB"/>
    <w:rsid w:val="64E26CA3"/>
    <w:rsid w:val="64E76B08"/>
    <w:rsid w:val="64FF3176"/>
    <w:rsid w:val="656BA17D"/>
    <w:rsid w:val="657071CE"/>
    <w:rsid w:val="6645D76C"/>
    <w:rsid w:val="6647EBD0"/>
    <w:rsid w:val="667E8B13"/>
    <w:rsid w:val="66AE80BB"/>
    <w:rsid w:val="66DB4D9A"/>
    <w:rsid w:val="66E3CC24"/>
    <w:rsid w:val="66F79186"/>
    <w:rsid w:val="6717289F"/>
    <w:rsid w:val="678E153E"/>
    <w:rsid w:val="67FB95E1"/>
    <w:rsid w:val="6803ED48"/>
    <w:rsid w:val="6812A3EF"/>
    <w:rsid w:val="684420F5"/>
    <w:rsid w:val="68C0F290"/>
    <w:rsid w:val="68D416C1"/>
    <w:rsid w:val="68F96D39"/>
    <w:rsid w:val="693CC9AD"/>
    <w:rsid w:val="69653BA6"/>
    <w:rsid w:val="697A6DA6"/>
    <w:rsid w:val="69976642"/>
    <w:rsid w:val="69B62BD5"/>
    <w:rsid w:val="69C42C90"/>
    <w:rsid w:val="6A144AC5"/>
    <w:rsid w:val="6A15FD71"/>
    <w:rsid w:val="6A5812C4"/>
    <w:rsid w:val="6A613259"/>
    <w:rsid w:val="6A7CE001"/>
    <w:rsid w:val="6AA1F749"/>
    <w:rsid w:val="6AE9EB62"/>
    <w:rsid w:val="6B14BDCC"/>
    <w:rsid w:val="6B5F2A58"/>
    <w:rsid w:val="6B629F95"/>
    <w:rsid w:val="6B6E9FC2"/>
    <w:rsid w:val="6B734079"/>
    <w:rsid w:val="6BABECA2"/>
    <w:rsid w:val="6BD76D25"/>
    <w:rsid w:val="6BFA2DEA"/>
    <w:rsid w:val="6C00F128"/>
    <w:rsid w:val="6C0345C6"/>
    <w:rsid w:val="6C22B690"/>
    <w:rsid w:val="6C479C29"/>
    <w:rsid w:val="6C50CF0B"/>
    <w:rsid w:val="6C51E7FA"/>
    <w:rsid w:val="6D28EBB0"/>
    <w:rsid w:val="6D396F74"/>
    <w:rsid w:val="6D40AD2F"/>
    <w:rsid w:val="6D7017B1"/>
    <w:rsid w:val="6D8FB386"/>
    <w:rsid w:val="6DB0C86E"/>
    <w:rsid w:val="6DCE06D2"/>
    <w:rsid w:val="6DD9980B"/>
    <w:rsid w:val="6E2B9E21"/>
    <w:rsid w:val="6E7C123C"/>
    <w:rsid w:val="6E8758C6"/>
    <w:rsid w:val="6E957707"/>
    <w:rsid w:val="6EC8E8A4"/>
    <w:rsid w:val="6ED11D92"/>
    <w:rsid w:val="6EF3B244"/>
    <w:rsid w:val="6F44AC44"/>
    <w:rsid w:val="6F4571FB"/>
    <w:rsid w:val="6F66B4CA"/>
    <w:rsid w:val="70055A18"/>
    <w:rsid w:val="700ABE07"/>
    <w:rsid w:val="700BD5BD"/>
    <w:rsid w:val="701BF937"/>
    <w:rsid w:val="70256D59"/>
    <w:rsid w:val="7074460C"/>
    <w:rsid w:val="707F5DC5"/>
    <w:rsid w:val="70B186C7"/>
    <w:rsid w:val="71095F6E"/>
    <w:rsid w:val="71111094"/>
    <w:rsid w:val="7111670C"/>
    <w:rsid w:val="71C0EFAB"/>
    <w:rsid w:val="71F75CF0"/>
    <w:rsid w:val="721BBD48"/>
    <w:rsid w:val="724624DF"/>
    <w:rsid w:val="72585CFF"/>
    <w:rsid w:val="72CA3A61"/>
    <w:rsid w:val="73033742"/>
    <w:rsid w:val="73ACB50B"/>
    <w:rsid w:val="73AF65FD"/>
    <w:rsid w:val="73AFF5FA"/>
    <w:rsid w:val="73B78DA9"/>
    <w:rsid w:val="73CF10ED"/>
    <w:rsid w:val="7417D951"/>
    <w:rsid w:val="742FB132"/>
    <w:rsid w:val="7432DD8C"/>
    <w:rsid w:val="74660AC2"/>
    <w:rsid w:val="747A8495"/>
    <w:rsid w:val="75515E48"/>
    <w:rsid w:val="75807C68"/>
    <w:rsid w:val="764B6C76"/>
    <w:rsid w:val="768786AD"/>
    <w:rsid w:val="76E93CA8"/>
    <w:rsid w:val="772597BF"/>
    <w:rsid w:val="776751F4"/>
    <w:rsid w:val="777205BF"/>
    <w:rsid w:val="77A11E00"/>
    <w:rsid w:val="77ED3617"/>
    <w:rsid w:val="781ED802"/>
    <w:rsid w:val="788AFECC"/>
    <w:rsid w:val="78A63DE7"/>
    <w:rsid w:val="78BC8565"/>
    <w:rsid w:val="78ECBC7F"/>
    <w:rsid w:val="791CC93C"/>
    <w:rsid w:val="79244231"/>
    <w:rsid w:val="795C6346"/>
    <w:rsid w:val="79DC3FEF"/>
    <w:rsid w:val="7A1648A6"/>
    <w:rsid w:val="7A3B4311"/>
    <w:rsid w:val="7B03ACBC"/>
    <w:rsid w:val="7BBD25AC"/>
    <w:rsid w:val="7BFE3FE1"/>
    <w:rsid w:val="7C74F3A9"/>
    <w:rsid w:val="7C9F7D1D"/>
    <w:rsid w:val="7CB21A8D"/>
    <w:rsid w:val="7CEDA8FA"/>
    <w:rsid w:val="7CF6415F"/>
    <w:rsid w:val="7DA5D750"/>
    <w:rsid w:val="7DEA9272"/>
    <w:rsid w:val="7E2555B4"/>
    <w:rsid w:val="7E35A836"/>
    <w:rsid w:val="7E3B4D7E"/>
    <w:rsid w:val="7E5AB6E5"/>
    <w:rsid w:val="7E852213"/>
    <w:rsid w:val="7E9EF0B2"/>
    <w:rsid w:val="7EA7EB36"/>
    <w:rsid w:val="7F047939"/>
    <w:rsid w:val="7F7A0D49"/>
    <w:rsid w:val="7FC5EB50"/>
    <w:rsid w:val="7FC8EDEC"/>
    <w:rsid w:val="7FF47B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F69E2"/>
  <w15:chartTrackingRefBased/>
  <w15:docId w15:val="{8D7BFB58-B22D-48A0-B3D3-1D92E70F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860"/>
    <w:rPr>
      <w:sz w:val="24"/>
    </w:rPr>
  </w:style>
  <w:style w:type="paragraph" w:styleId="Heading1">
    <w:name w:val="heading 1"/>
    <w:basedOn w:val="Normal"/>
    <w:next w:val="Normal"/>
    <w:link w:val="Heading1Char"/>
    <w:autoRedefine/>
    <w:uiPriority w:val="9"/>
    <w:qFormat/>
    <w:rsid w:val="001A7314"/>
    <w:pPr>
      <w:keepNext/>
      <w:keepLines/>
      <w:spacing w:before="240" w:after="120"/>
      <w:jc w:val="both"/>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Normal"/>
    <w:link w:val="Heading2Char"/>
    <w:autoRedefine/>
    <w:uiPriority w:val="9"/>
    <w:unhideWhenUsed/>
    <w:qFormat/>
    <w:rsid w:val="00CC0F21"/>
    <w:pPr>
      <w:keepNext/>
      <w:keepLines/>
      <w:spacing w:before="40" w:after="0"/>
      <w:outlineLvl w:val="1"/>
    </w:pPr>
    <w:rPr>
      <w:rFonts w:asciiTheme="majorHAnsi" w:eastAsiaTheme="majorEastAsia" w:hAnsiTheme="majorHAnsi"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615"/>
    <w:pPr>
      <w:ind w:left="720"/>
      <w:contextualSpacing/>
    </w:pPr>
  </w:style>
  <w:style w:type="character" w:styleId="CommentReference">
    <w:name w:val="annotation reference"/>
    <w:basedOn w:val="DefaultParagraphFont"/>
    <w:uiPriority w:val="99"/>
    <w:semiHidden/>
    <w:unhideWhenUsed/>
    <w:rsid w:val="002578F1"/>
    <w:rPr>
      <w:sz w:val="16"/>
      <w:szCs w:val="16"/>
    </w:rPr>
  </w:style>
  <w:style w:type="paragraph" w:styleId="CommentText">
    <w:name w:val="annotation text"/>
    <w:basedOn w:val="Normal"/>
    <w:link w:val="CommentTextChar"/>
    <w:uiPriority w:val="99"/>
    <w:semiHidden/>
    <w:unhideWhenUsed/>
    <w:rsid w:val="002578F1"/>
    <w:pPr>
      <w:spacing w:line="240" w:lineRule="auto"/>
    </w:pPr>
    <w:rPr>
      <w:sz w:val="20"/>
      <w:szCs w:val="20"/>
    </w:rPr>
  </w:style>
  <w:style w:type="character" w:customStyle="1" w:styleId="CommentTextChar">
    <w:name w:val="Comment Text Char"/>
    <w:basedOn w:val="DefaultParagraphFont"/>
    <w:link w:val="CommentText"/>
    <w:uiPriority w:val="99"/>
    <w:semiHidden/>
    <w:rsid w:val="002578F1"/>
    <w:rPr>
      <w:sz w:val="20"/>
      <w:szCs w:val="20"/>
    </w:rPr>
  </w:style>
  <w:style w:type="paragraph" w:styleId="CommentSubject">
    <w:name w:val="annotation subject"/>
    <w:basedOn w:val="CommentText"/>
    <w:next w:val="CommentText"/>
    <w:link w:val="CommentSubjectChar"/>
    <w:uiPriority w:val="99"/>
    <w:semiHidden/>
    <w:unhideWhenUsed/>
    <w:rsid w:val="002578F1"/>
    <w:rPr>
      <w:b/>
      <w:bCs/>
    </w:rPr>
  </w:style>
  <w:style w:type="character" w:customStyle="1" w:styleId="CommentSubjectChar">
    <w:name w:val="Comment Subject Char"/>
    <w:basedOn w:val="CommentTextChar"/>
    <w:link w:val="CommentSubject"/>
    <w:uiPriority w:val="99"/>
    <w:semiHidden/>
    <w:rsid w:val="002578F1"/>
    <w:rPr>
      <w:b/>
      <w:bCs/>
      <w:sz w:val="20"/>
      <w:szCs w:val="20"/>
    </w:rPr>
  </w:style>
  <w:style w:type="character" w:styleId="UnresolvedMention">
    <w:name w:val="Unresolved Mention"/>
    <w:basedOn w:val="DefaultParagraphFont"/>
    <w:uiPriority w:val="99"/>
    <w:unhideWhenUsed/>
    <w:rsid w:val="002578F1"/>
    <w:rPr>
      <w:color w:val="605E5C"/>
      <w:shd w:val="clear" w:color="auto" w:fill="E1DFDD"/>
    </w:rPr>
  </w:style>
  <w:style w:type="character" w:styleId="Mention">
    <w:name w:val="Mention"/>
    <w:basedOn w:val="DefaultParagraphFont"/>
    <w:uiPriority w:val="99"/>
    <w:unhideWhenUsed/>
    <w:rsid w:val="002578F1"/>
    <w:rPr>
      <w:color w:val="2B579A"/>
      <w:shd w:val="clear" w:color="auto" w:fill="E1DFDD"/>
    </w:rPr>
  </w:style>
  <w:style w:type="character" w:customStyle="1" w:styleId="Heading1Char">
    <w:name w:val="Heading 1 Char"/>
    <w:basedOn w:val="DefaultParagraphFont"/>
    <w:link w:val="Heading1"/>
    <w:uiPriority w:val="9"/>
    <w:rsid w:val="001A7314"/>
    <w:rPr>
      <w:rFonts w:asciiTheme="majorHAnsi" w:eastAsiaTheme="majorEastAsia" w:hAnsiTheme="majorHAnsi" w:cstheme="majorBidi"/>
      <w:color w:val="000000" w:themeColor="text1"/>
      <w:sz w:val="48"/>
      <w:szCs w:val="32"/>
    </w:rPr>
  </w:style>
  <w:style w:type="paragraph" w:customStyle="1" w:styleId="js">
    <w:name w:val="js"/>
    <w:basedOn w:val="Normal"/>
    <w:rsid w:val="0057416B"/>
    <w:pPr>
      <w:spacing w:before="100" w:beforeAutospacing="1" w:after="100" w:afterAutospacing="1" w:line="240" w:lineRule="auto"/>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57416B"/>
    <w:rPr>
      <w:b/>
      <w:bCs/>
    </w:rPr>
  </w:style>
  <w:style w:type="paragraph" w:styleId="Title">
    <w:name w:val="Title"/>
    <w:basedOn w:val="Normal"/>
    <w:next w:val="Normal"/>
    <w:link w:val="TitleChar"/>
    <w:uiPriority w:val="10"/>
    <w:qFormat/>
    <w:rsid w:val="00C41D81"/>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D81"/>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9778A8"/>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778A8"/>
    <w:rPr>
      <w:rFonts w:eastAsiaTheme="minorEastAsia"/>
      <w:color w:val="5A5A5A" w:themeColor="text1" w:themeTint="A5"/>
      <w:spacing w:val="15"/>
    </w:rPr>
  </w:style>
  <w:style w:type="table" w:styleId="TableGrid">
    <w:name w:val="Table Grid"/>
    <w:basedOn w:val="TableNormal"/>
    <w:uiPriority w:val="39"/>
    <w:rsid w:val="007D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F5DBA"/>
    <w:pPr>
      <w:outlineLvl w:val="9"/>
    </w:pPr>
    <w:rPr>
      <w:lang w:val="en-US"/>
    </w:rPr>
  </w:style>
  <w:style w:type="paragraph" w:styleId="TOC1">
    <w:name w:val="toc 1"/>
    <w:basedOn w:val="Normal"/>
    <w:next w:val="Normal"/>
    <w:autoRedefine/>
    <w:uiPriority w:val="39"/>
    <w:unhideWhenUsed/>
    <w:rsid w:val="000F5DBA"/>
    <w:pPr>
      <w:spacing w:after="100"/>
    </w:pPr>
  </w:style>
  <w:style w:type="character" w:styleId="Hyperlink">
    <w:name w:val="Hyperlink"/>
    <w:basedOn w:val="DefaultParagraphFont"/>
    <w:uiPriority w:val="99"/>
    <w:unhideWhenUsed/>
    <w:rsid w:val="000F5DBA"/>
    <w:rPr>
      <w:color w:val="0563C1" w:themeColor="hyperlink"/>
      <w:u w:val="single"/>
    </w:rPr>
  </w:style>
  <w:style w:type="paragraph" w:styleId="Caption">
    <w:name w:val="caption"/>
    <w:basedOn w:val="Normal"/>
    <w:next w:val="Normal"/>
    <w:uiPriority w:val="35"/>
    <w:unhideWhenUsed/>
    <w:qFormat/>
    <w:rsid w:val="00E52D3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C0F21"/>
    <w:rPr>
      <w:rFonts w:asciiTheme="majorHAnsi" w:eastAsiaTheme="majorEastAsia" w:hAnsiTheme="majorHAnsi" w:cstheme="majorBidi"/>
      <w:color w:val="000000" w:themeColor="text1"/>
      <w:sz w:val="36"/>
      <w:szCs w:val="26"/>
    </w:rPr>
  </w:style>
  <w:style w:type="paragraph" w:styleId="TOC2">
    <w:name w:val="toc 2"/>
    <w:basedOn w:val="Normal"/>
    <w:next w:val="Normal"/>
    <w:autoRedefine/>
    <w:uiPriority w:val="39"/>
    <w:unhideWhenUsed/>
    <w:rsid w:val="00C41D81"/>
    <w:pPr>
      <w:spacing w:after="100"/>
      <w:ind w:left="240"/>
    </w:pPr>
  </w:style>
  <w:style w:type="paragraph" w:styleId="Header">
    <w:name w:val="header"/>
    <w:basedOn w:val="Normal"/>
    <w:link w:val="HeaderChar"/>
    <w:uiPriority w:val="99"/>
    <w:unhideWhenUsed/>
    <w:rsid w:val="00F44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475"/>
    <w:rPr>
      <w:sz w:val="24"/>
    </w:rPr>
  </w:style>
  <w:style w:type="paragraph" w:styleId="Footer">
    <w:name w:val="footer"/>
    <w:basedOn w:val="Normal"/>
    <w:link w:val="FooterChar"/>
    <w:uiPriority w:val="99"/>
    <w:unhideWhenUsed/>
    <w:rsid w:val="00F44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475"/>
    <w:rPr>
      <w:sz w:val="24"/>
    </w:rPr>
  </w:style>
  <w:style w:type="paragraph" w:styleId="Revision">
    <w:name w:val="Revision"/>
    <w:hidden/>
    <w:uiPriority w:val="99"/>
    <w:semiHidden/>
    <w:rsid w:val="003534F7"/>
    <w:pPr>
      <w:spacing w:after="0" w:line="240" w:lineRule="auto"/>
    </w:pPr>
    <w:rPr>
      <w:sz w:val="24"/>
    </w:rPr>
  </w:style>
  <w:style w:type="paragraph" w:styleId="FootnoteText">
    <w:name w:val="footnote text"/>
    <w:basedOn w:val="Normal"/>
    <w:link w:val="FootnoteTextChar"/>
    <w:uiPriority w:val="99"/>
    <w:semiHidden/>
    <w:unhideWhenUsed/>
    <w:rsid w:val="000D2A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2A0E"/>
    <w:rPr>
      <w:sz w:val="20"/>
      <w:szCs w:val="20"/>
    </w:rPr>
  </w:style>
  <w:style w:type="character" w:styleId="FootnoteReference">
    <w:name w:val="footnote reference"/>
    <w:basedOn w:val="DefaultParagraphFont"/>
    <w:uiPriority w:val="99"/>
    <w:semiHidden/>
    <w:unhideWhenUsed/>
    <w:rsid w:val="000D2A0E"/>
    <w:rPr>
      <w:vertAlign w:val="superscript"/>
    </w:rPr>
  </w:style>
  <w:style w:type="character" w:styleId="PlaceholderText">
    <w:name w:val="Placeholder Text"/>
    <w:basedOn w:val="DefaultParagraphFont"/>
    <w:uiPriority w:val="99"/>
    <w:semiHidden/>
    <w:rsid w:val="007862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48185">
      <w:bodyDiv w:val="1"/>
      <w:marLeft w:val="0"/>
      <w:marRight w:val="0"/>
      <w:marTop w:val="0"/>
      <w:marBottom w:val="0"/>
      <w:divBdr>
        <w:top w:val="none" w:sz="0" w:space="0" w:color="auto"/>
        <w:left w:val="none" w:sz="0" w:space="0" w:color="auto"/>
        <w:bottom w:val="none" w:sz="0" w:space="0" w:color="auto"/>
        <w:right w:val="none" w:sz="0" w:space="0" w:color="auto"/>
      </w:divBdr>
    </w:div>
    <w:div w:id="516966340">
      <w:bodyDiv w:val="1"/>
      <w:marLeft w:val="0"/>
      <w:marRight w:val="0"/>
      <w:marTop w:val="0"/>
      <w:marBottom w:val="0"/>
      <w:divBdr>
        <w:top w:val="none" w:sz="0" w:space="0" w:color="auto"/>
        <w:left w:val="none" w:sz="0" w:space="0" w:color="auto"/>
        <w:bottom w:val="none" w:sz="0" w:space="0" w:color="auto"/>
        <w:right w:val="none" w:sz="0" w:space="0" w:color="auto"/>
      </w:divBdr>
      <w:divsChild>
        <w:div w:id="1044788685">
          <w:marLeft w:val="0"/>
          <w:marRight w:val="0"/>
          <w:marTop w:val="0"/>
          <w:marBottom w:val="0"/>
          <w:divBdr>
            <w:top w:val="none" w:sz="0" w:space="0" w:color="auto"/>
            <w:left w:val="none" w:sz="0" w:space="0" w:color="auto"/>
            <w:bottom w:val="none" w:sz="0" w:space="0" w:color="auto"/>
            <w:right w:val="none" w:sz="0" w:space="0" w:color="auto"/>
          </w:divBdr>
        </w:div>
      </w:divsChild>
    </w:div>
    <w:div w:id="778529953">
      <w:bodyDiv w:val="1"/>
      <w:marLeft w:val="0"/>
      <w:marRight w:val="0"/>
      <w:marTop w:val="0"/>
      <w:marBottom w:val="0"/>
      <w:divBdr>
        <w:top w:val="none" w:sz="0" w:space="0" w:color="auto"/>
        <w:left w:val="none" w:sz="0" w:space="0" w:color="auto"/>
        <w:bottom w:val="none" w:sz="0" w:space="0" w:color="auto"/>
        <w:right w:val="none" w:sz="0" w:space="0" w:color="auto"/>
      </w:divBdr>
    </w:div>
    <w:div w:id="111544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une.xyz/messari/Messari:-Airdrop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chart" Target="charts/chart1.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microsoft.com/office/2011/relationships/commentsExtended" Target="commentsExtended.xml"/><Relationship Id="rId17" Type="http://schemas.microsoft.com/office/2007/relationships/hdphoto" Target="media/hdphoto1.wdp"/><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6.png"/><Relationship Id="rId27" Type="http://schemas.openxmlformats.org/officeDocument/2006/relationships/fontTable" Target="fontTable.xml"/><Relationship Id="rId30" Type="http://schemas.microsoft.com/office/2020/10/relationships/intelligence" Target="intelligence2.xml"/></Relationships>
</file>

<file path=word/_rels/footnotes.xml.rels><?xml version="1.0" encoding="UTF-8" standalone="yes"?>
<Relationships xmlns="http://schemas.openxmlformats.org/package/2006/relationships"><Relationship Id="rId1" Type="http://schemas.openxmlformats.org/officeDocument/2006/relationships/hyperlink" Target="https://members.delphidigital.io/reports/introducing-lockdrop-lba-a-novel-token-launch-mechanis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https://obscuronet.sharepoint.com/Shared%20Documents/Tokenomics/OBX_vesting_schedu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0"/>
          <c:order val="0"/>
          <c:tx>
            <c:strRef>
              <c:f>'Vesting Schedule'!$C$5</c:f>
              <c:strCache>
                <c:ptCount val="1"/>
                <c:pt idx="0">
                  <c:v>Pre-Seed Investor</c:v>
                </c:pt>
              </c:strCache>
            </c:strRef>
          </c:tx>
          <c:spPr>
            <a:solidFill>
              <a:schemeClr val="accent2">
                <a:lumMod val="50000"/>
              </a:schemeClr>
            </a:solidFill>
            <a:ln>
              <a:noFill/>
            </a:ln>
            <a:effectLst/>
          </c:spPr>
          <c:val>
            <c:numRef>
              <c:f>'Vesting Schedule'!$C$6:$C$43</c:f>
              <c:numCache>
                <c:formatCode>#,##0</c:formatCode>
                <c:ptCount val="38"/>
                <c:pt idx="0">
                  <c:v>0</c:v>
                </c:pt>
                <c:pt idx="1">
                  <c:v>11500000</c:v>
                </c:pt>
                <c:pt idx="2">
                  <c:v>17569444.444444444</c:v>
                </c:pt>
                <c:pt idx="3">
                  <c:v>23638888.888888888</c:v>
                </c:pt>
                <c:pt idx="4">
                  <c:v>29708333.333333332</c:v>
                </c:pt>
                <c:pt idx="5">
                  <c:v>35777777.777777776</c:v>
                </c:pt>
                <c:pt idx="6">
                  <c:v>41847222.222222224</c:v>
                </c:pt>
                <c:pt idx="7">
                  <c:v>47916666.666666672</c:v>
                </c:pt>
                <c:pt idx="8">
                  <c:v>53986111.111111119</c:v>
                </c:pt>
                <c:pt idx="9">
                  <c:v>60055555.555555567</c:v>
                </c:pt>
                <c:pt idx="10">
                  <c:v>66125000.000000015</c:v>
                </c:pt>
                <c:pt idx="11">
                  <c:v>72194444.444444463</c:v>
                </c:pt>
                <c:pt idx="12">
                  <c:v>78263888.88888891</c:v>
                </c:pt>
                <c:pt idx="13">
                  <c:v>84333333.333333358</c:v>
                </c:pt>
                <c:pt idx="14">
                  <c:v>90402777.777777806</c:v>
                </c:pt>
                <c:pt idx="15">
                  <c:v>96472222.222222254</c:v>
                </c:pt>
                <c:pt idx="16">
                  <c:v>102541666.6666667</c:v>
                </c:pt>
                <c:pt idx="17">
                  <c:v>108611111.11111115</c:v>
                </c:pt>
                <c:pt idx="18">
                  <c:v>114680555.5555556</c:v>
                </c:pt>
                <c:pt idx="19">
                  <c:v>120750000.00000004</c:v>
                </c:pt>
                <c:pt idx="20">
                  <c:v>126819444.44444449</c:v>
                </c:pt>
                <c:pt idx="21">
                  <c:v>132888888.88888894</c:v>
                </c:pt>
                <c:pt idx="22">
                  <c:v>138958333.33333337</c:v>
                </c:pt>
                <c:pt idx="23">
                  <c:v>145027777.77777782</c:v>
                </c:pt>
                <c:pt idx="24">
                  <c:v>151097222.22222227</c:v>
                </c:pt>
                <c:pt idx="25">
                  <c:v>157166666.66666672</c:v>
                </c:pt>
                <c:pt idx="26">
                  <c:v>163236111.11111116</c:v>
                </c:pt>
                <c:pt idx="27">
                  <c:v>169305555.55555561</c:v>
                </c:pt>
                <c:pt idx="28">
                  <c:v>175375000.00000006</c:v>
                </c:pt>
                <c:pt idx="29">
                  <c:v>181444444.44444451</c:v>
                </c:pt>
                <c:pt idx="30">
                  <c:v>187513888.88888896</c:v>
                </c:pt>
                <c:pt idx="31">
                  <c:v>193583333.3333334</c:v>
                </c:pt>
                <c:pt idx="32">
                  <c:v>199652777.77777785</c:v>
                </c:pt>
                <c:pt idx="33">
                  <c:v>205722222.2222223</c:v>
                </c:pt>
                <c:pt idx="34">
                  <c:v>211791666.66666675</c:v>
                </c:pt>
                <c:pt idx="35">
                  <c:v>217861111.11111119</c:v>
                </c:pt>
                <c:pt idx="36">
                  <c:v>223930555.55555564</c:v>
                </c:pt>
                <c:pt idx="37">
                  <c:v>230000000.00000009</c:v>
                </c:pt>
              </c:numCache>
            </c:numRef>
          </c:val>
          <c:extLst>
            <c:ext xmlns:c16="http://schemas.microsoft.com/office/drawing/2014/chart" uri="{C3380CC4-5D6E-409C-BE32-E72D297353CC}">
              <c16:uniqueId val="{00000000-60D5-48BC-BF83-5E575CC54D1F}"/>
            </c:ext>
          </c:extLst>
        </c:ser>
        <c:ser>
          <c:idx val="1"/>
          <c:order val="1"/>
          <c:tx>
            <c:strRef>
              <c:f>'Vesting Schedule'!$D$5</c:f>
              <c:strCache>
                <c:ptCount val="1"/>
                <c:pt idx="0">
                  <c:v>Other Investors</c:v>
                </c:pt>
              </c:strCache>
            </c:strRef>
          </c:tx>
          <c:spPr>
            <a:solidFill>
              <a:schemeClr val="accent2"/>
            </a:solidFill>
            <a:ln>
              <a:noFill/>
            </a:ln>
            <a:effectLst/>
          </c:spPr>
          <c:val>
            <c:numRef>
              <c:f>'Vesting Schedule'!$D$6:$D$43</c:f>
              <c:numCache>
                <c:formatCode>#,##0</c:formatCode>
                <c:ptCount val="38"/>
                <c:pt idx="0">
                  <c:v>0</c:v>
                </c:pt>
                <c:pt idx="1">
                  <c:v>4500000</c:v>
                </c:pt>
                <c:pt idx="2">
                  <c:v>6875000</c:v>
                </c:pt>
                <c:pt idx="3">
                  <c:v>9250000</c:v>
                </c:pt>
                <c:pt idx="4">
                  <c:v>11625000</c:v>
                </c:pt>
                <c:pt idx="5">
                  <c:v>14000000</c:v>
                </c:pt>
                <c:pt idx="6">
                  <c:v>16375000</c:v>
                </c:pt>
                <c:pt idx="7">
                  <c:v>18750000</c:v>
                </c:pt>
                <c:pt idx="8">
                  <c:v>21125000</c:v>
                </c:pt>
                <c:pt idx="9">
                  <c:v>23500000</c:v>
                </c:pt>
                <c:pt idx="10">
                  <c:v>25875000</c:v>
                </c:pt>
                <c:pt idx="11">
                  <c:v>28250000</c:v>
                </c:pt>
                <c:pt idx="12">
                  <c:v>30625000</c:v>
                </c:pt>
                <c:pt idx="13">
                  <c:v>33000000</c:v>
                </c:pt>
                <c:pt idx="14">
                  <c:v>35375000</c:v>
                </c:pt>
                <c:pt idx="15">
                  <c:v>37750000</c:v>
                </c:pt>
                <c:pt idx="16">
                  <c:v>40125000</c:v>
                </c:pt>
                <c:pt idx="17">
                  <c:v>42500000</c:v>
                </c:pt>
                <c:pt idx="18">
                  <c:v>44875000</c:v>
                </c:pt>
                <c:pt idx="19">
                  <c:v>47250000</c:v>
                </c:pt>
                <c:pt idx="20">
                  <c:v>49625000</c:v>
                </c:pt>
                <c:pt idx="21">
                  <c:v>52000000</c:v>
                </c:pt>
                <c:pt idx="22">
                  <c:v>54375000</c:v>
                </c:pt>
                <c:pt idx="23">
                  <c:v>56750000</c:v>
                </c:pt>
                <c:pt idx="24">
                  <c:v>59125000</c:v>
                </c:pt>
                <c:pt idx="25">
                  <c:v>61500000</c:v>
                </c:pt>
                <c:pt idx="26">
                  <c:v>63875000</c:v>
                </c:pt>
                <c:pt idx="27">
                  <c:v>66250000</c:v>
                </c:pt>
                <c:pt idx="28">
                  <c:v>68625000</c:v>
                </c:pt>
                <c:pt idx="29">
                  <c:v>71000000</c:v>
                </c:pt>
                <c:pt idx="30">
                  <c:v>73375000</c:v>
                </c:pt>
                <c:pt idx="31">
                  <c:v>75750000</c:v>
                </c:pt>
                <c:pt idx="32">
                  <c:v>78125000</c:v>
                </c:pt>
                <c:pt idx="33">
                  <c:v>80500000</c:v>
                </c:pt>
                <c:pt idx="34">
                  <c:v>82875000</c:v>
                </c:pt>
                <c:pt idx="35">
                  <c:v>85250000</c:v>
                </c:pt>
                <c:pt idx="36">
                  <c:v>87625000</c:v>
                </c:pt>
                <c:pt idx="37">
                  <c:v>90000000</c:v>
                </c:pt>
              </c:numCache>
            </c:numRef>
          </c:val>
          <c:extLst>
            <c:ext xmlns:c16="http://schemas.microsoft.com/office/drawing/2014/chart" uri="{C3380CC4-5D6E-409C-BE32-E72D297353CC}">
              <c16:uniqueId val="{00000001-60D5-48BC-BF83-5E575CC54D1F}"/>
            </c:ext>
          </c:extLst>
        </c:ser>
        <c:ser>
          <c:idx val="2"/>
          <c:order val="2"/>
          <c:tx>
            <c:strRef>
              <c:f>'Vesting Schedule'!$E$5</c:f>
              <c:strCache>
                <c:ptCount val="1"/>
                <c:pt idx="0">
                  <c:v>Core Team</c:v>
                </c:pt>
              </c:strCache>
            </c:strRef>
          </c:tx>
          <c:spPr>
            <a:solidFill>
              <a:schemeClr val="accent2">
                <a:lumMod val="40000"/>
                <a:lumOff val="60000"/>
              </a:schemeClr>
            </a:solidFill>
            <a:ln>
              <a:noFill/>
            </a:ln>
            <a:effectLst/>
          </c:spPr>
          <c:val>
            <c:numRef>
              <c:f>'Vesting Schedule'!$E$6:$E$43</c:f>
              <c:numCache>
                <c:formatCode>#,##0</c:formatCode>
                <c:ptCount val="38"/>
                <c:pt idx="0">
                  <c:v>0</c:v>
                </c:pt>
                <c:pt idx="1">
                  <c:v>0</c:v>
                </c:pt>
                <c:pt idx="2">
                  <c:v>0</c:v>
                </c:pt>
                <c:pt idx="3">
                  <c:v>60000000</c:v>
                </c:pt>
                <c:pt idx="4">
                  <c:v>65000000</c:v>
                </c:pt>
                <c:pt idx="5">
                  <c:v>70000000</c:v>
                </c:pt>
                <c:pt idx="6">
                  <c:v>75000000</c:v>
                </c:pt>
                <c:pt idx="7">
                  <c:v>80000000</c:v>
                </c:pt>
                <c:pt idx="8">
                  <c:v>85000000</c:v>
                </c:pt>
                <c:pt idx="9">
                  <c:v>90000000</c:v>
                </c:pt>
                <c:pt idx="10">
                  <c:v>95000000</c:v>
                </c:pt>
                <c:pt idx="11">
                  <c:v>100000000</c:v>
                </c:pt>
                <c:pt idx="12">
                  <c:v>105000000</c:v>
                </c:pt>
                <c:pt idx="13">
                  <c:v>110000000</c:v>
                </c:pt>
                <c:pt idx="14">
                  <c:v>115000000</c:v>
                </c:pt>
                <c:pt idx="15">
                  <c:v>120000000</c:v>
                </c:pt>
                <c:pt idx="16">
                  <c:v>125000000</c:v>
                </c:pt>
                <c:pt idx="17">
                  <c:v>130000000</c:v>
                </c:pt>
                <c:pt idx="18">
                  <c:v>135000000</c:v>
                </c:pt>
                <c:pt idx="19">
                  <c:v>140000000</c:v>
                </c:pt>
                <c:pt idx="20">
                  <c:v>145000000</c:v>
                </c:pt>
                <c:pt idx="21">
                  <c:v>150000000</c:v>
                </c:pt>
                <c:pt idx="22">
                  <c:v>155000000</c:v>
                </c:pt>
                <c:pt idx="23">
                  <c:v>160000000</c:v>
                </c:pt>
                <c:pt idx="24">
                  <c:v>165000000</c:v>
                </c:pt>
                <c:pt idx="25">
                  <c:v>170000000</c:v>
                </c:pt>
                <c:pt idx="26">
                  <c:v>175000000</c:v>
                </c:pt>
                <c:pt idx="27">
                  <c:v>180000000</c:v>
                </c:pt>
                <c:pt idx="28">
                  <c:v>180000000</c:v>
                </c:pt>
                <c:pt idx="29">
                  <c:v>180000000</c:v>
                </c:pt>
                <c:pt idx="30">
                  <c:v>180000000</c:v>
                </c:pt>
                <c:pt idx="31">
                  <c:v>180000000</c:v>
                </c:pt>
                <c:pt idx="32">
                  <c:v>180000000</c:v>
                </c:pt>
                <c:pt idx="33">
                  <c:v>180000000</c:v>
                </c:pt>
                <c:pt idx="34">
                  <c:v>180000000</c:v>
                </c:pt>
                <c:pt idx="35">
                  <c:v>180000000</c:v>
                </c:pt>
                <c:pt idx="36">
                  <c:v>180000000</c:v>
                </c:pt>
                <c:pt idx="37">
                  <c:v>180000000</c:v>
                </c:pt>
              </c:numCache>
            </c:numRef>
          </c:val>
          <c:extLst>
            <c:ext xmlns:c16="http://schemas.microsoft.com/office/drawing/2014/chart" uri="{C3380CC4-5D6E-409C-BE32-E72D297353CC}">
              <c16:uniqueId val="{00000002-60D5-48BC-BF83-5E575CC54D1F}"/>
            </c:ext>
          </c:extLst>
        </c:ser>
        <c:ser>
          <c:idx val="3"/>
          <c:order val="3"/>
          <c:tx>
            <c:strRef>
              <c:f>'Vesting Schedule'!$F$5</c:f>
              <c:strCache>
                <c:ptCount val="1"/>
                <c:pt idx="0">
                  <c:v>Foundation Fund</c:v>
                </c:pt>
              </c:strCache>
            </c:strRef>
          </c:tx>
          <c:spPr>
            <a:solidFill>
              <a:schemeClr val="accent5">
                <a:lumMod val="40000"/>
                <a:lumOff val="60000"/>
              </a:schemeClr>
            </a:solidFill>
            <a:ln>
              <a:noFill/>
            </a:ln>
            <a:effectLst/>
          </c:spPr>
          <c:val>
            <c:numRef>
              <c:f>'Vesting Schedule'!$F$6:$F$43</c:f>
              <c:numCache>
                <c:formatCode>#,##0</c:formatCode>
                <c:ptCount val="38"/>
                <c:pt idx="0">
                  <c:v>0</c:v>
                </c:pt>
                <c:pt idx="1">
                  <c:v>0</c:v>
                </c:pt>
                <c:pt idx="2">
                  <c:v>0</c:v>
                </c:pt>
                <c:pt idx="3">
                  <c:v>11350000</c:v>
                </c:pt>
                <c:pt idx="4">
                  <c:v>22700000</c:v>
                </c:pt>
                <c:pt idx="5">
                  <c:v>34050000</c:v>
                </c:pt>
                <c:pt idx="6">
                  <c:v>45400000</c:v>
                </c:pt>
                <c:pt idx="7">
                  <c:v>56750000</c:v>
                </c:pt>
                <c:pt idx="8">
                  <c:v>68100000</c:v>
                </c:pt>
                <c:pt idx="9">
                  <c:v>79450000</c:v>
                </c:pt>
                <c:pt idx="10">
                  <c:v>90800000</c:v>
                </c:pt>
                <c:pt idx="11">
                  <c:v>102150000</c:v>
                </c:pt>
                <c:pt idx="12">
                  <c:v>113500000</c:v>
                </c:pt>
                <c:pt idx="13">
                  <c:v>124850000</c:v>
                </c:pt>
                <c:pt idx="14">
                  <c:v>136200000</c:v>
                </c:pt>
                <c:pt idx="15">
                  <c:v>147550000</c:v>
                </c:pt>
                <c:pt idx="16">
                  <c:v>158900000</c:v>
                </c:pt>
                <c:pt idx="17">
                  <c:v>170250000</c:v>
                </c:pt>
                <c:pt idx="18">
                  <c:v>181600000</c:v>
                </c:pt>
                <c:pt idx="19">
                  <c:v>192950000</c:v>
                </c:pt>
                <c:pt idx="20">
                  <c:v>204300000</c:v>
                </c:pt>
                <c:pt idx="21">
                  <c:v>215650000</c:v>
                </c:pt>
                <c:pt idx="22">
                  <c:v>227000000</c:v>
                </c:pt>
                <c:pt idx="23">
                  <c:v>227000000</c:v>
                </c:pt>
                <c:pt idx="24">
                  <c:v>227000000</c:v>
                </c:pt>
                <c:pt idx="25">
                  <c:v>227000000</c:v>
                </c:pt>
                <c:pt idx="26">
                  <c:v>227000000</c:v>
                </c:pt>
                <c:pt idx="27">
                  <c:v>227000000</c:v>
                </c:pt>
                <c:pt idx="28">
                  <c:v>227000000</c:v>
                </c:pt>
                <c:pt idx="29">
                  <c:v>227000000</c:v>
                </c:pt>
                <c:pt idx="30">
                  <c:v>227000000</c:v>
                </c:pt>
                <c:pt idx="31">
                  <c:v>227000000</c:v>
                </c:pt>
                <c:pt idx="32">
                  <c:v>227000000</c:v>
                </c:pt>
                <c:pt idx="33">
                  <c:v>227000000</c:v>
                </c:pt>
                <c:pt idx="34">
                  <c:v>227000000</c:v>
                </c:pt>
                <c:pt idx="35">
                  <c:v>227000000</c:v>
                </c:pt>
                <c:pt idx="36">
                  <c:v>227000000</c:v>
                </c:pt>
                <c:pt idx="37">
                  <c:v>227000000</c:v>
                </c:pt>
              </c:numCache>
            </c:numRef>
          </c:val>
          <c:extLst>
            <c:ext xmlns:c16="http://schemas.microsoft.com/office/drawing/2014/chart" uri="{C3380CC4-5D6E-409C-BE32-E72D297353CC}">
              <c16:uniqueId val="{00000003-60D5-48BC-BF83-5E575CC54D1F}"/>
            </c:ext>
          </c:extLst>
        </c:ser>
        <c:ser>
          <c:idx val="4"/>
          <c:order val="4"/>
          <c:tx>
            <c:strRef>
              <c:f>'Vesting Schedule'!$G$5</c:f>
              <c:strCache>
                <c:ptCount val="1"/>
                <c:pt idx="0">
                  <c:v>Ecosystem Fund</c:v>
                </c:pt>
              </c:strCache>
            </c:strRef>
          </c:tx>
          <c:spPr>
            <a:solidFill>
              <a:schemeClr val="accent5"/>
            </a:solidFill>
            <a:ln>
              <a:noFill/>
            </a:ln>
            <a:effectLst/>
          </c:spPr>
          <c:val>
            <c:numRef>
              <c:f>'Vesting Schedule'!$G$6:$G$43</c:f>
              <c:numCache>
                <c:formatCode>#,##0</c:formatCode>
                <c:ptCount val="38"/>
                <c:pt idx="0">
                  <c:v>0</c:v>
                </c:pt>
                <c:pt idx="1">
                  <c:v>0</c:v>
                </c:pt>
                <c:pt idx="2">
                  <c:v>0</c:v>
                </c:pt>
                <c:pt idx="3">
                  <c:v>11350000</c:v>
                </c:pt>
                <c:pt idx="4">
                  <c:v>22700000</c:v>
                </c:pt>
                <c:pt idx="5">
                  <c:v>34050000</c:v>
                </c:pt>
                <c:pt idx="6">
                  <c:v>45400000</c:v>
                </c:pt>
                <c:pt idx="7">
                  <c:v>56750000</c:v>
                </c:pt>
                <c:pt idx="8">
                  <c:v>68100000</c:v>
                </c:pt>
                <c:pt idx="9">
                  <c:v>79450000</c:v>
                </c:pt>
                <c:pt idx="10">
                  <c:v>90800000</c:v>
                </c:pt>
                <c:pt idx="11">
                  <c:v>102150000</c:v>
                </c:pt>
                <c:pt idx="12">
                  <c:v>113500000</c:v>
                </c:pt>
                <c:pt idx="13">
                  <c:v>124850000</c:v>
                </c:pt>
                <c:pt idx="14">
                  <c:v>136200000</c:v>
                </c:pt>
                <c:pt idx="15">
                  <c:v>147550000</c:v>
                </c:pt>
                <c:pt idx="16">
                  <c:v>158900000</c:v>
                </c:pt>
                <c:pt idx="17">
                  <c:v>170250000</c:v>
                </c:pt>
                <c:pt idx="18">
                  <c:v>181600000</c:v>
                </c:pt>
                <c:pt idx="19">
                  <c:v>192950000</c:v>
                </c:pt>
                <c:pt idx="20">
                  <c:v>204300000</c:v>
                </c:pt>
                <c:pt idx="21">
                  <c:v>215650000</c:v>
                </c:pt>
                <c:pt idx="22">
                  <c:v>227000000</c:v>
                </c:pt>
                <c:pt idx="23">
                  <c:v>227000000</c:v>
                </c:pt>
                <c:pt idx="24">
                  <c:v>227000000</c:v>
                </c:pt>
                <c:pt idx="25">
                  <c:v>227000000</c:v>
                </c:pt>
                <c:pt idx="26">
                  <c:v>227000000</c:v>
                </c:pt>
                <c:pt idx="27">
                  <c:v>227000000</c:v>
                </c:pt>
                <c:pt idx="28">
                  <c:v>227000000</c:v>
                </c:pt>
                <c:pt idx="29">
                  <c:v>227000000</c:v>
                </c:pt>
                <c:pt idx="30">
                  <c:v>227000000</c:v>
                </c:pt>
                <c:pt idx="31">
                  <c:v>227000000</c:v>
                </c:pt>
                <c:pt idx="32">
                  <c:v>227000000</c:v>
                </c:pt>
                <c:pt idx="33">
                  <c:v>227000000</c:v>
                </c:pt>
                <c:pt idx="34">
                  <c:v>227000000</c:v>
                </c:pt>
                <c:pt idx="35">
                  <c:v>227000000</c:v>
                </c:pt>
                <c:pt idx="36">
                  <c:v>227000000</c:v>
                </c:pt>
                <c:pt idx="37">
                  <c:v>227000000</c:v>
                </c:pt>
              </c:numCache>
            </c:numRef>
          </c:val>
          <c:extLst>
            <c:ext xmlns:c16="http://schemas.microsoft.com/office/drawing/2014/chart" uri="{C3380CC4-5D6E-409C-BE32-E72D297353CC}">
              <c16:uniqueId val="{00000004-60D5-48BC-BF83-5E575CC54D1F}"/>
            </c:ext>
          </c:extLst>
        </c:ser>
        <c:ser>
          <c:idx val="5"/>
          <c:order val="5"/>
          <c:tx>
            <c:strRef>
              <c:f>'Vesting Schedule'!$H$5</c:f>
              <c:strCache>
                <c:ptCount val="1"/>
                <c:pt idx="0">
                  <c:v>Public Sale</c:v>
                </c:pt>
              </c:strCache>
            </c:strRef>
          </c:tx>
          <c:spPr>
            <a:solidFill>
              <a:schemeClr val="accent6">
                <a:lumMod val="60000"/>
                <a:lumOff val="40000"/>
              </a:schemeClr>
            </a:solidFill>
            <a:ln>
              <a:noFill/>
            </a:ln>
            <a:effectLst/>
          </c:spPr>
          <c:val>
            <c:numRef>
              <c:f>'Vesting Schedule'!$H$6:$H$43</c:f>
              <c:numCache>
                <c:formatCode>#,##0</c:formatCode>
                <c:ptCount val="38"/>
                <c:pt idx="0">
                  <c:v>0</c:v>
                </c:pt>
                <c:pt idx="1">
                  <c:v>0</c:v>
                </c:pt>
                <c:pt idx="2">
                  <c:v>26000000</c:v>
                </c:pt>
                <c:pt idx="3">
                  <c:v>26000000</c:v>
                </c:pt>
                <c:pt idx="4">
                  <c:v>26000000</c:v>
                </c:pt>
                <c:pt idx="5">
                  <c:v>26000000</c:v>
                </c:pt>
                <c:pt idx="6">
                  <c:v>26000000</c:v>
                </c:pt>
                <c:pt idx="7">
                  <c:v>26000000</c:v>
                </c:pt>
                <c:pt idx="8">
                  <c:v>26000000</c:v>
                </c:pt>
                <c:pt idx="9">
                  <c:v>26000000</c:v>
                </c:pt>
                <c:pt idx="10">
                  <c:v>26000000</c:v>
                </c:pt>
                <c:pt idx="11">
                  <c:v>26000000</c:v>
                </c:pt>
                <c:pt idx="12">
                  <c:v>26000000</c:v>
                </c:pt>
                <c:pt idx="13">
                  <c:v>26000000</c:v>
                </c:pt>
                <c:pt idx="14">
                  <c:v>26000000</c:v>
                </c:pt>
                <c:pt idx="15">
                  <c:v>26000000</c:v>
                </c:pt>
                <c:pt idx="16">
                  <c:v>26000000</c:v>
                </c:pt>
                <c:pt idx="17">
                  <c:v>26000000</c:v>
                </c:pt>
                <c:pt idx="18">
                  <c:v>26000000</c:v>
                </c:pt>
                <c:pt idx="19">
                  <c:v>26000000</c:v>
                </c:pt>
                <c:pt idx="20">
                  <c:v>26000000</c:v>
                </c:pt>
                <c:pt idx="21">
                  <c:v>26000000</c:v>
                </c:pt>
                <c:pt idx="22">
                  <c:v>26000000</c:v>
                </c:pt>
                <c:pt idx="23">
                  <c:v>26000000</c:v>
                </c:pt>
                <c:pt idx="24">
                  <c:v>26000000</c:v>
                </c:pt>
                <c:pt idx="25">
                  <c:v>26000000</c:v>
                </c:pt>
                <c:pt idx="26">
                  <c:v>26000000</c:v>
                </c:pt>
                <c:pt idx="27">
                  <c:v>26000000</c:v>
                </c:pt>
                <c:pt idx="28">
                  <c:v>26000000</c:v>
                </c:pt>
                <c:pt idx="29">
                  <c:v>26000000</c:v>
                </c:pt>
                <c:pt idx="30">
                  <c:v>26000000</c:v>
                </c:pt>
                <c:pt idx="31">
                  <c:v>26000000</c:v>
                </c:pt>
                <c:pt idx="32">
                  <c:v>26000000</c:v>
                </c:pt>
                <c:pt idx="33">
                  <c:v>26000000</c:v>
                </c:pt>
                <c:pt idx="34">
                  <c:v>26000000</c:v>
                </c:pt>
                <c:pt idx="35">
                  <c:v>26000000</c:v>
                </c:pt>
                <c:pt idx="36">
                  <c:v>26000000</c:v>
                </c:pt>
                <c:pt idx="37">
                  <c:v>26000000</c:v>
                </c:pt>
              </c:numCache>
            </c:numRef>
          </c:val>
          <c:extLst>
            <c:ext xmlns:c16="http://schemas.microsoft.com/office/drawing/2014/chart" uri="{C3380CC4-5D6E-409C-BE32-E72D297353CC}">
              <c16:uniqueId val="{00000005-60D5-48BC-BF83-5E575CC54D1F}"/>
            </c:ext>
          </c:extLst>
        </c:ser>
        <c:ser>
          <c:idx val="6"/>
          <c:order val="6"/>
          <c:tx>
            <c:strRef>
              <c:f>'Vesting Schedule'!$I$5</c:f>
              <c:strCache>
                <c:ptCount val="1"/>
                <c:pt idx="0">
                  <c:v>Whitelist</c:v>
                </c:pt>
              </c:strCache>
            </c:strRef>
          </c:tx>
          <c:spPr>
            <a:solidFill>
              <a:schemeClr val="accent6">
                <a:lumMod val="75000"/>
              </a:schemeClr>
            </a:solidFill>
            <a:ln>
              <a:noFill/>
            </a:ln>
            <a:effectLst/>
          </c:spPr>
          <c:val>
            <c:numRef>
              <c:f>'Vesting Schedule'!$I$6:$I$43</c:f>
              <c:numCache>
                <c:formatCode>#,##0</c:formatCode>
                <c:ptCount val="38"/>
                <c:pt idx="0">
                  <c:v>0</c:v>
                </c:pt>
                <c:pt idx="1">
                  <c:v>0</c:v>
                </c:pt>
                <c:pt idx="2">
                  <c:v>0</c:v>
                </c:pt>
                <c:pt idx="3">
                  <c:v>1000000</c:v>
                </c:pt>
                <c:pt idx="4">
                  <c:v>2000000</c:v>
                </c:pt>
                <c:pt idx="5">
                  <c:v>3000000</c:v>
                </c:pt>
                <c:pt idx="6">
                  <c:v>4000000</c:v>
                </c:pt>
                <c:pt idx="7">
                  <c:v>5000000</c:v>
                </c:pt>
                <c:pt idx="8">
                  <c:v>6000000</c:v>
                </c:pt>
                <c:pt idx="9">
                  <c:v>7000000</c:v>
                </c:pt>
                <c:pt idx="10">
                  <c:v>8000000</c:v>
                </c:pt>
                <c:pt idx="11">
                  <c:v>9000000</c:v>
                </c:pt>
                <c:pt idx="12">
                  <c:v>10000000</c:v>
                </c:pt>
                <c:pt idx="13">
                  <c:v>11000000</c:v>
                </c:pt>
                <c:pt idx="14">
                  <c:v>12000000</c:v>
                </c:pt>
                <c:pt idx="15">
                  <c:v>13000000</c:v>
                </c:pt>
                <c:pt idx="16">
                  <c:v>14000000</c:v>
                </c:pt>
                <c:pt idx="17">
                  <c:v>15000000</c:v>
                </c:pt>
                <c:pt idx="18">
                  <c:v>16000000</c:v>
                </c:pt>
                <c:pt idx="19">
                  <c:v>17000000</c:v>
                </c:pt>
                <c:pt idx="20">
                  <c:v>18000000</c:v>
                </c:pt>
                <c:pt idx="21">
                  <c:v>19000000</c:v>
                </c:pt>
                <c:pt idx="22">
                  <c:v>20000000</c:v>
                </c:pt>
                <c:pt idx="23">
                  <c:v>20000000</c:v>
                </c:pt>
                <c:pt idx="24">
                  <c:v>20000000</c:v>
                </c:pt>
                <c:pt idx="25">
                  <c:v>20000000</c:v>
                </c:pt>
                <c:pt idx="26">
                  <c:v>20000000</c:v>
                </c:pt>
                <c:pt idx="27">
                  <c:v>20000000</c:v>
                </c:pt>
                <c:pt idx="28">
                  <c:v>20000000</c:v>
                </c:pt>
                <c:pt idx="29">
                  <c:v>20000000</c:v>
                </c:pt>
                <c:pt idx="30">
                  <c:v>20000000</c:v>
                </c:pt>
                <c:pt idx="31">
                  <c:v>20000000</c:v>
                </c:pt>
                <c:pt idx="32">
                  <c:v>20000000</c:v>
                </c:pt>
                <c:pt idx="33">
                  <c:v>20000000</c:v>
                </c:pt>
                <c:pt idx="34">
                  <c:v>20000000</c:v>
                </c:pt>
                <c:pt idx="35">
                  <c:v>20000000</c:v>
                </c:pt>
                <c:pt idx="36">
                  <c:v>20000000</c:v>
                </c:pt>
                <c:pt idx="37">
                  <c:v>20000000</c:v>
                </c:pt>
              </c:numCache>
            </c:numRef>
          </c:val>
          <c:extLst>
            <c:ext xmlns:c16="http://schemas.microsoft.com/office/drawing/2014/chart" uri="{C3380CC4-5D6E-409C-BE32-E72D297353CC}">
              <c16:uniqueId val="{00000006-60D5-48BC-BF83-5E575CC54D1F}"/>
            </c:ext>
          </c:extLst>
        </c:ser>
        <c:dLbls>
          <c:showLegendKey val="0"/>
          <c:showVal val="0"/>
          <c:showCatName val="0"/>
          <c:showSerName val="0"/>
          <c:showPercent val="0"/>
          <c:showBubbleSize val="0"/>
        </c:dLbls>
        <c:axId val="461519335"/>
        <c:axId val="1715419928"/>
      </c:areaChart>
      <c:catAx>
        <c:axId val="461519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419928"/>
        <c:crosses val="autoZero"/>
        <c:auto val="1"/>
        <c:lblAlgn val="ctr"/>
        <c:lblOffset val="100"/>
        <c:noMultiLvlLbl val="0"/>
      </c:catAx>
      <c:valAx>
        <c:axId val="1715419928"/>
        <c:scaling>
          <c:orientation val="minMax"/>
          <c:max val="100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Vested Tokens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5193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65d6aa-7660-4a0a-910c-6682d2bbcacd">
  <we:reference id="WA104380118" version="1.1.1.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A76C6CCF59F847BF453C15D9C4645B" ma:contentTypeVersion="12" ma:contentTypeDescription="Create a new document." ma:contentTypeScope="" ma:versionID="4b902d88eb409dbc229005a0ae31f739">
  <xsd:schema xmlns:xsd="http://www.w3.org/2001/XMLSchema" xmlns:xs="http://www.w3.org/2001/XMLSchema" xmlns:p="http://schemas.microsoft.com/office/2006/metadata/properties" xmlns:ns2="a94a79d8-3512-407e-be5a-fc5a0ddbaf61" xmlns:ns3="8c57c421-b137-431e-8da2-9786c8eb9693" targetNamespace="http://schemas.microsoft.com/office/2006/metadata/properties" ma:root="true" ma:fieldsID="f18b19a46c2f8744ce43d8b5305f9411" ns2:_="" ns3:_="">
    <xsd:import namespace="a94a79d8-3512-407e-be5a-fc5a0ddbaf61"/>
    <xsd:import namespace="8c57c421-b137-431e-8da2-9786c8eb96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a79d8-3512-407e-be5a-fc5a0ddbaf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57c421-b137-431e-8da2-9786c8eb969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A4651C-6B35-4337-A470-3A09CC7C391A}">
  <ds:schemaRefs>
    <ds:schemaRef ds:uri="http://schemas.openxmlformats.org/officeDocument/2006/bibliography"/>
  </ds:schemaRefs>
</ds:datastoreItem>
</file>

<file path=customXml/itemProps2.xml><?xml version="1.0" encoding="utf-8"?>
<ds:datastoreItem xmlns:ds="http://schemas.openxmlformats.org/officeDocument/2006/customXml" ds:itemID="{5CD5A2F9-21A1-49EC-B17C-5032A3C97341}">
  <ds:schemaRefs>
    <ds:schemaRef ds:uri="http://schemas.microsoft.com/sharepoint/v3/contenttype/forms"/>
  </ds:schemaRefs>
</ds:datastoreItem>
</file>

<file path=customXml/itemProps3.xml><?xml version="1.0" encoding="utf-8"?>
<ds:datastoreItem xmlns:ds="http://schemas.openxmlformats.org/officeDocument/2006/customXml" ds:itemID="{2D03E40B-79C8-4BC8-BDFF-693EAE32E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a79d8-3512-407e-be5a-fc5a0ddbaf61"/>
    <ds:schemaRef ds:uri="8c57c421-b137-431e-8da2-9786c8eb9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F4F6CA-77F8-4EAB-B971-C12FA20838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17</Pages>
  <Words>4212</Words>
  <Characters>24009</Characters>
  <Application>Microsoft Office Word</Application>
  <DocSecurity>0</DocSecurity>
  <Lines>200</Lines>
  <Paragraphs>56</Paragraphs>
  <ScaleCrop>false</ScaleCrop>
  <Company/>
  <LinksUpToDate>false</LinksUpToDate>
  <CharactersWithSpaces>28165</CharactersWithSpaces>
  <SharedDoc>false</SharedDoc>
  <HLinks>
    <vt:vector size="132" baseType="variant">
      <vt:variant>
        <vt:i4>1245232</vt:i4>
      </vt:variant>
      <vt:variant>
        <vt:i4>116</vt:i4>
      </vt:variant>
      <vt:variant>
        <vt:i4>0</vt:i4>
      </vt:variant>
      <vt:variant>
        <vt:i4>5</vt:i4>
      </vt:variant>
      <vt:variant>
        <vt:lpwstr/>
      </vt:variant>
      <vt:variant>
        <vt:lpwstr>_Toc104212444</vt:lpwstr>
      </vt:variant>
      <vt:variant>
        <vt:i4>1245232</vt:i4>
      </vt:variant>
      <vt:variant>
        <vt:i4>110</vt:i4>
      </vt:variant>
      <vt:variant>
        <vt:i4>0</vt:i4>
      </vt:variant>
      <vt:variant>
        <vt:i4>5</vt:i4>
      </vt:variant>
      <vt:variant>
        <vt:lpwstr/>
      </vt:variant>
      <vt:variant>
        <vt:lpwstr>_Toc104212443</vt:lpwstr>
      </vt:variant>
      <vt:variant>
        <vt:i4>1245232</vt:i4>
      </vt:variant>
      <vt:variant>
        <vt:i4>104</vt:i4>
      </vt:variant>
      <vt:variant>
        <vt:i4>0</vt:i4>
      </vt:variant>
      <vt:variant>
        <vt:i4>5</vt:i4>
      </vt:variant>
      <vt:variant>
        <vt:lpwstr/>
      </vt:variant>
      <vt:variant>
        <vt:lpwstr>_Toc104212442</vt:lpwstr>
      </vt:variant>
      <vt:variant>
        <vt:i4>1245232</vt:i4>
      </vt:variant>
      <vt:variant>
        <vt:i4>98</vt:i4>
      </vt:variant>
      <vt:variant>
        <vt:i4>0</vt:i4>
      </vt:variant>
      <vt:variant>
        <vt:i4>5</vt:i4>
      </vt:variant>
      <vt:variant>
        <vt:lpwstr/>
      </vt:variant>
      <vt:variant>
        <vt:lpwstr>_Toc104212441</vt:lpwstr>
      </vt:variant>
      <vt:variant>
        <vt:i4>1245232</vt:i4>
      </vt:variant>
      <vt:variant>
        <vt:i4>92</vt:i4>
      </vt:variant>
      <vt:variant>
        <vt:i4>0</vt:i4>
      </vt:variant>
      <vt:variant>
        <vt:i4>5</vt:i4>
      </vt:variant>
      <vt:variant>
        <vt:lpwstr/>
      </vt:variant>
      <vt:variant>
        <vt:lpwstr>_Toc104212440</vt:lpwstr>
      </vt:variant>
      <vt:variant>
        <vt:i4>1310768</vt:i4>
      </vt:variant>
      <vt:variant>
        <vt:i4>86</vt:i4>
      </vt:variant>
      <vt:variant>
        <vt:i4>0</vt:i4>
      </vt:variant>
      <vt:variant>
        <vt:i4>5</vt:i4>
      </vt:variant>
      <vt:variant>
        <vt:lpwstr/>
      </vt:variant>
      <vt:variant>
        <vt:lpwstr>_Toc104212439</vt:lpwstr>
      </vt:variant>
      <vt:variant>
        <vt:i4>1310768</vt:i4>
      </vt:variant>
      <vt:variant>
        <vt:i4>80</vt:i4>
      </vt:variant>
      <vt:variant>
        <vt:i4>0</vt:i4>
      </vt:variant>
      <vt:variant>
        <vt:i4>5</vt:i4>
      </vt:variant>
      <vt:variant>
        <vt:lpwstr/>
      </vt:variant>
      <vt:variant>
        <vt:lpwstr>_Toc104212438</vt:lpwstr>
      </vt:variant>
      <vt:variant>
        <vt:i4>1310768</vt:i4>
      </vt:variant>
      <vt:variant>
        <vt:i4>74</vt:i4>
      </vt:variant>
      <vt:variant>
        <vt:i4>0</vt:i4>
      </vt:variant>
      <vt:variant>
        <vt:i4>5</vt:i4>
      </vt:variant>
      <vt:variant>
        <vt:lpwstr/>
      </vt:variant>
      <vt:variant>
        <vt:lpwstr>_Toc104212437</vt:lpwstr>
      </vt:variant>
      <vt:variant>
        <vt:i4>1310768</vt:i4>
      </vt:variant>
      <vt:variant>
        <vt:i4>68</vt:i4>
      </vt:variant>
      <vt:variant>
        <vt:i4>0</vt:i4>
      </vt:variant>
      <vt:variant>
        <vt:i4>5</vt:i4>
      </vt:variant>
      <vt:variant>
        <vt:lpwstr/>
      </vt:variant>
      <vt:variant>
        <vt:lpwstr>_Toc104212436</vt:lpwstr>
      </vt:variant>
      <vt:variant>
        <vt:i4>1310768</vt:i4>
      </vt:variant>
      <vt:variant>
        <vt:i4>62</vt:i4>
      </vt:variant>
      <vt:variant>
        <vt:i4>0</vt:i4>
      </vt:variant>
      <vt:variant>
        <vt:i4>5</vt:i4>
      </vt:variant>
      <vt:variant>
        <vt:lpwstr/>
      </vt:variant>
      <vt:variant>
        <vt:lpwstr>_Toc104212435</vt:lpwstr>
      </vt:variant>
      <vt:variant>
        <vt:i4>1310768</vt:i4>
      </vt:variant>
      <vt:variant>
        <vt:i4>56</vt:i4>
      </vt:variant>
      <vt:variant>
        <vt:i4>0</vt:i4>
      </vt:variant>
      <vt:variant>
        <vt:i4>5</vt:i4>
      </vt:variant>
      <vt:variant>
        <vt:lpwstr/>
      </vt:variant>
      <vt:variant>
        <vt:lpwstr>_Toc104212434</vt:lpwstr>
      </vt:variant>
      <vt:variant>
        <vt:i4>1310768</vt:i4>
      </vt:variant>
      <vt:variant>
        <vt:i4>50</vt:i4>
      </vt:variant>
      <vt:variant>
        <vt:i4>0</vt:i4>
      </vt:variant>
      <vt:variant>
        <vt:i4>5</vt:i4>
      </vt:variant>
      <vt:variant>
        <vt:lpwstr/>
      </vt:variant>
      <vt:variant>
        <vt:lpwstr>_Toc104212433</vt:lpwstr>
      </vt:variant>
      <vt:variant>
        <vt:i4>1310768</vt:i4>
      </vt:variant>
      <vt:variant>
        <vt:i4>44</vt:i4>
      </vt:variant>
      <vt:variant>
        <vt:i4>0</vt:i4>
      </vt:variant>
      <vt:variant>
        <vt:i4>5</vt:i4>
      </vt:variant>
      <vt:variant>
        <vt:lpwstr/>
      </vt:variant>
      <vt:variant>
        <vt:lpwstr>_Toc104212432</vt:lpwstr>
      </vt:variant>
      <vt:variant>
        <vt:i4>1310768</vt:i4>
      </vt:variant>
      <vt:variant>
        <vt:i4>38</vt:i4>
      </vt:variant>
      <vt:variant>
        <vt:i4>0</vt:i4>
      </vt:variant>
      <vt:variant>
        <vt:i4>5</vt:i4>
      </vt:variant>
      <vt:variant>
        <vt:lpwstr/>
      </vt:variant>
      <vt:variant>
        <vt:lpwstr>_Toc104212431</vt:lpwstr>
      </vt:variant>
      <vt:variant>
        <vt:i4>1310768</vt:i4>
      </vt:variant>
      <vt:variant>
        <vt:i4>32</vt:i4>
      </vt:variant>
      <vt:variant>
        <vt:i4>0</vt:i4>
      </vt:variant>
      <vt:variant>
        <vt:i4>5</vt:i4>
      </vt:variant>
      <vt:variant>
        <vt:lpwstr/>
      </vt:variant>
      <vt:variant>
        <vt:lpwstr>_Toc104212430</vt:lpwstr>
      </vt:variant>
      <vt:variant>
        <vt:i4>1376304</vt:i4>
      </vt:variant>
      <vt:variant>
        <vt:i4>26</vt:i4>
      </vt:variant>
      <vt:variant>
        <vt:i4>0</vt:i4>
      </vt:variant>
      <vt:variant>
        <vt:i4>5</vt:i4>
      </vt:variant>
      <vt:variant>
        <vt:lpwstr/>
      </vt:variant>
      <vt:variant>
        <vt:lpwstr>_Toc104212429</vt:lpwstr>
      </vt:variant>
      <vt:variant>
        <vt:i4>1376304</vt:i4>
      </vt:variant>
      <vt:variant>
        <vt:i4>20</vt:i4>
      </vt:variant>
      <vt:variant>
        <vt:i4>0</vt:i4>
      </vt:variant>
      <vt:variant>
        <vt:i4>5</vt:i4>
      </vt:variant>
      <vt:variant>
        <vt:lpwstr/>
      </vt:variant>
      <vt:variant>
        <vt:lpwstr>_Toc104212428</vt:lpwstr>
      </vt:variant>
      <vt:variant>
        <vt:i4>1376304</vt:i4>
      </vt:variant>
      <vt:variant>
        <vt:i4>14</vt:i4>
      </vt:variant>
      <vt:variant>
        <vt:i4>0</vt:i4>
      </vt:variant>
      <vt:variant>
        <vt:i4>5</vt:i4>
      </vt:variant>
      <vt:variant>
        <vt:lpwstr/>
      </vt:variant>
      <vt:variant>
        <vt:lpwstr>_Toc104212427</vt:lpwstr>
      </vt:variant>
      <vt:variant>
        <vt:i4>1376304</vt:i4>
      </vt:variant>
      <vt:variant>
        <vt:i4>8</vt:i4>
      </vt:variant>
      <vt:variant>
        <vt:i4>0</vt:i4>
      </vt:variant>
      <vt:variant>
        <vt:i4>5</vt:i4>
      </vt:variant>
      <vt:variant>
        <vt:lpwstr/>
      </vt:variant>
      <vt:variant>
        <vt:lpwstr>_Toc104212426</vt:lpwstr>
      </vt:variant>
      <vt:variant>
        <vt:i4>1376304</vt:i4>
      </vt:variant>
      <vt:variant>
        <vt:i4>2</vt:i4>
      </vt:variant>
      <vt:variant>
        <vt:i4>0</vt:i4>
      </vt:variant>
      <vt:variant>
        <vt:i4>5</vt:i4>
      </vt:variant>
      <vt:variant>
        <vt:lpwstr/>
      </vt:variant>
      <vt:variant>
        <vt:lpwstr>_Toc104212425</vt:lpwstr>
      </vt:variant>
      <vt:variant>
        <vt:i4>5963850</vt:i4>
      </vt:variant>
      <vt:variant>
        <vt:i4>0</vt:i4>
      </vt:variant>
      <vt:variant>
        <vt:i4>0</vt:i4>
      </vt:variant>
      <vt:variant>
        <vt:i4>5</vt:i4>
      </vt:variant>
      <vt:variant>
        <vt:lpwstr>https://members.delphidigital.io/reports/introducing-lockdrop-lba-a-novel-token-launch-mechanism/</vt:lpwstr>
      </vt:variant>
      <vt:variant>
        <vt:lpwstr/>
      </vt:variant>
      <vt:variant>
        <vt:i4>4128822</vt:i4>
      </vt:variant>
      <vt:variant>
        <vt:i4>0</vt:i4>
      </vt:variant>
      <vt:variant>
        <vt:i4>0</vt:i4>
      </vt:variant>
      <vt:variant>
        <vt:i4>5</vt:i4>
      </vt:variant>
      <vt:variant>
        <vt:lpwstr>https://dune.xyz/messari/Messari:-Airdrops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Cais Manai</dc:creator>
  <cp:keywords/>
  <dc:description/>
  <cp:lastModifiedBy>Gavin Thomas</cp:lastModifiedBy>
  <cp:revision>140</cp:revision>
  <cp:lastPrinted>2022-03-31T13:42:00Z</cp:lastPrinted>
  <dcterms:created xsi:type="dcterms:W3CDTF">2022-03-31T14:06:00Z</dcterms:created>
  <dcterms:modified xsi:type="dcterms:W3CDTF">2022-05-23T21:25:00Z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0x010100ECA76C6CCF59F847BF453C15D9C4645B</vt:lpwstr>
  </property>
  <property fmtid="{D5CDD505-2E9C-101B-9397-08002B2CF9AE}" pid="3" name="MediaServiceImageTags">
    <vt:lpwstr/>
  </property>
</Properties>
</file>