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При интерактивной работе с операционной системой пользователь постоянно сталкивается с необходимостью отдавать ей команды. В UNIX эту работу выполняет программа, которая называется командным процессором (shell). Иногда командный процессор называют шеллом или оболочкой, или интерпретатором команд (последнее неточно, потому что круг задач командного процессора шире, чем интерпретация команд).</w:t>
      </w:r>
    </w:p>
    <w:p>
      <w:pPr>
        <w:pStyle w:val="BodyText"/>
      </w:pPr>
      <w:r>
        <w:t xml:space="preserve">Shell действует как посредник между вами и ядром операционной системы. Ядро – это часть операционной системы, которая всегда находится в памяти компьютера, это программа. Командный процессор преобразует ваши команды в инструкции для операционной системы, а операционная система превращает их в инструкции для аппаратных средств компьютера. По сути, именно оболочка придает определенную</w:t>
      </w:r>
      <w:r>
        <w:t xml:space="preserve"> </w:t>
      </w:r>
      <w:r>
        <w:t xml:space="preserve">“</w:t>
      </w:r>
      <w:r>
        <w:t xml:space="preserve">персонализацию</w:t>
      </w:r>
      <w:r>
        <w:t xml:space="preserve">”</w:t>
      </w:r>
      <w:r>
        <w:t xml:space="preserve"> </w:t>
      </w:r>
      <w:r>
        <w:t xml:space="preserve">системам UNIX.</w:t>
      </w:r>
    </w:p>
    <w:p>
      <w:pPr>
        <w:pStyle w:val="BodyText"/>
      </w:pPr>
      <w:r>
        <w:t xml:space="preserve">Командный процессор выполняет в системе следующие задачи:</w:t>
      </w:r>
    </w:p>
    <w:p>
      <w:pPr>
        <w:numPr>
          <w:ilvl w:val="0"/>
          <w:numId w:val="1002"/>
        </w:numPr>
      </w:pPr>
      <w:r>
        <w:t xml:space="preserve">интерпретация команд пользователя, в том числе разбор командной строки;</w:t>
      </w:r>
    </w:p>
    <w:p>
      <w:pPr>
        <w:numPr>
          <w:ilvl w:val="0"/>
          <w:numId w:val="1002"/>
        </w:numPr>
      </w:pPr>
      <w:r>
        <w:t xml:space="preserve">запуск программ;</w:t>
      </w:r>
    </w:p>
    <w:p>
      <w:pPr>
        <w:numPr>
          <w:ilvl w:val="0"/>
          <w:numId w:val="1002"/>
        </w:numPr>
      </w:pPr>
      <w:r>
        <w:t xml:space="preserve">организация перенаправлений потоков между процессами;</w:t>
      </w:r>
    </w:p>
    <w:p>
      <w:pPr>
        <w:numPr>
          <w:ilvl w:val="0"/>
          <w:numId w:val="1002"/>
        </w:numPr>
      </w:pPr>
      <w:r>
        <w:t xml:space="preserve">интерпретация языка скриптов и их выполнение;</w:t>
      </w:r>
    </w:p>
    <w:p>
      <w:pPr>
        <w:numPr>
          <w:ilvl w:val="0"/>
          <w:numId w:val="1002"/>
        </w:numPr>
      </w:pPr>
      <w:r>
        <w:t xml:space="preserve">управление заданиями;</w:t>
      </w:r>
    </w:p>
    <w:p>
      <w:pPr>
        <w:numPr>
          <w:ilvl w:val="0"/>
          <w:numId w:val="1002"/>
        </w:numPr>
      </w:pPr>
      <w:r>
        <w:t xml:space="preserve">интерпретация шаблонов имен файлов;</w:t>
      </w:r>
    </w:p>
    <w:p>
      <w:pPr>
        <w:numPr>
          <w:ilvl w:val="0"/>
          <w:numId w:val="1002"/>
        </w:numPr>
      </w:pPr>
      <w:r>
        <w:t xml:space="preserve">подстановка имен файлов в командную строку.</w:t>
      </w:r>
    </w:p>
    <w:p>
      <w:pPr>
        <w:pStyle w:val="FirstParagraph"/>
      </w:pPr>
      <w:r>
        <w:t xml:space="preserve">Кроме того, shell является мощным языком программирования.</w:t>
      </w:r>
    </w:p>
    <w:p>
      <w:pPr>
        <w:pStyle w:val="BodyText"/>
      </w:pPr>
      <w:r>
        <w:t xml:space="preserve">Любая команда, являющаяся отдельной программой, т.е. не встроенной в интерпретатор, будет выполняться одинаково, независимо от shell’a. Например, если вы хотите что–то напечатать, команда печати всегда работает одинаково.</w:t>
      </w:r>
    </w:p>
    <w:p>
      <w:pPr>
        <w:pStyle w:val="BodyText"/>
      </w:pPr>
      <w:r>
        <w:t xml:space="preserve">Некоторые команды встроены в shell, т.е. они являются частью программы оболочки и, как следствие, могут выполняться по-разному в зависимости от оболочки, в которой они запускаются. Есть три вида команд, встроенных в shell:</w:t>
      </w:r>
    </w:p>
    <w:p>
      <w:pPr>
        <w:numPr>
          <w:ilvl w:val="0"/>
          <w:numId w:val="1003"/>
        </w:numPr>
      </w:pPr>
      <w:r>
        <w:t xml:space="preserve">общие команды запускаются несколько быстрее, так как они являются частью оболочки;</w:t>
      </w:r>
    </w:p>
    <w:p>
      <w:pPr>
        <w:numPr>
          <w:ilvl w:val="0"/>
          <w:numId w:val="1003"/>
        </w:numPr>
      </w:pPr>
      <w:r>
        <w:t xml:space="preserve">команды адаптации позволяют адаптировать оболочку.</w:t>
      </w:r>
    </w:p>
    <w:p>
      <w:pPr>
        <w:numPr>
          <w:ilvl w:val="0"/>
          <w:numId w:val="1003"/>
        </w:numPr>
      </w:pPr>
      <w:r>
        <w:t xml:space="preserve">команды программирования образуют язык программирования оболочки.</w:t>
      </w:r>
    </w:p>
    <w:p>
      <w:pPr>
        <w:pStyle w:val="FirstParagraph"/>
      </w:pPr>
      <w:r>
        <w:t xml:space="preserve">При смене shell’a вы не заметите никакой разницы между общими командами, которые встроены просто для повышения быстродействия. Однако команды адаптации и программирования изменяются.</w:t>
      </w:r>
    </w:p>
    <w:p>
      <w:pPr>
        <w:pStyle w:val="BodyText"/>
      </w:pPr>
      <w:r>
        <w:t xml:space="preserve">Примером общих команд, встроенных в оболочку, служат команды cd, echo, pwd, login, umask.</w:t>
      </w:r>
    </w:p>
    <w:p>
      <w:pPr>
        <w:pStyle w:val="BodyText"/>
      </w:pPr>
      <w:r>
        <w:t xml:space="preserve">Адаптация включает в себя создание новых команд или новых имен для старых команд и привлечение новых возможностей. Примером общепринятой адаптации служит изменение стимула (или приглашения системы).</w:t>
      </w:r>
      <w:r>
        <w:t xml:space="preserve">[1]</w:t>
      </w:r>
      <w:r>
        <w:t xml:space="preserve">.</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 (рис. 1, 2)</w:t>
      </w:r>
    </w:p>
    <w:p>
      <w:pPr>
        <w:pStyle w:val="CaptionedFigure"/>
      </w:pPr>
      <w:bookmarkStart w:id="26" w:name="fig:001"/>
      <w:r>
        <w:drawing>
          <wp:inline>
            <wp:extent cx="5334000" cy="1018203"/>
            <wp:effectExtent b="0" l="0" r="0" t="0"/>
            <wp:docPr descr="Рис. 1: Скрипт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018203"/>
                    </a:xfrm>
                    <a:prstGeom prst="rect">
                      <a:avLst/>
                    </a:prstGeom>
                    <a:noFill/>
                    <a:ln w="9525">
                      <a:noFill/>
                      <a:headEnd/>
                      <a:tailEnd/>
                    </a:ln>
                  </pic:spPr>
                </pic:pic>
              </a:graphicData>
            </a:graphic>
          </wp:inline>
        </w:drawing>
      </w:r>
      <w:bookmarkEnd w:id="26"/>
    </w:p>
    <w:p>
      <w:pPr>
        <w:pStyle w:val="ImageCaption"/>
      </w:pPr>
      <w:r>
        <w:t xml:space="preserve">Рис. 1: Скрипт 1</w:t>
      </w:r>
    </w:p>
    <w:p>
      <w:pPr>
        <w:pStyle w:val="CaptionedFigure"/>
      </w:pPr>
      <w:bookmarkStart w:id="30" w:name="fig:002"/>
      <w:r>
        <w:drawing>
          <wp:inline>
            <wp:extent cx="5334000" cy="1514455"/>
            <wp:effectExtent b="0" l="0" r="0" t="0"/>
            <wp:docPr descr="Рис. 2: Вывод скрипта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514455"/>
                    </a:xfrm>
                    <a:prstGeom prst="rect">
                      <a:avLst/>
                    </a:prstGeom>
                    <a:noFill/>
                    <a:ln w="9525">
                      <a:noFill/>
                      <a:headEnd/>
                      <a:tailEnd/>
                    </a:ln>
                  </pic:spPr>
                </pic:pic>
              </a:graphicData>
            </a:graphic>
          </wp:inline>
        </w:drawing>
      </w:r>
      <w:bookmarkEnd w:id="30"/>
    </w:p>
    <w:p>
      <w:pPr>
        <w:pStyle w:val="ImageCaption"/>
      </w:pPr>
      <w:r>
        <w:t xml:space="preserve">Рис. 2: Вывод скрипта 1</w:t>
      </w:r>
    </w:p>
    <w:p>
      <w:pPr>
        <w:numPr>
          <w:ilvl w:val="0"/>
          <w:numId w:val="1005"/>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аргументов..(рис. 3, 4)</w:t>
      </w:r>
    </w:p>
    <w:p>
      <w:pPr>
        <w:pStyle w:val="CaptionedFigure"/>
      </w:pPr>
      <w:bookmarkStart w:id="34" w:name="fig:003"/>
      <w:r>
        <w:drawing>
          <wp:inline>
            <wp:extent cx="5334000" cy="1938077"/>
            <wp:effectExtent b="0" l="0" r="0" t="0"/>
            <wp:docPr descr="Рис. 3: Скрипт 2"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938077"/>
                    </a:xfrm>
                    <a:prstGeom prst="rect">
                      <a:avLst/>
                    </a:prstGeom>
                    <a:noFill/>
                    <a:ln w="9525">
                      <a:noFill/>
                      <a:headEnd/>
                      <a:tailEnd/>
                    </a:ln>
                  </pic:spPr>
                </pic:pic>
              </a:graphicData>
            </a:graphic>
          </wp:inline>
        </w:drawing>
      </w:r>
      <w:bookmarkEnd w:id="34"/>
    </w:p>
    <w:p>
      <w:pPr>
        <w:pStyle w:val="ImageCaption"/>
      </w:pPr>
      <w:r>
        <w:t xml:space="preserve">Рис. 3: Скрипт 2</w:t>
      </w:r>
    </w:p>
    <w:p>
      <w:pPr>
        <w:pStyle w:val="CaptionedFigure"/>
      </w:pPr>
      <w:bookmarkStart w:id="38" w:name="fig:004"/>
      <w:r>
        <w:drawing>
          <wp:inline>
            <wp:extent cx="5334000" cy="1992488"/>
            <wp:effectExtent b="0" l="0" r="0" t="0"/>
            <wp:docPr descr="Рис. 4: Вывод скрипта 2"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992488"/>
                    </a:xfrm>
                    <a:prstGeom prst="rect">
                      <a:avLst/>
                    </a:prstGeom>
                    <a:noFill/>
                    <a:ln w="9525">
                      <a:noFill/>
                      <a:headEnd/>
                      <a:tailEnd/>
                    </a:ln>
                  </pic:spPr>
                </pic:pic>
              </a:graphicData>
            </a:graphic>
          </wp:inline>
        </w:drawing>
      </w:r>
      <w:bookmarkEnd w:id="38"/>
    </w:p>
    <w:p>
      <w:pPr>
        <w:pStyle w:val="ImageCaption"/>
      </w:pPr>
      <w:r>
        <w:t xml:space="preserve">Рис. 4: Вывод скрипта 2</w:t>
      </w:r>
    </w:p>
    <w:p>
      <w:pPr>
        <w:numPr>
          <w:ilvl w:val="0"/>
          <w:numId w:val="1006"/>
        </w:numPr>
        <w:pStyle w:val="Compact"/>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5, 6)</w:t>
      </w:r>
    </w:p>
    <w:p>
      <w:pPr>
        <w:pStyle w:val="CaptionedFigure"/>
      </w:pPr>
      <w:bookmarkStart w:id="42" w:name="fig:005"/>
      <w:r>
        <w:drawing>
          <wp:inline>
            <wp:extent cx="5334000" cy="3579016"/>
            <wp:effectExtent b="0" l="0" r="0" t="0"/>
            <wp:docPr descr="Рис. 5: Скрипт 3"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579016"/>
                    </a:xfrm>
                    <a:prstGeom prst="rect">
                      <a:avLst/>
                    </a:prstGeom>
                    <a:noFill/>
                    <a:ln w="9525">
                      <a:noFill/>
                      <a:headEnd/>
                      <a:tailEnd/>
                    </a:ln>
                  </pic:spPr>
                </pic:pic>
              </a:graphicData>
            </a:graphic>
          </wp:inline>
        </w:drawing>
      </w:r>
      <w:bookmarkEnd w:id="42"/>
    </w:p>
    <w:p>
      <w:pPr>
        <w:pStyle w:val="ImageCaption"/>
      </w:pPr>
      <w:r>
        <w:t xml:space="preserve">Рис. 5: Скрипт 3</w:t>
      </w:r>
    </w:p>
    <w:p>
      <w:pPr>
        <w:pStyle w:val="CaptionedFigure"/>
      </w:pPr>
      <w:bookmarkStart w:id="46" w:name="fig:006"/>
      <w:r>
        <w:drawing>
          <wp:inline>
            <wp:extent cx="5334000" cy="3635805"/>
            <wp:effectExtent b="0" l="0" r="0" t="0"/>
            <wp:docPr descr="Рис. 6: Вывод скрипта 3"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635805"/>
                    </a:xfrm>
                    <a:prstGeom prst="rect">
                      <a:avLst/>
                    </a:prstGeom>
                    <a:noFill/>
                    <a:ln w="9525">
                      <a:noFill/>
                      <a:headEnd/>
                      <a:tailEnd/>
                    </a:ln>
                  </pic:spPr>
                </pic:pic>
              </a:graphicData>
            </a:graphic>
          </wp:inline>
        </w:drawing>
      </w:r>
      <w:bookmarkEnd w:id="46"/>
    </w:p>
    <w:p>
      <w:pPr>
        <w:pStyle w:val="ImageCaption"/>
      </w:pPr>
      <w:r>
        <w:t xml:space="preserve">Рис. 6: Вывод скрипта 3</w:t>
      </w:r>
    </w:p>
    <w:p>
      <w:pPr>
        <w:numPr>
          <w:ilvl w:val="0"/>
          <w:numId w:val="1007"/>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 (рис. 7, 8)</w:t>
      </w:r>
    </w:p>
    <w:p>
      <w:pPr>
        <w:pStyle w:val="CaptionedFigure"/>
      </w:pPr>
      <w:bookmarkStart w:id="50" w:name="fig:007"/>
      <w:r>
        <w:drawing>
          <wp:inline>
            <wp:extent cx="5334000" cy="2104767"/>
            <wp:effectExtent b="0" l="0" r="0" t="0"/>
            <wp:docPr descr="Рис. 7: Скрипт 4"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104767"/>
                    </a:xfrm>
                    <a:prstGeom prst="rect">
                      <a:avLst/>
                    </a:prstGeom>
                    <a:noFill/>
                    <a:ln w="9525">
                      <a:noFill/>
                      <a:headEnd/>
                      <a:tailEnd/>
                    </a:ln>
                  </pic:spPr>
                </pic:pic>
              </a:graphicData>
            </a:graphic>
          </wp:inline>
        </w:drawing>
      </w:r>
      <w:bookmarkEnd w:id="50"/>
    </w:p>
    <w:p>
      <w:pPr>
        <w:pStyle w:val="ImageCaption"/>
      </w:pPr>
      <w:r>
        <w:t xml:space="preserve">Рис. 7: Скрипт 4</w:t>
      </w:r>
    </w:p>
    <w:p>
      <w:pPr>
        <w:pStyle w:val="CaptionedFigure"/>
      </w:pPr>
      <w:bookmarkStart w:id="54" w:name="fig:008"/>
      <w:r>
        <w:drawing>
          <wp:inline>
            <wp:extent cx="5334000" cy="2246477"/>
            <wp:effectExtent b="0" l="0" r="0" t="0"/>
            <wp:docPr descr="Рис. 8: Вывод скрипта 4"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246477"/>
                    </a:xfrm>
                    <a:prstGeom prst="rect">
                      <a:avLst/>
                    </a:prstGeom>
                    <a:noFill/>
                    <a:ln w="9525">
                      <a:noFill/>
                      <a:headEnd/>
                      <a:tailEnd/>
                    </a:ln>
                  </pic:spPr>
                </pic:pic>
              </a:graphicData>
            </a:graphic>
          </wp:inline>
        </w:drawing>
      </w:r>
      <w:bookmarkEnd w:id="54"/>
    </w:p>
    <w:p>
      <w:pPr>
        <w:pStyle w:val="ImageCaption"/>
      </w:pPr>
      <w:r>
        <w:t xml:space="preserve">Рис. 8: Вывод скрипта 4</w:t>
      </w:r>
    </w:p>
    <w:bookmarkEnd w:id="55"/>
    <w:bookmarkStart w:id="56" w:name="контрольные-вопросы"/>
    <w:p>
      <w:pPr>
        <w:pStyle w:val="Heading1"/>
      </w:pPr>
      <w:r>
        <w:rPr>
          <w:rStyle w:val="SectionNumber"/>
        </w:rPr>
        <w:t xml:space="preserve">5</w:t>
      </w:r>
      <w:r>
        <w:tab/>
      </w:r>
      <w:r>
        <w:t xml:space="preserve">Контрольные вопросы</w:t>
      </w:r>
    </w:p>
    <w:p>
      <w:pPr>
        <w:numPr>
          <w:ilvl w:val="0"/>
          <w:numId w:val="1008"/>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8"/>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8"/>
        </w:numPr>
      </w:pPr>
      <w:r>
        <w:t xml:space="preserve">Команда let также расширяет другие выражения let, если они заключены в двойные</w:t>
      </w:r>
      <w:r>
        <w:t xml:space="preserve"> </w:t>
      </w:r>
      <w:r>
        <w:t xml:space="preserve">круглые скобки. Таким способом вы можете создавать довольно сложные выражения.</w:t>
      </w:r>
      <w:r>
        <w:t xml:space="preserve"> </w:t>
      </w:r>
      <w:r>
        <w:t xml:space="preserve">Команда let не ограничена простыми арифметическими выражениями. Табл. 10.1</w:t>
      </w:r>
      <w:r>
        <w:t xml:space="preserve"> </w:t>
      </w:r>
      <w:r>
        <w:t xml:space="preserve">показывает полный набор let-операций.</w:t>
      </w:r>
    </w:p>
    <w:p>
      <w:pPr>
        <w:numPr>
          <w:ilvl w:val="0"/>
          <w:numId w:val="1008"/>
        </w:numPr>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8"/>
        </w:numPr>
      </w:pPr>
      <w:r>
        <w:t xml:space="preserve">Условия оболочки bash, помещются в двойные скобки —(( )).</w:t>
      </w:r>
    </w:p>
    <w:p>
      <w:pPr>
        <w:numPr>
          <w:ilvl w:val="0"/>
          <w:numId w:val="1008"/>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8"/>
        </w:numPr>
      </w:pPr>
      <w:r>
        <w:t xml:space="preserve">Такие символы, как ’ &lt; &gt; * ? |  ” &amp; являются метасимволами и имеют для командного процессора специальный смысл.</w:t>
      </w:r>
    </w:p>
    <w:p>
      <w:pPr>
        <w:numPr>
          <w:ilvl w:val="0"/>
          <w:numId w:val="1008"/>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08"/>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8"/>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8"/>
        </w:numPr>
      </w:pPr>
      <w:r>
        <w:t xml:space="preserve">ls -lrt Если есть d, то является файл каталогом</w:t>
      </w:r>
    </w:p>
    <w:p>
      <w:pPr>
        <w:numPr>
          <w:ilvl w:val="0"/>
          <w:numId w:val="1008"/>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8"/>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8"/>
        </w:numPr>
      </w:pPr>
      <w:r>
        <w:t xml:space="preserve">Специальные переменные языка bash и их назначение</w:t>
      </w:r>
    </w:p>
    <w:p>
      <w:pPr>
        <w:pStyle w:val="FirstParagraph"/>
      </w:pPr>
      <w:r>
        <w:t xml:space="preserve">– $* — отображается вся командная строка или параметры оболочки;</w:t>
      </w:r>
    </w:p>
    <w:p>
      <w:pPr>
        <w:pStyle w:val="BodyText"/>
      </w:pPr>
      <w:r>
        <w:t xml:space="preserve">– $? — код завершения последней выполненной команды;</w:t>
      </w:r>
    </w:p>
    <w:p>
      <w:pPr>
        <w:pStyle w:val="BodyText"/>
      </w:pPr>
      <w:r>
        <w:t xml:space="preserve">– $$ — уникальный идентификатор процесса, в рамках которого выполняется командный процессор;</w:t>
      </w:r>
    </w:p>
    <w:p>
      <w:pPr>
        <w:pStyle w:val="BodyText"/>
      </w:pPr>
      <w:r>
        <w:t xml:space="preserve">– $! — номер процесса, в рамках которого выполняется последняя вызванная на выполнение в командном режиме команда;</w:t>
      </w:r>
    </w:p>
    <w:p>
      <w:pPr>
        <w:pStyle w:val="BodyText"/>
      </w:pPr>
      <w:r>
        <w:t xml:space="preserve">– $- — значение флагов командного процессора;</w:t>
      </w:r>
    </w:p>
    <w:p>
      <w:pPr>
        <w:pStyle w:val="BodyText"/>
      </w:pPr>
      <w:r>
        <w:t xml:space="preserve">– ${#} — возвращает целое число — количество слов, которые были результатом $;</w:t>
      </w:r>
    </w:p>
    <w:p>
      <w:pPr>
        <w:pStyle w:val="BodyText"/>
      </w:pPr>
      <w:r>
        <w:t xml:space="preserve">– ${#name} — возвращает целое значение длины строки в переменной name;</w:t>
      </w:r>
    </w:p>
    <w:p>
      <w:pPr>
        <w:pStyle w:val="BodyText"/>
      </w:pPr>
      <w:r>
        <w:t xml:space="preserve">– ${name[n]} — обращение к n-ному элементу массива;</w:t>
      </w:r>
    </w:p>
    <w:p>
      <w:pPr>
        <w:pStyle w:val="BodyText"/>
      </w:pPr>
      <w:r>
        <w:t xml:space="preserve">– ${name[*]} — перечисляет все элементы массива, разделенные пробелом;</w:t>
      </w:r>
    </w:p>
    <w:p>
      <w:pPr>
        <w:pStyle w:val="BodyText"/>
      </w:pPr>
      <w:r>
        <w:t xml:space="preserve">– ${name[@]} — то же самое, но позволяет учитывать символы пробелы в самих переменных;</w:t>
      </w:r>
    </w:p>
    <w:p>
      <w:pPr>
        <w:pStyle w:val="BodyText"/>
      </w:pPr>
      <w:r>
        <w:t xml:space="preserve">– ${name:-value} — если значение переменной name не определено, то оно будет заменено на указанное value;</w:t>
      </w:r>
    </w:p>
    <w:p>
      <w:pPr>
        <w:pStyle w:val="BodyText"/>
      </w:pPr>
      <w:r>
        <w:t xml:space="preserve">– ${name:value} — проверяется факт существования переменной;</w:t>
      </w:r>
    </w:p>
    <w:p>
      <w:pPr>
        <w:pStyle w:val="BodyText"/>
      </w:pPr>
      <w:r>
        <w:t xml:space="preserve">– ${name=value} — если name не определено, то ему присваивается значение value;</w:t>
      </w:r>
    </w:p>
    <w:p>
      <w:pPr>
        <w:pStyle w:val="BodyText"/>
      </w:pPr>
      <w:r>
        <w:t xml:space="preserve">– ${name?value} — останавливает выполнение, если имя переменной не определено, и выводит value, как сообщение об ошибке;</w:t>
      </w:r>
    </w:p>
    <w:p>
      <w:pPr>
        <w:pStyle w:val="BodyText"/>
      </w:pPr>
      <w:r>
        <w:t xml:space="preserve">– ${name+value} — это выражение работает противоположно ${name-value}. Если переменная определена, то подставляется value;</w:t>
      </w:r>
    </w:p>
    <w:p>
      <w:pPr>
        <w:pStyle w:val="BodyText"/>
      </w:pPr>
      <w:r>
        <w:t xml:space="preserve">– ${name#pattern} — представляет значение переменной name с удаленным самым коротким левым образцом (pattern);</w:t>
      </w:r>
    </w:p>
    <w:p>
      <w:pPr>
        <w:pStyle w:val="BodyText"/>
      </w:pPr>
      <w:r>
        <w:t xml:space="preserve">– ${#name[*]} и ${#name[@]} — эти выражения возвращают количество элементов в массиве name.</w:t>
      </w:r>
    </w:p>
    <w:p>
      <w:pPr>
        <w:pStyle w:val="BodyText"/>
      </w:pPr>
      <w:r>
        <w:t xml:space="preserve">− $#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6"/>
    <w:bookmarkStart w:id="57" w:name="выводы"/>
    <w:p>
      <w:pPr>
        <w:pStyle w:val="Heading1"/>
      </w:pPr>
      <w:r>
        <w:rPr>
          <w:rStyle w:val="SectionNumber"/>
        </w:rPr>
        <w:t xml:space="preserve">6</w:t>
      </w:r>
      <w:r>
        <w:tab/>
      </w:r>
      <w:r>
        <w:t xml:space="preserve">Выводы</w:t>
      </w:r>
    </w:p>
    <w:p>
      <w:pPr>
        <w:pStyle w:val="FirstParagraph"/>
      </w:pPr>
      <w:r>
        <w:t xml:space="preserve">Изучила основы программирования в оболочке ОС UNIX/Linux. Научилась писать</w:t>
      </w:r>
      <w:r>
        <w:t xml:space="preserve"> </w:t>
      </w:r>
      <w:r>
        <w:t xml:space="preserve">небольшие командные файлы.</w:t>
      </w:r>
    </w:p>
    <w:bookmarkEnd w:id="57"/>
    <w:bookmarkStart w:id="61" w:name="список-литературы"/>
    <w:p>
      <w:pPr>
        <w:pStyle w:val="Heading1"/>
      </w:pPr>
      <w:r>
        <w:t xml:space="preserve">Список литературы</w:t>
      </w:r>
    </w:p>
    <w:bookmarkStart w:id="60" w:name="refs"/>
    <w:bookmarkStart w:id="59" w:name="ref-lp:bash"/>
    <w:p>
      <w:pPr>
        <w:pStyle w:val="Bibliography"/>
      </w:pPr>
      <w:r>
        <w:t xml:space="preserve">1.</w:t>
      </w:r>
      <w:r>
        <w:t xml:space="preserve"> </w:t>
      </w:r>
      <w:r>
        <w:t xml:space="preserve">	</w:t>
      </w:r>
      <w:r>
        <w:t xml:space="preserve">Командные процессоры ОС UNIX</w:t>
      </w:r>
      <w:r>
        <w:t xml:space="preserve"> </w:t>
      </w:r>
      <w:r>
        <w:t xml:space="preserve">[Электронный ресурс]. life-prog.ru, 2014. URL:</w:t>
      </w:r>
      <w:r>
        <w:t xml:space="preserve"> </w:t>
      </w:r>
      <w:hyperlink r:id="rId58">
        <w:r>
          <w:rPr>
            <w:rStyle w:val="Hyperlink"/>
          </w:rPr>
          <w:t xml:space="preserve">https://life-prog.ru/1_54716_glava--komandnie-protsessori-os-UNIX.html</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58" Target="https://life-prog.ru/1_54716_glava--komandnie-protsessori-os-UNIX.html" TargetMode="External" /></Relationships>
</file>

<file path=word/_rels/footnotes.xml.rels><?xml version="1.0" encoding="UTF-8"?><Relationships xmlns="http://schemas.openxmlformats.org/package/2006/relationships"><Relationship Type="http://schemas.openxmlformats.org/officeDocument/2006/relationships/hyperlink" Id="rId58" Target="https://life-prog.ru/1_54716_glava--komandnie-protsessori-os-UN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Демидова Екатерина Алексеевна</dc:creator>
  <dc:language>ru-RU</dc:language>
  <cp:keywords/>
  <dcterms:created xsi:type="dcterms:W3CDTF">2022-05-14T20:12:58Z</dcterms:created>
  <dcterms:modified xsi:type="dcterms:W3CDTF">2022-05-14T20:12:58Z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Командные файлы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