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Научная</w:t>
      </w:r>
      <w:r>
        <w:t xml:space="preserve"> </w:t>
      </w:r>
      <w:r>
        <w:t xml:space="preserve">проблема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Математическая модель Лотки – Вольтерры (зачастую называемая модель «хищник - жертва») является одной из наиболее популярных моделей, используемых в экологии, однако свое применение она так же нашла в биологии, медицине, социальных исследованиях, истории, радиофизике и других науках.</w:t>
      </w:r>
    </w:p>
    <w:p>
      <w:pPr>
        <w:pStyle w:val="BodyText"/>
      </w:pPr>
      <w:r>
        <w:t xml:space="preserve">На основе классической модели Лотки – Вольтерры образовался целый класс моделей типа Лотки – Вольтерры, состоящий из различных обобщений и модификаций классической модели. Новые модели учитывают дополнительные факторы внешней среды и внутреннего взаимодействия видов. Однако, несмотря на многообразие уже построенных математических моделей, большинство из них не подвергалось глубокому качественному анализу, необходимому для рационального приложения их к реальным процессам.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Лотки-Вольтерра.</w:t>
      </w:r>
    </w:p>
    <w:bookmarkEnd w:id="20"/>
    <w:bookmarkStart w:id="21" w:name="задач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Описание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её аналитическое исследование.</w:t>
      </w:r>
    </w:p>
    <w:p>
      <w:pPr>
        <w:numPr>
          <w:ilvl w:val="0"/>
          <w:numId w:val="1001"/>
        </w:numPr>
      </w:pPr>
      <w:r>
        <w:t xml:space="preserve">Построить график зависимости изменения численности хищников от изменения</w:t>
      </w:r>
      <w:r>
        <w:t xml:space="preserve"> </w:t>
      </w:r>
      <w:r>
        <w:t xml:space="preserve">численности жертв(фазовый портрет) и графики изменения численности хищников и жертв в зависимости от времени.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системы, которая описывается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1"/>
    <w:bookmarkEnd w:id="22"/>
    <w:bookmarkStart w:id="23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3"/>
    <w:bookmarkStart w:id="24" w:name="аналитическое-исследован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Аналитическое исследование модели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4"/>
    <w:bookmarkStart w:id="25" w:name="постановка-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лесу проживают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число волков, питающихся зайцами, число которых в</w:t>
      </w:r>
      <w:r>
        <w:t xml:space="preserve"> </w:t>
      </w:r>
      <w:r>
        <w:t xml:space="preserve">этом же лесу</w:t>
      </w:r>
      <w:r>
        <w:t xml:space="preserve"> </w:t>
      </w:r>
      <m:oMath>
        <m:r>
          <m:t>y</m:t>
        </m:r>
      </m:oMath>
      <w:r>
        <w:t xml:space="preserve">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 Данная модель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a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коэффициенты смертности,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коэффициенты прироста популяции.</w:t>
      </w:r>
    </w:p>
    <w:p>
      <w:pPr>
        <w:numPr>
          <w:ilvl w:val="0"/>
          <w:numId w:val="1003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Найти стационарное состояние системы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аналитически исследовали её и поставили задачу нашей работы.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Volterr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Вольтерра В.</w:t>
      </w:r>
      <w:r>
        <w:t xml:space="preserve"> </w:t>
      </w:r>
      <w:r>
        <w:t xml:space="preserve">Математическая теория борьбы за существование</w:t>
      </w:r>
      <w:r>
        <w:t xml:space="preserve">. Наука, 1976. 354 с.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Беличева Д. М.,; Демидова Е. А.,; Самигуллин Э. А.,; Смирнов-Мальцев Е. Д.</dc:creator>
  <dc:language>ru-RU</dc:language>
  <cp:keywords/>
  <dcterms:created xsi:type="dcterms:W3CDTF">2023-05-15T08:04:06Z</dcterms:created>
  <dcterms:modified xsi:type="dcterms:W3CDTF">2023-05-15T08:04:06Z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Научная проблема проекта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