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При работе с командой chmod важно понимать основные права доступа, которые назначают файлам или каталогам. В Linux используется три основных типа прав доступа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Чтение (Read) — обозначается буквой «r». Предоставляет возможность просматривать содержимое файла или каталога.</w:t>
      </w:r>
    </w:p>
    <w:p>
      <w:pPr>
        <w:numPr>
          <w:ilvl w:val="0"/>
          <w:numId w:val="1001"/>
        </w:numPr>
        <w:pStyle w:val="Compact"/>
      </w:pPr>
      <w:r>
        <w:t xml:space="preserve">Запись (Write) — обозначается буквой «w». Позволяет создавать, изменять и удалять файлы внутри каталога, а также изменять содержимое файла.</w:t>
      </w:r>
    </w:p>
    <w:p>
      <w:pPr>
        <w:numPr>
          <w:ilvl w:val="0"/>
          <w:numId w:val="1001"/>
        </w:numPr>
        <w:pStyle w:val="Compact"/>
      </w:pPr>
      <w:r>
        <w:t xml:space="preserve">Выполнение (Execute) — обозначается буквой «x». Дает разрешение на выполнение файла или на вход в каталог.</w:t>
      </w:r>
    </w:p>
    <w:p>
      <w:pPr>
        <w:pStyle w:val="FirstParagraph"/>
      </w:pPr>
      <w:r>
        <w:t xml:space="preserve">Каждый из указанных выше типов прав доступа может быть назначен трем группам пользователей:</w:t>
      </w:r>
    </w:p>
    <w:p>
      <w:pPr>
        <w:numPr>
          <w:ilvl w:val="0"/>
          <w:numId w:val="1002"/>
        </w:numPr>
        <w:pStyle w:val="Compact"/>
      </w:pPr>
      <w:r>
        <w:t xml:space="preserve">Владелец (Owner) — пользователь, который является владельцем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Группа (Group) — группа пользователей, к которой принадлежит файл или каталог.</w:t>
      </w:r>
    </w:p>
    <w:p>
      <w:pPr>
        <w:numPr>
          <w:ilvl w:val="0"/>
          <w:numId w:val="1002"/>
        </w:numPr>
        <w:pStyle w:val="Compact"/>
      </w:pPr>
      <w:r>
        <w:t xml:space="preserve">Остальные пользователи (Others) — все остальные пользователи системы.</w:t>
      </w:r>
    </w:p>
    <w:p>
      <w:pPr>
        <w:pStyle w:val="FirstParagraph"/>
      </w:pPr>
      <w:r>
        <w:t xml:space="preserve">Комбинация этих базовых прав доступа для каждой из групп пользователей определяет полный набор прав доступа для файла или каталога.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создадим учетную запись ползователя guest2 и добавляем его в группу guest(рис. ??)</w:t>
      </w:r>
    </w:p>
    <w:p>
      <w:pPr>
        <w:pStyle w:val="CaptionedFigure"/>
      </w:pPr>
      <w:r>
        <w:drawing>
          <wp:inline>
            <wp:extent cx="3733800" cy="1347187"/>
            <wp:effectExtent b="0" l="0" r="0" t="0"/>
            <wp:docPr descr="Создание нового пользователся guest2 и добавление его в группу gues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пользователся guest2 и добавление его в группу guest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 Для обоих пользователей командой pwd определим директорию, в которой находимся, увидим, что она совпадает с приглашениями командной строки. Уточните имя нашего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Увидим, что guest принадлежит одной группе guet c ig 2001, а двум группам guest и guest2 с id 1001 и 1002. С помощью команд id -Gn и id -G можно увидеть только id существующиз групп и название соответственно(рис. ??)</w:t>
      </w:r>
    </w:p>
    <w:p>
      <w:pPr>
        <w:pStyle w:val="CaptionedFigure"/>
      </w:pPr>
      <w:r>
        <w:drawing>
          <wp:inline>
            <wp:extent cx="3733800" cy="1375610"/>
            <wp:effectExtent b="0" l="0" r="0" t="0"/>
            <wp:docPr descr="Просмотр информации о группах пользователей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группах пользователей</w:t>
      </w:r>
    </w:p>
    <w:p>
      <w:pPr>
        <w:pStyle w:val="BodyText"/>
      </w:pPr>
      <w:r>
        <w:t xml:space="preserve">Посмотрев информацию о группа этих пользователей в файле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получим аналогичную информацию(рис. ??)</w:t>
      </w:r>
    </w:p>
    <w:p>
      <w:pPr>
        <w:pStyle w:val="CaptionedFigure"/>
      </w:pPr>
      <w:r>
        <w:drawing>
          <wp:inline>
            <wp:extent cx="3733800" cy="582106"/>
            <wp:effectExtent b="0" l="0" r="0" t="0"/>
            <wp:docPr descr="Просмотр информации о группах пользователей в файле /etc/group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группах пользователей в файле</w:t>
      </w:r>
      <w:r>
        <w:t xml:space="preserve"> </w:t>
      </w:r>
      <w:r>
        <w:rPr>
          <w:rStyle w:val="VerbatimChar"/>
        </w:rPr>
        <w:t xml:space="preserve">/etc/group</w:t>
      </w:r>
    </w:p>
    <w:p>
      <w:pPr>
        <w:pStyle w:val="BodyText"/>
      </w:pPr>
      <w:r>
        <w:t xml:space="preserve">От имени пользователя guest2 выполните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.</w:t>
      </w:r>
    </w:p>
    <w:p>
      <w:pPr>
        <w:pStyle w:val="BodyText"/>
      </w:pPr>
      <w:r>
        <w:t xml:space="preserve">От имени пользователя guest изменим права директории /home/guest, разрешив все действия для пользователей группы и снимем с директории /home/guest/dir1 все атрибуты, затем проверим правильность атрибутов(рис. ??, ??).</w:t>
      </w:r>
    </w:p>
    <w:p>
      <w:pPr>
        <w:pStyle w:val="CaptionedFigure"/>
      </w:pPr>
      <w:r>
        <w:drawing>
          <wp:inline>
            <wp:extent cx="3733800" cy="1894154"/>
            <wp:effectExtent b="0" l="0" r="0" t="0"/>
            <wp:docPr descr="Изменение прав доступ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4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CaptionedFigure"/>
      </w:pPr>
      <w:r>
        <w:drawing>
          <wp:inline>
            <wp:extent cx="3733800" cy="1464903"/>
            <wp:effectExtent b="0" l="0" r="0" t="0"/>
            <wp:docPr descr="Изменение прав доступ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В табл. [</w:t>
      </w:r>
      <w:hyperlink w:anchor="tbl:tbl1">
        <w:r>
          <w:rPr>
            <w:rStyle w:val="Hyperlink"/>
          </w:rPr>
          <w:t xml:space="preserve">1</w:t>
        </w:r>
      </w:hyperlink>
      <w:r>
        <w:t xml:space="preserve">] приведены данные о том, какие операции разрешены, а какие нет для владельца данных.</w:t>
      </w:r>
    </w:p>
    <w:bookmarkStart w:id="0" w:name="tbl:tbl1"/>
    <w:bookmarkStart w:id="37" w:name="tbl:tbl1"/>
    <w:p>
      <w:pPr>
        <w:pStyle w:val="TableCaption"/>
      </w:pPr>
      <w:r>
        <w:t xml:space="preserve">Table 1: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Установленные права и разрешённые действия "/>
      </w:tblPr>
      <w:tblGrid>
        <w:gridCol w:w="1000"/>
        <w:gridCol w:w="917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37"/>
    <w:bookmarkEnd w:id="0"/>
    <w:p>
      <w:pPr>
        <w:pStyle w:val="BodyText"/>
      </w:pPr>
      <w:r>
        <w:t xml:space="preserve">В табл. [</w:t>
      </w:r>
      <w:hyperlink w:anchor="tbl:tbl2">
        <w:r>
          <w:rPr>
            <w:rStyle w:val="Hyperlink"/>
          </w:rPr>
          <w:t xml:space="preserve">2</w:t>
        </w:r>
      </w:hyperlink>
      <w:r>
        <w:t xml:space="preserve">] приведены данные о том, какие минимальные права должны быть для совершения различных действий.</w:t>
      </w:r>
    </w:p>
    <w:bookmarkStart w:id="0" w:name="tbl:tbl2"/>
    <w:bookmarkStart w:id="38" w:name="tbl:tbl2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2: Минимальные права для совершения операций "/>
      </w:tblPr>
      <w:tblGrid>
        <w:gridCol w:w="3960"/>
        <w:gridCol w:w="2066"/>
        <w:gridCol w:w="189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38"/>
    <w:bookmarkEnd w:id="0"/>
    <w:p>
      <w:pPr>
        <w:pStyle w:val="BodyText"/>
      </w:pPr>
      <w:r>
        <w:t xml:space="preserve">При сравнении с таблицей в лабораторной работе №2 можно увидеть, что отличие состоит только в том, что не владелец файла никогда не имеет прав на изменение его атрибутов. Менять права доступа (записывать в inode) может владелец файла или администратор</w:t>
      </w:r>
      <w:r>
        <w:t xml:space="preserve">[2]</w:t>
      </w:r>
      <w:r>
        <w:t xml:space="preserve">. Члены группы файла никаких особых прав на inode не имеют. Пользователь может отобрать у себя собственные права на чтение и запись в файл, но право на запись в inode (в т.ч. право на смену прав) сохраняется у владельца файла при любых обстоятельствах. Пользователь не может передать право собственности на файл другому пользователю и не может забрать право собственности на файл у другого пользователя.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работы в консоли с атрибутами файлов для групп пользователей.</w:t>
      </w:r>
    </w:p>
    <w:bookmarkEnd w:id="40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41" w:name="ref-scott_linux_201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Граннеман С. Скотт Граннеман: Linux. Карманный справочник. 2-е изд. Вильямс, 2019. 464 с.</w:t>
      </w:r>
    </w:p>
    <w:bookmarkEnd w:id="41"/>
    <w:bookmarkStart w:id="43" w:name="ref-uran202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Параллельные вычисления в УрО РАН Параллельные вычисления в УрО РАН. Материалы к спецкурсу ОС (Unix). Inode и каталоги</w:t>
      </w:r>
      <w:r>
        <w:t xml:space="preserve"> </w:t>
      </w:r>
      <w:r>
        <w:t xml:space="preserve"> </w:t>
      </w:r>
      <w:r>
        <w:t xml:space="preserve">[Электронный ресурс]. Red Hat, Inc., 2020. URL:</w:t>
      </w:r>
      <w:r>
        <w:t xml:space="preserve"> </w:t>
      </w:r>
      <w:hyperlink r:id="rId42">
        <w:r>
          <w:rPr>
            <w:rStyle w:val="Hyperlink"/>
          </w:rPr>
          <w:t xml:space="preserve">https://parallel.uran.ru/node/382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2" Target="https://parallel.uran.ru/node/3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parallel.uran.ru/node/3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Демидова Екатерина Алексеевна</dc:creator>
  <dc:language>ru-RU</dc:language>
  <cp:keywords/>
  <dcterms:created xsi:type="dcterms:W3CDTF">2024-07-04T10:29:10Z</dcterms:created>
  <dcterms:modified xsi:type="dcterms:W3CDTF">2024-07-04T10:29:10Z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3. 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