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настройку маршрутизатора.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настройку коммутатора.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настройка-маршрутиз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маршрутизатора</w:t>
      </w:r>
    </w:p>
    <w:p>
      <w:pPr>
        <w:pStyle w:val="FirstParagraph"/>
      </w:pPr>
      <w:r>
        <w:t xml:space="preserve">Снчала мы установили на на домашнем устройстве Cisco Packet Tracer. Теперь создадим новый проект lab_PT-02.pkg.</w:t>
      </w:r>
    </w:p>
    <w:p>
      <w:pPr>
        <w:pStyle w:val="BodyText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 с маршрутизатором, другой PC — с коммутатором(рис. [??]).</w:t>
      </w:r>
    </w:p>
    <w:p>
      <w:pPr>
        <w:pStyle w:val="CaptionedFigure"/>
      </w:pPr>
      <w:r>
        <w:drawing>
          <wp:inline>
            <wp:extent cx="3733800" cy="2574828"/>
            <wp:effectExtent b="0" l="0" r="0" t="0"/>
            <wp:docPr descr="Схема подключения оборудования для проведения его предварительной настрой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подключения оборудования для проведения его предварительной настройки</w:t>
      </w:r>
    </w:p>
    <w:p>
      <w:pPr>
        <w:pStyle w:val="BodyText"/>
      </w:pPr>
      <w:r>
        <w:t xml:space="preserve">Проведем настройку маршрутизатора. Перейдем в привилегированный режим из пользовательского режима, используя команду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. Затем зададим имя хоста с помощью команды</w:t>
      </w:r>
      <w:r>
        <w:t xml:space="preserve"> </w:t>
      </w:r>
      <w:r>
        <w:rPr>
          <w:rStyle w:val="VerbatimChar"/>
        </w:rPr>
        <w:t xml:space="preserve">hostname</w:t>
      </w:r>
      <w:r>
        <w:t xml:space="preserve">. Интерфейсу Fast Ethernet зададим с номером 0 ip-адрес 192.168.1.254 и маску 255.255.255.0, затем поднимем интерфейс с помощью команды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43823"/>
            <wp:effectExtent b="0" l="0" r="0" t="0"/>
            <wp:docPr descr="Настройка маршрутизато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</w:t>
      </w:r>
    </w:p>
    <w:p>
      <w:pPr>
        <w:pStyle w:val="BodyText"/>
      </w:pPr>
      <w:r>
        <w:t xml:space="preserve">Также зададим пароль доступа к привилегированному режиму (сначала в открытом виде, затем — в зашифрованном). Затем настроим доступ к оборудованию через telnet, настроив виртуальный интерфейс</w:t>
      </w:r>
      <w:r>
        <w:t xml:space="preserve"> </w:t>
      </w:r>
      <w:r>
        <w:rPr>
          <w:rStyle w:val="VerbatimChar"/>
        </w:rPr>
        <w:t xml:space="preserve">line vty 0 4</w:t>
      </w:r>
      <w:r>
        <w:t xml:space="preserve">, и через ssh (используя в качестве имени домена donskaya.rudn.edu)(рис. [??]).</w:t>
      </w:r>
    </w:p>
    <w:p>
      <w:pPr>
        <w:pStyle w:val="CaptionedFigure"/>
      </w:pPr>
      <w:r>
        <w:drawing>
          <wp:inline>
            <wp:extent cx="3733800" cy="3332855"/>
            <wp:effectExtent b="0" l="0" r="0" t="0"/>
            <wp:docPr descr="Настройка маршрутизатор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</w:t>
      </w:r>
    </w:p>
    <w:p>
      <w:pPr>
        <w:pStyle w:val="BodyText"/>
      </w:pPr>
      <w:r>
        <w:t xml:space="preserve">Проверим работоспособность соединения с помощью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228640"/>
            <wp:effectExtent b="0" l="0" r="0" t="0"/>
            <wp:docPr descr="Проверка работоспособности соединен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p>
      <w:pPr>
        <w:pStyle w:val="BodyText"/>
      </w:pPr>
      <w:r>
        <w:t xml:space="preserve">Теперь подключимся к маршрутизатору разными способами: с помощью консольного кабеля, по протоколу удалённого доступа(telnet, ssh)(рис. [??]).</w:t>
      </w:r>
    </w:p>
    <w:p>
      <w:pPr>
        <w:pStyle w:val="CaptionedFigure"/>
      </w:pPr>
      <w:r>
        <w:drawing>
          <wp:inline>
            <wp:extent cx="3733800" cy="2523205"/>
            <wp:effectExtent b="0" l="0" r="0" t="0"/>
            <wp:docPr descr="Подключение к маршрутизатор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маршрутизатору</w:t>
      </w:r>
    </w:p>
    <w:p>
      <w:pPr>
        <w:pStyle w:val="BodyText"/>
      </w:pPr>
      <w:r>
        <w:t xml:space="preserve">Поменяем дисполейное имя маршрутизатора и сохраним файл с конфигурациями(рис. [??]).</w:t>
      </w:r>
    </w:p>
    <w:p>
      <w:pPr>
        <w:pStyle w:val="CaptionedFigure"/>
      </w:pPr>
      <w:r>
        <w:drawing>
          <wp:inline>
            <wp:extent cx="3733800" cy="2326322"/>
            <wp:effectExtent b="0" l="0" r="0" t="0"/>
            <wp:docPr descr="Сохранение файла конфигураций для маршрутизатор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 конфигураций для маршрутизатора</w:t>
      </w:r>
    </w:p>
    <w:bookmarkEnd w:id="40"/>
    <w:bookmarkStart w:id="56" w:name="настройка-коммута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коммутатора</w:t>
      </w:r>
    </w:p>
    <w:p>
      <w:pPr>
        <w:pStyle w:val="FirstParagraph"/>
      </w:pPr>
      <w:r>
        <w:t xml:space="preserve">Проведем настройку маршрутизатора. Перейдем в привилегированный режим из пользовательского режима, используя команду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. Затем зададим имя хоста с помощью команды</w:t>
      </w:r>
      <w:r>
        <w:t xml:space="preserve"> </w:t>
      </w:r>
      <w:r>
        <w:rPr>
          <w:rStyle w:val="VerbatimChar"/>
        </w:rPr>
        <w:t xml:space="preserve">hostname</w:t>
      </w:r>
      <w:r>
        <w:t xml:space="preserve">. Интерфейсу vlan 2 зададим с номером 0 ip-адрес 192.168.2.254 и маску 255.255.255.0, затем поднимем интерфейс с помощью команды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. Такде привяжем интерфейс Fast Ethernet с номером 1 к vlan 2; зададим в качестве адреса шлюза по умолчанию адрес 192.168.2.254(рис. [??]).</w:t>
      </w:r>
    </w:p>
    <w:p>
      <w:pPr>
        <w:pStyle w:val="CaptionedFigure"/>
      </w:pPr>
      <w:r>
        <w:drawing>
          <wp:inline>
            <wp:extent cx="3733800" cy="3048650"/>
            <wp:effectExtent b="0" l="0" r="0" t="0"/>
            <wp:docPr descr="Настройка коммутатор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</w:t>
      </w:r>
    </w:p>
    <w:p>
      <w:pPr>
        <w:pStyle w:val="BodyText"/>
      </w:pPr>
      <w:r>
        <w:t xml:space="preserve">И зададим пароль для доступа к привилегированному режиму (сначала в открытом виде, затем — в зашифрованном). Также зададим пароль доступа к привилегированному режиму (сначала в открытом виде, затем — в зашифрованном). Затем настроим доступ к оборудованию через telnet, настроив виртуальный интерфейс</w:t>
      </w:r>
      <w:r>
        <w:t xml:space="preserve"> </w:t>
      </w:r>
      <w:r>
        <w:rPr>
          <w:rStyle w:val="VerbatimChar"/>
        </w:rPr>
        <w:t xml:space="preserve">line vty 0 4</w:t>
      </w:r>
      <w:r>
        <w:t xml:space="preserve">, и через ssh (используя в качестве имени домена donskaya.rudn.edu). Для пользователя admin зададим доступ 1-го уровня по паролю(рис. [??]).</w:t>
      </w:r>
    </w:p>
    <w:p>
      <w:pPr>
        <w:pStyle w:val="CaptionedFigure"/>
      </w:pPr>
      <w:r>
        <w:drawing>
          <wp:inline>
            <wp:extent cx="3733800" cy="4801358"/>
            <wp:effectExtent b="0" l="0" r="0" t="0"/>
            <wp:docPr descr="Настройка коммутатор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</w:t>
      </w:r>
    </w:p>
    <w:p>
      <w:pPr>
        <w:pStyle w:val="BodyText"/>
      </w:pPr>
      <w:r>
        <w:t xml:space="preserve">Проверим работоспособность соединения с помощью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462926"/>
            <wp:effectExtent b="0" l="0" r="0" t="0"/>
            <wp:docPr descr="Проверка работоспособности соединен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p>
      <w:pPr>
        <w:pStyle w:val="BodyText"/>
      </w:pPr>
      <w:r>
        <w:t xml:space="preserve">Теперь подключимся к маршрутизатору разными способами: с помощью консольного кабеля, по протоколу удалённого доступа(telnet, ssh)(рис. [??]).</w:t>
      </w:r>
    </w:p>
    <w:p>
      <w:pPr>
        <w:pStyle w:val="CaptionedFigure"/>
      </w:pPr>
      <w:r>
        <w:drawing>
          <wp:inline>
            <wp:extent cx="3733800" cy="3462926"/>
            <wp:effectExtent b="0" l="0" r="0" t="0"/>
            <wp:docPr descr="Подключение к маршрутизатору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маршрутизатору</w:t>
      </w:r>
    </w:p>
    <w:p>
      <w:pPr>
        <w:pStyle w:val="BodyText"/>
      </w:pPr>
      <w:r>
        <w:t xml:space="preserve">Поменяем дисполейное имя маршрутизатора и сохраним файл с конфигурациями(рис. [??]).</w:t>
      </w:r>
    </w:p>
    <w:p>
      <w:pPr>
        <w:pStyle w:val="CaptionedFigure"/>
      </w:pPr>
      <w:r>
        <w:drawing>
          <wp:inline>
            <wp:extent cx="3733800" cy="3462926"/>
            <wp:effectExtent b="0" l="0" r="0" t="0"/>
            <wp:docPr descr="Сохранение файла конфигураций для маршрутизатор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 конфигураций для маршрутизатора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получили основные навыки по начальному конфигурированию оборудования Cisco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Демидова Екатерина Алексеевна</dc:creator>
  <dc:language>ru-RU</dc:language>
  <cp:keywords/>
  <dcterms:created xsi:type="dcterms:W3CDTF">2024-02-19T14:06:44Z</dcterms:created>
  <dcterms:modified xsi:type="dcterms:W3CDTF">2024-02-19T14:06:44Z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Предварительная настройка оборудования Cisco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