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в локальную сеть маршрутизатор, провести его первоначальную настройку.</w:t>
      </w:r>
    </w:p>
    <w:p>
      <w:pPr>
        <w:numPr>
          <w:ilvl w:val="0"/>
          <w:numId w:val="1001"/>
        </w:numPr>
        <w:pStyle w:val="Compact"/>
      </w:pPr>
      <w:r>
        <w:t xml:space="preserve">Настроить статическую маршрутизацию VLAN.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области проекта разместить маршрутизатор Cisco 2811, подключим его к порту 24 коммутатора msk-donskaya-sw-1 в соответствии с таблицей портов, у маршрутизатора подключение через порт 0.</w:t>
      </w:r>
    </w:p>
    <w:p>
      <w:pPr>
        <w:pStyle w:val="BodyText"/>
      </w:pPr>
      <w:r>
        <w:t xml:space="preserve">Сконфигурируем маршрутизатор, задав на нём имя msk-donskaya-eademidova-gw-1, пароль для доступа к консоли и удалённое подключение по ssh(рис. [??]).</w:t>
      </w:r>
    </w:p>
    <w:p>
      <w:pPr>
        <w:pStyle w:val="CaptionedFigure"/>
      </w:pPr>
      <w:r>
        <w:drawing>
          <wp:inline>
            <wp:extent cx="4800600" cy="4379857"/>
            <wp:effectExtent b="0" l="0" r="0" t="0"/>
            <wp:docPr descr="Настройка маршрутизатора msk-donskaya-eademidova-пw-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msk-donskaya-eademidova-пw-1</w:t>
      </w:r>
    </w:p>
    <w:p>
      <w:pPr>
        <w:pStyle w:val="BodyText"/>
      </w:pPr>
      <w:r>
        <w:t xml:space="preserve">Настроим порт 24 коммутатора msk-donskaya-eademidova-sw-1 как trunk-порт(рис. [??]).</w:t>
      </w:r>
    </w:p>
    <w:p>
      <w:pPr>
        <w:pStyle w:val="CaptionedFigure"/>
      </w:pPr>
      <w:r>
        <w:drawing>
          <wp:inline>
            <wp:extent cx="4800600" cy="4378036"/>
            <wp:effectExtent b="0" l="0" r="0" t="0"/>
            <wp:docPr descr="Настройка Trunk-порта коммутатора msk-donskaya-eademidova-sw-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7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Trunk-порта коммутатора msk-donskaya-eademidova-sw-1</w:t>
      </w:r>
    </w:p>
    <w:p>
      <w:pPr>
        <w:pStyle w:val="BodyText"/>
      </w:pPr>
      <w:r>
        <w:t xml:space="preserve">На интерфейсе f0/0 маршрутизатора msk-donskaya-eademidova-gw-1 настроим виртуальные интерфейсы, соответствующие номерам VLAN. Согласно таблице IP-адресов зададим соответствующие IP-адреса на виртуальных интерфейсах. Для этого используем приведённую ниже последовательность команд по конфигурации VLAN-интерфейсов маршрутизатора(рис. [??]).</w:t>
      </w:r>
    </w:p>
    <w:p>
      <w:pPr>
        <w:pStyle w:val="CaptionedFigure"/>
      </w:pPr>
      <w:r>
        <w:drawing>
          <wp:inline>
            <wp:extent cx="4800600" cy="5773537"/>
            <wp:effectExtent b="0" l="0" r="0" t="0"/>
            <wp:docPr descr="Настройка виртуальных интерфейсов на маршрутизатор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7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виртуальных интерфейсов на маршрутизаторе</w:t>
      </w:r>
    </w:p>
    <w:p>
      <w:pPr>
        <w:pStyle w:val="BodyText"/>
      </w:pPr>
      <w:r>
        <w:t xml:space="preserve">Проверим доступность оконечных устройств из разных VLAN с помоощью команды</w:t>
      </w:r>
      <w:r>
        <w:t xml:space="preserve"> </w:t>
      </w:r>
      <w:r>
        <w:rPr>
          <w:rStyle w:val="VerbatimChar"/>
        </w:rPr>
        <w:t xml:space="preserve">ping</w:t>
      </w:r>
      <w:r>
        <w:t xml:space="preserve">(рис. [??]).</w:t>
      </w:r>
    </w:p>
    <w:p>
      <w:pPr>
        <w:pStyle w:val="CaptionedFigure"/>
      </w:pPr>
      <w:r>
        <w:drawing>
          <wp:inline>
            <wp:extent cx="4800600" cy="6837218"/>
            <wp:effectExtent b="0" l="0" r="0" t="0"/>
            <wp:docPr descr="Проверка доступности устройств с помоощью команды ping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3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устройств с помоощью команды</w:t>
      </w:r>
      <w:r>
        <w:t xml:space="preserve"> </w:t>
      </w:r>
      <w:r>
        <w:rPr>
          <w:rStyle w:val="VerbatimChar"/>
        </w:rPr>
        <w:t xml:space="preserve">ping</w:t>
      </w:r>
    </w:p>
    <w:p>
      <w:pPr>
        <w:pStyle w:val="BodyText"/>
      </w:pPr>
      <w:r>
        <w:t xml:space="preserve">Можно увидеть, что теперь успешно пингуются не только устройства, находящиеся в одном VLAN, но и в разных.</w:t>
      </w:r>
    </w:p>
    <w:p>
      <w:pPr>
        <w:pStyle w:val="BodyText"/>
      </w:pPr>
      <w:r>
        <w:t xml:space="preserve">Отправим пакет из VLAN 4 во VLAN 6. Сначала пакет идёт к коммутатору 4, затем к 1 и после к маршрутизатору для того, чтобы получить адрес устройства из другой виртуальной подсети, затем пакет возвращается к 1 коммутатору переходит к коммутатору с другой территории и наконец достигает адресата. После этого как обычно отправляется ответ по тому же маршруту в обратном порядке(рис. [??]).</w:t>
      </w:r>
    </w:p>
    <w:p>
      <w:pPr>
        <w:pStyle w:val="CaptionedFigure"/>
      </w:pPr>
      <w:r>
        <w:drawing>
          <wp:inline>
            <wp:extent cx="4800600" cy="3478050"/>
            <wp:effectExtent b="0" l="0" r="0" t="0"/>
            <wp:docPr descr="Проверка доступности устройств в режиме симулции в разных VLAN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устройств в режиме симулции в разных VLAN</w:t>
      </w:r>
    </w:p>
    <w:p>
      <w:pPr>
        <w:pStyle w:val="BodyText"/>
      </w:pPr>
      <w:r>
        <w:t xml:space="preserve">Отправим пакет между устройствами в одном VLAN 4. Сначала пакет идёт к коммутатору 4, затем к 1 и после не направляется к маршрутизатору, как было ранее, так как ему известны адреса устройств в одной виртуальной сети. Затем пакет возвращается к 1 коммутатору переходит к коммутатору с другой территории и наконец достигает адресата. После этого как обычно отправляется ответ по тому же маршруту в обратном порядке(рис. [??]).</w:t>
      </w:r>
    </w:p>
    <w:p>
      <w:pPr>
        <w:pStyle w:val="CaptionedFigure"/>
      </w:pPr>
      <w:r>
        <w:drawing>
          <wp:inline>
            <wp:extent cx="4800600" cy="2160270"/>
            <wp:effectExtent b="0" l="0" r="0" t="0"/>
            <wp:docPr descr="Проверка доступности устройств в режиме симулции в одном VLAN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устройств в режиме симулции в одном VLAN</w:t>
      </w:r>
    </w:p>
    <w:p>
      <w:pPr>
        <w:pStyle w:val="BodyText"/>
      </w:pPr>
      <w:r>
        <w:t xml:space="preserve">Рассмотрим пакет ICMP(рис. [??]).</w:t>
      </w:r>
    </w:p>
    <w:p>
      <w:pPr>
        <w:pStyle w:val="CaptionedFigure"/>
      </w:pPr>
      <w:r>
        <w:drawing>
          <wp:inline>
            <wp:extent cx="4800600" cy="4117124"/>
            <wp:effectExtent b="0" l="0" r="0" t="0"/>
            <wp:docPr descr="Содержимое ICMP-паке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ICMP-пакета</w:t>
      </w:r>
    </w:p>
    <w:p>
      <w:pPr>
        <w:pStyle w:val="BodyText"/>
      </w:pPr>
      <w:r>
        <w:t xml:space="preserve">Исследуем структуру пакета ICMP. Сначала в PDU есть только заголовки IP, можно увидеть адрес отправителя и получателя, и ICMP. В заголовке ICMP содержится информация о типе сообщения, коде дополнительной диагностической информации, контрольная сумма сообщения, его индентификатор и порядковый номер. Эти заголовоки не меняются при передаче пакета. Теперь рассмотрим заголовок Ethernet, в нем указаны MAC-адреса устройств между которыми на данном шаге пакет отпрваляется.</w:t>
      </w:r>
    </w:p>
    <w:bookmarkStart w:id="43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Стандарт IEEE 802.1Q определяет протокол виртуального LAN (VLAN), который позволяет разделять сеть на логические сегменты. Он добавляет теги в кадры Ethernet для идентификации VLAN, обеспечивая изоляцию и безопасность сети.</w:t>
      </w:r>
    </w:p>
    <w:p>
      <w:pPr>
        <w:numPr>
          <w:ilvl w:val="0"/>
          <w:numId w:val="1003"/>
        </w:numPr>
        <w:pStyle w:val="Compact"/>
      </w:pPr>
      <w:r>
        <w:t xml:space="preserve">Опишите формат кадра IEEE 802.1Q.</w:t>
      </w:r>
    </w:p>
    <w:p>
      <w:pPr>
        <w:pStyle w:val="FirstParagraph"/>
      </w:pPr>
      <w:r>
        <w:t xml:space="preserve">Формат кадра IEEE 802.1Q включает в себя дополнительный тег Ethernet, состоящий из 32-битового заголовка, включая информацию о VLAN ID и приоритете. Формат выглядит так: Преамбула - Назначение - MAC-адрес отправителя - MAC-адрес получателя - Тип данных - Тег IEEE 802.1Q - Данные - Контрольная сумма.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получили основные навыки по настройке статической марщрутизации VLAN в сети.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Демидова Екатерина Алексеевна</dc:creator>
  <dc:language>ru-RU</dc:language>
  <cp:keywords/>
  <dcterms:created xsi:type="dcterms:W3CDTF">2024-03-16T16:47:34Z</dcterms:created>
  <dcterms:modified xsi:type="dcterms:W3CDTF">2024-03-16T16:47:34Z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Статическая маршрутизация VLAN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