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Учёт</w:t>
      </w:r>
      <w:r>
        <w:t xml:space="preserve"> </w:t>
      </w:r>
      <w:r>
        <w:t xml:space="preserve">физических</w:t>
      </w:r>
      <w:r>
        <w:t xml:space="preserve"> </w:t>
      </w:r>
      <w:r>
        <w:t xml:space="preserve">параметров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 msk-donskaya-eademidova-sw-1 и msk-pavlovskaya-eademidova-sw-1 на соединение, учитывающее физические параметры сети, а именно — расстояние между двумя территориями.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прошлой лабораторной работы(рис. [??]).</w:t>
      </w:r>
    </w:p>
    <w:p>
      <w:pPr>
        <w:pStyle w:val="CaptionedFigure"/>
      </w:pPr>
      <w:r>
        <w:drawing>
          <wp:inline>
            <wp:extent cx="4800600" cy="3347858"/>
            <wp:effectExtent b="0" l="0" r="0" t="0"/>
            <wp:docPr descr="Схема сети без учёта физических параметров сети в логической рабочей области Packet Trace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без учёта физических параметров сети в логической рабочей области Packet Tracer</w:t>
      </w:r>
    </w:p>
    <w:p>
      <w:pPr>
        <w:pStyle w:val="BodyText"/>
      </w:pPr>
      <w:r>
        <w:t xml:space="preserve">Перейдем в физическую рабочую область Packet Tracer. Присвоим название городу – Moscow(рис. [??]).</w:t>
      </w:r>
    </w:p>
    <w:p>
      <w:pPr>
        <w:pStyle w:val="CaptionedFigure"/>
      </w:pPr>
      <w:r>
        <w:drawing>
          <wp:inline>
            <wp:extent cx="4800600" cy="3034982"/>
            <wp:effectExtent b="0" l="0" r="0" t="0"/>
            <wp:docPr descr="Физическая рабочая область Packet Tracer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3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Физическая рабочая область Packet Tracer</w:t>
      </w:r>
    </w:p>
    <w:p>
      <w:pPr>
        <w:pStyle w:val="BodyText"/>
      </w:pPr>
      <w:r>
        <w:t xml:space="preserve">Щёлкнув на изображении города, увидим изображение здания. Присвоим ему название Donskaya. Добавим здание для территории Pavlovskaya(рис. [??]).</w:t>
      </w:r>
    </w:p>
    <w:p>
      <w:pPr>
        <w:pStyle w:val="CaptionedFigure"/>
      </w:pPr>
      <w:r>
        <w:drawing>
          <wp:inline>
            <wp:extent cx="4800600" cy="3034982"/>
            <wp:effectExtent b="0" l="0" r="0" t="0"/>
            <wp:docPr descr="Изображение здания в физической рабочей области Packet Tracer (сеть территории «Донская»)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3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здания в физической рабочей области Packet Tracer (сеть территории «Донская»)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него(рис. [??]).</w:t>
      </w:r>
    </w:p>
    <w:p>
      <w:pPr>
        <w:pStyle w:val="CaptionedFigure"/>
      </w:pPr>
      <w:r>
        <w:drawing>
          <wp:inline>
            <wp:extent cx="4800600" cy="4299122"/>
            <wp:effectExtent b="0" l="0" r="0" t="0"/>
            <wp:docPr descr="Пример размещения в физической рабочей области Packet Tracer серверной с подключением оконечных устройств (сеть территории «Донская»)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9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размещения в физической рабочей области Packet Tracer серверной с подключением оконечных устройств (сеть территории «Донская»)</w:t>
      </w:r>
    </w:p>
    <w:p>
      <w:pPr>
        <w:pStyle w:val="BodyText"/>
      </w:pPr>
      <w:r>
        <w:t xml:space="preserve">Щёлкнув на изображении серверной, посмотрим отображение серверных стоек(рис. [??]).</w:t>
      </w:r>
    </w:p>
    <w:p>
      <w:pPr>
        <w:pStyle w:val="CaptionedFigure"/>
      </w:pPr>
      <w:r>
        <w:drawing>
          <wp:inline>
            <wp:extent cx="4800600" cy="3249154"/>
            <wp:effectExtent b="0" l="0" r="0" t="0"/>
            <wp:docPr descr="Отображение серверных стоек в Packet Tracer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серверных стоек в Packet Tracer</w:t>
      </w:r>
    </w:p>
    <w:p>
      <w:pPr>
        <w:pStyle w:val="BodyText"/>
      </w:pPr>
      <w:r>
        <w:t xml:space="preserve">Переместим коммутатор msk-pavlovskaya-eademidova-sw-1 и два оконечных устройства dk-pavlovskaya-eademidova-1 и other-pavlovskaya-eademidova-1 на территорию Pavlovskaya, используя меню Move физической рабочей области Packet Tracer(рис. [??]).</w:t>
      </w:r>
    </w:p>
    <w:p>
      <w:pPr>
        <w:pStyle w:val="CaptionedFigure"/>
      </w:pPr>
      <w:r>
        <w:drawing>
          <wp:inline>
            <wp:extent cx="4800600" cy="3249154"/>
            <wp:effectExtent b="0" l="0" r="0" t="0"/>
            <wp:docPr descr="Перемещение устройств на территорию Pavlovskaya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устройств на территорию Pavlovskaya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msk-donskaya-eademidova-sw-1 коммутатор msk-pavlovskaya-eademidova-sw-1. Убедимся, что соединение работоспособно(рис. [??]).</w:t>
      </w:r>
    </w:p>
    <w:p>
      <w:pPr>
        <w:pStyle w:val="CaptionedFigure"/>
      </w:pPr>
      <w:r>
        <w:drawing>
          <wp:inline>
            <wp:extent cx="4800600" cy="2400300"/>
            <wp:effectExtent b="0" l="0" r="0" t="0"/>
            <wp:docPr descr="Проверка работоспособности соединения между msk-donskaya-eademidova-sw-1 и msk-pavlovskaya-eademidova-sw-1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 между msk-donskaya-eademidova-sw-1 и msk-pavlovskaya-eademidova-sw-1</w:t>
      </w:r>
    </w:p>
    <w:p>
      <w:pPr>
        <w:pStyle w:val="BodyText"/>
      </w:pPr>
      <w:r>
        <w:t xml:space="preserve">В меню Options, Preferences во вкладке Interface активируем разрешение на учёт физических характеристик среды передачи (Enable Cable Length Effects)(рис. [??]).</w:t>
      </w:r>
    </w:p>
    <w:p>
      <w:pPr>
        <w:pStyle w:val="CaptionedFigure"/>
      </w:pPr>
      <w:r>
        <w:drawing>
          <wp:inline>
            <wp:extent cx="4800600" cy="2209956"/>
            <wp:effectExtent b="0" l="0" r="0" t="0"/>
            <wp:docPr descr="Активация разрешения на учёт физических характеристик среды передачи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разрешения на учёт физических характеристик среды передачи</w:t>
      </w:r>
    </w:p>
    <w:p>
      <w:pPr>
        <w:pStyle w:val="BodyText"/>
      </w:pPr>
      <w:r>
        <w:t xml:space="preserve">В физической рабочей области Packet Tracer разместим две территории на расстоянии около 1000 м друг от друга(рис. [??]).</w:t>
      </w:r>
    </w:p>
    <w:p>
      <w:pPr>
        <w:pStyle w:val="CaptionedFigure"/>
      </w:pPr>
      <w:r>
        <w:drawing>
          <wp:inline>
            <wp:extent cx="4800600" cy="4536773"/>
            <wp:effectExtent b="0" l="0" r="0" t="0"/>
            <wp:docPr descr="Размешение территорий на расстоянии около 1000 м друг от друг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Размешение территорий на расстоянии около 1000 м друг от друга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msk-donskaya-eademidova-sw-1 коммутатор msk-pavlovskaya-sw-1. Убедимся, что соединение не работает(рис. [??]).</w:t>
      </w:r>
    </w:p>
    <w:p>
      <w:pPr>
        <w:pStyle w:val="CaptionedFigure"/>
      </w:pPr>
      <w:r>
        <w:drawing>
          <wp:inline>
            <wp:extent cx="4800600" cy="1794092"/>
            <wp:effectExtent b="0" l="0" r="0" t="0"/>
            <wp:docPr descr="Проверка неработоспособности соединения между msk-donskaya-eademidova-sw-1 и msk-pavlovskaya-eademidova-sw-1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неработоспособности соединения между msk-donskaya-eademidova-sw-1 и msk-pavlovskaya-eademidova-sw-1</w:t>
      </w:r>
    </w:p>
    <w:p>
      <w:pPr>
        <w:pStyle w:val="BodyText"/>
      </w:pPr>
      <w:r>
        <w:t xml:space="preserve">Удалим соединение между msk-donskaya-sw-1 и msk-pavlovskaya-sw-1. Добавим в логическую рабочую область два повторителя (Repeater-PT). Присвоим им соответствующие названия msk-donskaya-eademidova-mc-1 и msk-pavlovskaya-eademidova-mc-1. Заменим имеющиеся модули на PT-REPEATER-NM-1FFE и PT-REPEATER-NM-1CFE для подключения оптоволокна и витой пары по технологии Fast Ethernet(рис. [??]).</w:t>
      </w:r>
    </w:p>
    <w:p>
      <w:pPr>
        <w:pStyle w:val="CaptionedFigure"/>
      </w:pPr>
      <w:r>
        <w:drawing>
          <wp:inline>
            <wp:extent cx="4800600" cy="1794092"/>
            <wp:effectExtent b="0" l="0" r="0" t="0"/>
            <wp:docPr descr="Замена модулей на репиторах для подключения оптоволокна и витой пары по технологии Fast Ethernet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модулей на репиторах для подключения оптоволокна и витой пары по технологии Fast Ethernet</w:t>
      </w:r>
    </w:p>
    <w:p>
      <w:pPr>
        <w:pStyle w:val="BodyText"/>
      </w:pPr>
      <w:r>
        <w:t xml:space="preserve">Переместим msk-pavlovskaya-mc-1 на территорию Pavlovskaya (в физичекой рабочей области Packet Tracer).</w:t>
      </w:r>
    </w:p>
    <w:p>
      <w:pPr>
        <w:pStyle w:val="BodyText"/>
      </w:pPr>
      <w:r>
        <w:t xml:space="preserve">Подключим коммутатор msk-donskaya-eademidova-sw-1 к msk-donskaya-eademidova-mc-1 по витой паре, msk-donskaya-eademidova-mc-1 и msk-pavlovskaya-eademidova-mc-1 – по оптоволокну, msk-pavlovskaya-eademidova-sw-1 к msk-pavlovskaya-eademidova-mc-1 – по витой паре(рис. [??]).</w:t>
      </w:r>
    </w:p>
    <w:p>
      <w:pPr>
        <w:pStyle w:val="CaptionedFigure"/>
      </w:pPr>
      <w:r>
        <w:drawing>
          <wp:inline>
            <wp:extent cx="4800600" cy="3577955"/>
            <wp:effectExtent b="0" l="0" r="0" t="0"/>
            <wp:docPr descr="Схема сети c учётом физических параметров сети в логической рабочей области Packet Tracer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7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c учётом физических параметров сети в логической рабочей области Packet Tracer</w:t>
      </w:r>
    </w:p>
    <w:p>
      <w:pPr>
        <w:pStyle w:val="BodyText"/>
      </w:pPr>
      <w:r>
        <w:t xml:space="preserve">Также ынесйм соответсвующие изменения в таблицу портов из третьей лабораторной работы(табл. [</w:t>
      </w:r>
      <w:hyperlink w:anchor="tbl:fiz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tbl:fiz"/>
    <w:bookmarkStart w:id="58" w:name="tbl:fiz"/>
    <w:p>
      <w:pPr>
        <w:pStyle w:val="TableCaption"/>
      </w:pPr>
      <w:r>
        <w:t xml:space="preserve">Table 1: Таблица портов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Таблица портов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bookmarkEnd w:id="58"/>
    <w:bookmarkEnd w:id="0"/>
    <w:p>
      <w:pPr>
        <w:pStyle w:val="BodyText"/>
      </w:pPr>
      <w:r>
        <w:t xml:space="preserve">Убедимся в работоспособности соединения междуmsk-donskaya-eademidova-sw-1 и msk-pavlovskaya-eademidova-sw-1(рис. [??]).</w:t>
      </w:r>
    </w:p>
    <w:p>
      <w:pPr>
        <w:pStyle w:val="CaptionedFigure"/>
      </w:pPr>
      <w:r>
        <w:drawing>
          <wp:inline>
            <wp:extent cx="4800600" cy="1982856"/>
            <wp:effectExtent b="0" l="0" r="0" t="0"/>
            <wp:docPr descr="Проверка работоспособности соединения между msk-donskaya-eademidova-sw-1 и msk-pavlovskaya-eademidova-sw-1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 между msk-donskaya-eademidova-sw-1 и msk-pavlovskaya-eademidova-sw-1</w:t>
      </w:r>
    </w:p>
    <w:bookmarkStart w:id="62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Перечислите возможные среды передачи данных. На какие характеристики</w:t>
      </w:r>
      <w:r>
        <w:t xml:space="preserve"> </w:t>
      </w:r>
      <w:r>
        <w:t xml:space="preserve">среды передачи данных следует обращать внимание при планировании</w:t>
      </w:r>
      <w:r>
        <w:t xml:space="preserve"> </w:t>
      </w:r>
      <w:r>
        <w:t xml:space="preserve">сети?</w:t>
      </w:r>
    </w:p>
    <w:p>
      <w:pPr>
        <w:numPr>
          <w:ilvl w:val="0"/>
          <w:numId w:val="1001"/>
        </w:numPr>
      </w:pPr>
      <w:r>
        <w:t xml:space="preserve">Перечислите категории витой пары. Чем они отличаются? Какая категория</w:t>
      </w:r>
      <w:r>
        <w:t xml:space="preserve"> </w:t>
      </w:r>
      <w:r>
        <w:t xml:space="preserve">в каких условиях может применяться?</w:t>
      </w:r>
    </w:p>
    <w:p>
      <w:pPr>
        <w:numPr>
          <w:ilvl w:val="0"/>
          <w:numId w:val="1001"/>
        </w:numPr>
      </w:pPr>
      <w:r>
        <w:t xml:space="preserve">В чем отличие одномодового и многомодового оптоволокна? Какой тип</w:t>
      </w:r>
      <w:r>
        <w:t xml:space="preserve"> </w:t>
      </w:r>
      <w:r>
        <w:t xml:space="preserve">кабеля в каких условиях может применяться?</w:t>
      </w:r>
    </w:p>
    <w:p>
      <w:pPr>
        <w:numPr>
          <w:ilvl w:val="0"/>
          <w:numId w:val="1001"/>
        </w:numPr>
      </w:pPr>
      <w:r>
        <w:t xml:space="preserve">Какие разъёмы встречаются на патчах оптоволокна? Чем они отличаются?</w:t>
      </w:r>
    </w:p>
    <w:p>
      <w:pPr>
        <w:numPr>
          <w:ilvl w:val="0"/>
          <w:numId w:val="1001"/>
        </w:numPr>
      </w:pPr>
      <w:r>
        <w:t xml:space="preserve">Среды передачи данных: проводная (витая пара, коаксиальный кабель, оптоволокно), беспроводная (Wi-Fi, Bluetooth, сотовая связь). При планировании сети следует обращать внимание на пропускную способность каналов передачи данных, задержку (латентность), надежность соединения, уровень шума и помех, а также возможность интерференции сигналов.</w:t>
      </w:r>
    </w:p>
    <w:p>
      <w:pPr>
        <w:numPr>
          <w:ilvl w:val="0"/>
          <w:numId w:val="1001"/>
        </w:numPr>
      </w:pPr>
      <w:r>
        <w:t xml:space="preserve">Категории витой пары: Cat5, Cat6, Cat6a, Cat7. Они отличаются пропускной способностью и дальностью передачи. Cat5 подходит для домашних сетей, Cat6 для офисов, Cat6a и Cat7 для высокоскоростных сетей.</w:t>
      </w:r>
    </w:p>
    <w:p>
      <w:pPr>
        <w:numPr>
          <w:ilvl w:val="0"/>
          <w:numId w:val="1001"/>
        </w:numPr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numPr>
          <w:ilvl w:val="0"/>
          <w:numId w:val="1001"/>
        </w:numPr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получили навыки работы с физической рабочей областью Packet Tracer, а также учесть физические параметры сети.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Демидова Екатерина Алексеевна</dc:creator>
  <dc:language>ru-RU</dc:language>
  <cp:keywords/>
  <dcterms:created xsi:type="dcterms:W3CDTF">2024-03-27T15:11:26Z</dcterms:created>
  <dcterms:modified xsi:type="dcterms:W3CDTF">2024-03-27T15:11:26Z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Учёт физических параметров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