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after="480"/>
        <w:jc w:val="center"/>
      </w:pPr>
      <w:r>
        <w:rPr>
          <w:b/>
          <w:bCs/>
          <w:sz w:val="56"/>
          <w:szCs w:val="56"/>
        </w:rPr>
        <w:t xml:space="preserve">Bahia &amp; Beans Kitchen</w:t>
      </w:r>
    </w:p>
    <w:p>
      <w:pPr>
        <w:spacing w:after="480"/>
        <w:jc w:val="center"/>
      </w:pPr>
      <w:r>
        <w:rPr>
          <w:sz w:val="36"/>
          <w:szCs w:val="36"/>
        </w:rPr>
        <w:t xml:space="preserve">Business Plan</w:t>
      </w:r>
    </w:p>
    <w:p>
      <w:pPr>
        <w:spacing w:after="240"/>
        <w:jc w:val="center"/>
      </w:pPr>
      <w:r>
        <w:rPr>
          <w:i/>
          <w:iCs/>
          <w:sz w:val="24"/>
          <w:szCs w:val="24"/>
        </w:rPr>
        <w:t xml:space="preserve">Prepared for Sample Immigration Law</w:t>
      </w:r>
    </w:p>
    <w:p>
      <w:pPr>
        <w:spacing w:after="240"/>
        <w:jc w:val="center"/>
      </w:pPr>
      <w:r>
        <w:rPr>
          <w:sz w:val="22"/>
          <w:szCs w:val="22"/>
        </w:rPr>
        <w:t xml:space="preserve">2026-05-10</w:t>
      </w:r>
    </w:p>
    <w:p>
      <w:r>
        <w:br w:type="page"/>
      </w:r>
    </w:p>
    <w:p>
      <w:pPr>
        <w:pStyle w:val="Heading1"/>
        <w:pageBreakBefore/>
        <w:spacing w:after="180" w:before="480"/>
      </w:pPr>
      <w:r>
        <w:rPr>
          <w:sz w:val="32"/>
          <w:szCs w:val="32"/>
        </w:rPr>
        <w:t xml:space="preserve">Adjudicator Summary</w:t>
      </w:r>
    </w:p>
    <w:p>
      <w:pPr>
        <w:spacing w:after="160" w:line="320"/>
      </w:pPr>
      <w:r>
        <w:rPr>
          <w:sz w:val="22"/>
          <w:szCs w:val="22"/>
        </w:rPr>
        <w:t xml:space="preserve">This business plan is submitted in support of Marcos Almeida's E-2 Treaty Investor visa petition. The plan is structured to address the criteria USCIS adjudicators apply when evaluating E-2 cases under I-129 (Form I-129E supplement) and the controlling regulatory framework at 8 CFR 214.2(e) and USCIS Policy Manual Vol. 6, Pt. G.</w:t>
      </w:r>
    </w:p>
    <w:p>
      <w:pPr>
        <w:pStyle w:val="Heading2"/>
        <w:spacing w:after="180" w:before="360"/>
      </w:pPr>
      <w:r>
        <w:rPr>
          <w:sz w:val="26"/>
          <w:szCs w:val="26"/>
        </w:rPr>
        <w:t xml:space="preserve">How this plan satisfies adjudication criteria</w:t>
      </w:r>
    </w:p>
    <w:p>
      <w:pPr>
        <w:spacing w:after="160" w:line="320"/>
      </w:pPr>
      <w:r>
        <w:rPr>
          <w:sz w:val="22"/>
          <w:szCs w:val="22"/>
        </w:rPr>
        <w:t xml:space="preserve">The following table maps each USCIS adjudication criterion to the plan section that addresses it. Adjudicators reviewing this petition will find the supporting analysis and documentation for each criterion in the section indicated.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sz w:val="20"/>
                <w:szCs w:val="20"/>
              </w:rPr>
              <w:t xml:space="preserve">USCIS criterion</w:t>
            </w:r>
          </w:p>
        </w:tc>
        <w:tc>
          <w:tcPr>
            <w:tcW w:type="pct" w:w="50%"/>
          </w:tcPr>
          <w:p>
            <w:r>
              <w:rPr>
                <w:b/>
                <w:bCs/>
                <w:sz w:val="20"/>
                <w:szCs w:val="20"/>
              </w:rPr>
              <w:t xml:space="preserve">Plan section addressing it</w:t>
            </w:r>
          </w:p>
        </w:tc>
      </w:tr>
      <w:tr>
        <w:tc>
          <w:tcPr>
            <w:tcW w:type="pct" w:w="50%"/>
          </w:tcPr>
          <w:p>
            <w:r>
              <w:rPr>
                <w:sz w:val="20"/>
                <w:szCs w:val="20"/>
              </w:rPr>
              <w:t xml:space="preserve">Treaty country and nationality</w:t>
            </w:r>
          </w:p>
        </w:tc>
        <w:tc>
          <w:tcPr>
            <w:tcW w:type="pct" w:w="50%"/>
          </w:tcPr>
          <w:p>
            <w:r>
              <w:rPr>
                <w:sz w:val="20"/>
                <w:szCs w:val="20"/>
              </w:rPr>
              <w:t xml:space="preserve">Section 4.1</w:t>
            </w:r>
          </w:p>
        </w:tc>
      </w:tr>
      <w:tr>
        <w:tc>
          <w:tcPr>
            <w:tcW w:type="pct" w:w="50%"/>
          </w:tcPr>
          <w:p>
            <w:r>
              <w:rPr>
                <w:sz w:val="20"/>
                <w:szCs w:val="20"/>
              </w:rPr>
              <w:t xml:space="preserve">Substantial investment (sliding scale)</w:t>
            </w:r>
          </w:p>
        </w:tc>
        <w:tc>
          <w:tcPr>
            <w:tcW w:type="pct" w:w="50%"/>
          </w:tcPr>
          <w:p>
            <w:r>
              <w:rPr>
                <w:sz w:val="20"/>
                <w:szCs w:val="20"/>
              </w:rPr>
              <w:t xml:space="preserve">Section 4.2</w:t>
            </w:r>
          </w:p>
        </w:tc>
      </w:tr>
      <w:tr>
        <w:tc>
          <w:tcPr>
            <w:tcW w:type="pct" w:w="50%"/>
          </w:tcPr>
          <w:p>
            <w:r>
              <w:rPr>
                <w:sz w:val="20"/>
                <w:szCs w:val="20"/>
              </w:rPr>
              <w:t xml:space="preserve">At-risk and irrevocably committed</w:t>
            </w:r>
          </w:p>
        </w:tc>
        <w:tc>
          <w:tcPr>
            <w:tcW w:type="pct" w:w="50%"/>
          </w:tcPr>
          <w:p>
            <w:r>
              <w:rPr>
                <w:sz w:val="20"/>
                <w:szCs w:val="20"/>
              </w:rPr>
              <w:t xml:space="preserve">Section 4.3</w:t>
            </w:r>
          </w:p>
        </w:tc>
      </w:tr>
      <w:tr>
        <w:tc>
          <w:tcPr>
            <w:tcW w:type="pct" w:w="50%"/>
          </w:tcPr>
          <w:p>
            <w:r>
              <w:rPr>
                <w:sz w:val="20"/>
                <w:szCs w:val="20"/>
              </w:rPr>
              <w:t xml:space="preserve">Real and active enterprise</w:t>
            </w:r>
          </w:p>
        </w:tc>
        <w:tc>
          <w:tcPr>
            <w:tcW w:type="pct" w:w="50%"/>
          </w:tcPr>
          <w:p>
            <w:r>
              <w:rPr>
                <w:sz w:val="20"/>
                <w:szCs w:val="20"/>
              </w:rPr>
              <w:t xml:space="preserve">Sections 4.4 and 9</w:t>
            </w:r>
          </w:p>
        </w:tc>
      </w:tr>
      <w:tr>
        <w:tc>
          <w:tcPr>
            <w:tcW w:type="pct" w:w="50%"/>
          </w:tcPr>
          <w:p>
            <w:r>
              <w:rPr>
                <w:sz w:val="20"/>
                <w:szCs w:val="20"/>
              </w:rPr>
              <w:t xml:space="preserve">Marginality test</w:t>
            </w:r>
          </w:p>
        </w:tc>
        <w:tc>
          <w:tcPr>
            <w:tcW w:type="pct" w:w="50%"/>
          </w:tcPr>
          <w:p>
            <w:r>
              <w:rPr>
                <w:sz w:val="20"/>
                <w:szCs w:val="20"/>
              </w:rPr>
              <w:t xml:space="preserve">Sections 4.5 and 7</w:t>
            </w:r>
          </w:p>
        </w:tc>
      </w:tr>
      <w:tr>
        <w:tc>
          <w:tcPr>
            <w:tcW w:type="pct" w:w="50%"/>
          </w:tcPr>
          <w:p>
            <w:r>
              <w:rPr>
                <w:sz w:val="20"/>
                <w:szCs w:val="20"/>
              </w:rPr>
              <w:t xml:space="preserve">Develop and direct (50%+ ownership/control)</w:t>
            </w:r>
          </w:p>
        </w:tc>
        <w:tc>
          <w:tcPr>
            <w:tcW w:type="pct" w:w="50%"/>
          </w:tcPr>
          <w:p>
            <w:r>
              <w:rPr>
                <w:sz w:val="20"/>
                <w:szCs w:val="20"/>
              </w:rPr>
              <w:t xml:space="preserve">Section 4.6</w:t>
            </w:r>
          </w:p>
        </w:tc>
      </w:tr>
    </w:tbl>
    <w:p>
      <w:pPr>
        <w:pStyle w:val="Heading2"/>
        <w:spacing w:after="180" w:before="360"/>
      </w:pPr>
      <w:r>
        <w:rPr>
          <w:sz w:val="26"/>
          <w:szCs w:val="26"/>
        </w:rPr>
        <w:t xml:space="preserve">Investor and enterprise summary</w:t>
      </w:r>
    </w:p>
    <w:p>
      <w:pPr>
        <w:pStyle w:val="ListParagraph"/>
        <w:numPr>
          <w:ilvl w:val="0"/>
          <w:numId w:val="1"/>
        </w:numPr>
        <w:spacing w:after="80" w:line="300"/>
      </w:pPr>
      <w:r>
        <w:rPr>
          <w:b/>
          <w:bCs/>
          <w:sz w:val="22"/>
          <w:szCs w:val="22"/>
        </w:rPr>
        <w:t xml:space="preserve">Investor:</w:t>
      </w:r>
      <w:r>
        <w:rPr>
          <w:sz w:val="22"/>
          <w:szCs w:val="22"/>
        </w:rPr>
        <w:t xml:space="preserve"> Marcos Almeida, citizen of Brazil</w:t>
      </w:r>
    </w:p>
    <w:p>
      <w:pPr>
        <w:pStyle w:val="ListParagraph"/>
        <w:numPr>
          <w:ilvl w:val="0"/>
          <w:numId w:val="1"/>
        </w:numPr>
        <w:spacing w:after="80" w:line="300"/>
      </w:pPr>
      <w:r>
        <w:rPr>
          <w:b/>
          <w:bCs/>
          <w:sz w:val="22"/>
          <w:szCs w:val="22"/>
        </w:rPr>
        <w:t xml:space="preserve">Enterprise:</w:t>
      </w:r>
      <w:r>
        <w:rPr>
          <w:sz w:val="22"/>
          <w:szCs w:val="22"/>
        </w:rPr>
        <w:t xml:space="preserve"> Bahia &amp; Beans Kitchen</w:t>
      </w:r>
    </w:p>
    <w:p>
      <w:pPr>
        <w:pStyle w:val="ListParagraph"/>
        <w:numPr>
          <w:ilvl w:val="0"/>
          <w:numId w:val="1"/>
        </w:numPr>
        <w:spacing w:after="80" w:line="300"/>
      </w:pPr>
      <w:r>
        <w:rPr>
          <w:b/>
          <w:bCs/>
          <w:sz w:val="22"/>
          <w:szCs w:val="22"/>
        </w:rPr>
        <w:t xml:space="preserve">Industry:</w:t>
      </w:r>
      <w:r>
        <w:rPr>
          <w:sz w:val="22"/>
          <w:szCs w:val="22"/>
        </w:rPr>
        <w:t xml:space="preserve"> Restaurant - Quick-Casual</w:t>
      </w:r>
    </w:p>
    <w:p>
      <w:pPr>
        <w:pStyle w:val="ListParagraph"/>
        <w:numPr>
          <w:ilvl w:val="0"/>
          <w:numId w:val="1"/>
        </w:numPr>
        <w:spacing w:after="80" w:line="300"/>
      </w:pPr>
      <w:r>
        <w:rPr>
          <w:b/>
          <w:bCs/>
          <w:sz w:val="22"/>
          <w:szCs w:val="22"/>
        </w:rPr>
        <w:t xml:space="preserve">US location:</w:t>
      </w:r>
      <w:r>
        <w:rPr>
          <w:sz w:val="22"/>
          <w:szCs w:val="22"/>
        </w:rPr>
        <w:t xml:space="preserve"> Miami, FL</w:t>
      </w:r>
    </w:p>
    <w:p>
      <w:pPr>
        <w:pStyle w:val="ListParagraph"/>
        <w:numPr>
          <w:ilvl w:val="0"/>
          <w:numId w:val="1"/>
        </w:numPr>
        <w:spacing w:after="80" w:line="300"/>
      </w:pPr>
      <w:r>
        <w:rPr>
          <w:b/>
          <w:bCs/>
          <w:sz w:val="22"/>
          <w:szCs w:val="22"/>
        </w:rPr>
        <w:t xml:space="preserve">Total invested capital:</w:t>
      </w:r>
      <w:r>
        <w:rPr>
          <w:sz w:val="22"/>
          <w:szCs w:val="22"/>
        </w:rPr>
        <w:t xml:space="preserve"> $200,000</w:t>
      </w:r>
    </w:p>
    <w:p>
      <w:pPr>
        <w:pStyle w:val="ListParagraph"/>
        <w:numPr>
          <w:ilvl w:val="0"/>
          <w:numId w:val="1"/>
        </w:numPr>
        <w:spacing w:after="80" w:line="300"/>
      </w:pPr>
      <w:r>
        <w:rPr>
          <w:b/>
          <w:bCs/>
          <w:sz w:val="22"/>
          <w:szCs w:val="22"/>
        </w:rPr>
        <w:t xml:space="preserve">Capital deployment timeline:</w:t>
      </w:r>
      <w:r>
        <w:rPr>
          <w:sz w:val="22"/>
          <w:szCs w:val="22"/>
        </w:rPr>
        <w:t xml:space="preserve"> $142,000 deployed as of 2026-03-15, balance committed per capital allocation table</w:t>
      </w:r>
    </w:p>
    <w:p>
      <w:pPr>
        <w:pStyle w:val="ListParagraph"/>
        <w:numPr>
          <w:ilvl w:val="0"/>
          <w:numId w:val="1"/>
        </w:numPr>
        <w:spacing w:after="80" w:line="300"/>
      </w:pPr>
      <w:r>
        <w:rPr>
          <w:b/>
          <w:bCs/>
          <w:sz w:val="22"/>
          <w:szCs w:val="22"/>
        </w:rPr>
        <w:t xml:space="preserve">Year-1 US employment:</w:t>
      </w:r>
      <w:r>
        <w:rPr>
          <w:sz w:val="22"/>
          <w:szCs w:val="22"/>
        </w:rPr>
        <w:t xml:space="preserve"> {{year1</w:t>
      </w:r>
      <w:r>
        <w:rPr>
          <w:i/>
          <w:iCs/>
          <w:sz w:val="22"/>
          <w:szCs w:val="22"/>
        </w:rPr>
        <w:t xml:space="preserve">us</w:t>
      </w:r>
      <w:r>
        <w:rPr>
          <w:sz w:val="22"/>
          <w:szCs w:val="22"/>
        </w:rPr>
        <w:t xml:space="preserve">hires}} direct hires</w:t>
      </w:r>
    </w:p>
    <w:p>
      <w:pPr>
        <w:pStyle w:val="ListParagraph"/>
        <w:numPr>
          <w:ilvl w:val="0"/>
          <w:numId w:val="1"/>
        </w:numPr>
        <w:spacing w:after="80" w:line="300"/>
      </w:pPr>
      <w:r>
        <w:rPr>
          <w:b/>
          <w:bCs/>
          <w:sz w:val="22"/>
          <w:szCs w:val="22"/>
        </w:rPr>
        <w:t xml:space="preserve">Five-year US employment:</w:t>
      </w:r>
      <w:r>
        <w:rPr>
          <w:sz w:val="22"/>
          <w:szCs w:val="22"/>
        </w:rPr>
        <w:t xml:space="preserve"> {{year5</w:t>
      </w:r>
      <w:r>
        <w:rPr>
          <w:i/>
          <w:iCs/>
          <w:sz w:val="22"/>
          <w:szCs w:val="22"/>
        </w:rPr>
        <w:t xml:space="preserve">us</w:t>
      </w:r>
      <w:r>
        <w:rPr>
          <w:sz w:val="22"/>
          <w:szCs w:val="22"/>
        </w:rPr>
        <w:t xml:space="preserve">hires}} direct hires (cumulative)</w:t>
      </w:r>
    </w:p>
    <w:p>
      <w:pPr>
        <w:pStyle w:val="Heading2"/>
        <w:spacing w:after="180" w:before="360"/>
      </w:pPr>
      <w:r>
        <w:rPr>
          <w:sz w:val="26"/>
          <w:szCs w:val="26"/>
        </w:rPr>
        <w:t xml:space="preserve">Petitioner narrative</w:t>
      </w:r>
    </w:p>
    <w:p>
      <w:pPr>
        <w:spacing w:after="160" w:line="320"/>
      </w:pPr>
      <w:r>
        <w:rPr>
          <w:sz w:val="22"/>
          <w:szCs w:val="22"/>
        </w:rPr>
        <w:t xml:space="preserve">Marcos Almeida brings Direct P&amp;L responsibility for restaurant ventures generating combined revenue of approximately R$8.5M (USD ~$1.7M) in the most recent full year. Hired and managed teams ranging from 12 to 38 employees. Negotiated leases, supplier contracts, and vendor relationships. Profitable operation in all three units in years 2 through 5. to Bahia &amp; Beans Kitchen. The plan demonstrates that the petitioner will develop and direct the enterprise, that the investment is substantial relative to enterprise cost, and that the enterprise is non-marginal under the criteria mapped above.</w:t>
      </w:r>
    </w:p>
    <w:p>
      <w:pPr>
        <w:pStyle w:val="Heading2"/>
        <w:spacing w:after="180" w:before="360"/>
      </w:pPr>
      <w:r>
        <w:rPr>
          <w:sz w:val="26"/>
          <w:szCs w:val="26"/>
        </w:rPr>
        <w:t xml:space="preserve">Document organization</w:t>
      </w:r>
    </w:p>
    <w:p>
      <w:pPr>
        <w:spacing w:after="160" w:line="320"/>
      </w:pPr>
      <w:r>
        <w:rPr>
          <w:sz w:val="22"/>
          <w:szCs w:val="22"/>
        </w:rPr>
        <w:t xml:space="preserve">This plan is organized into the following sections, presented in the order most useful for adjudicator review:</w:t>
      </w:r>
    </w:p>
    <w:p>
      <w:pPr>
        <w:spacing w:after="80" w:line="300"/>
        <w:ind w:left="360"/>
      </w:pPr>
      <w:r>
        <w:rPr>
          <w:b/>
          <w:bCs/>
          <w:sz w:val="22"/>
          <w:szCs w:val="22"/>
        </w:rPr>
        <w:t xml:space="preserve">1. </w:t>
      </w:r>
      <w:r>
        <w:rPr>
          <w:sz w:val="22"/>
          <w:szCs w:val="22"/>
        </w:rPr>
        <w:t xml:space="preserve">Investor / Applicant Background</w:t>
      </w:r>
    </w:p>
    <w:p>
      <w:pPr>
        <w:spacing w:after="80" w:line="300"/>
        <w:ind w:left="360"/>
      </w:pPr>
      <w:r>
        <w:rPr>
          <w:b/>
          <w:bCs/>
          <w:sz w:val="22"/>
          <w:szCs w:val="22"/>
        </w:rPr>
        <w:t xml:space="preserve">2. </w:t>
      </w:r>
      <w:r>
        <w:rPr>
          <w:sz w:val="22"/>
          <w:szCs w:val="22"/>
        </w:rPr>
        <w:t xml:space="preserve">Source of Funds Narrative</w:t>
      </w:r>
    </w:p>
    <w:p>
      <w:pPr>
        <w:spacing w:after="80" w:line="300"/>
        <w:ind w:left="360"/>
      </w:pPr>
      <w:r>
        <w:rPr>
          <w:b/>
          <w:bCs/>
          <w:sz w:val="22"/>
          <w:szCs w:val="22"/>
        </w:rPr>
        <w:t xml:space="preserve">3. </w:t>
      </w:r>
      <w:r>
        <w:rPr>
          <w:sz w:val="22"/>
          <w:szCs w:val="22"/>
        </w:rPr>
        <w:t xml:space="preserve">E-2 Eligibility Section</w:t>
      </w:r>
    </w:p>
    <w:p>
      <w:pPr>
        <w:spacing w:after="80" w:line="300"/>
        <w:ind w:left="360"/>
      </w:pPr>
      <w:r>
        <w:rPr>
          <w:b/>
          <w:bCs/>
          <w:sz w:val="22"/>
          <w:szCs w:val="22"/>
        </w:rPr>
        <w:t xml:space="preserve">4. </w:t>
      </w:r>
      <w:r>
        <w:rPr>
          <w:sz w:val="22"/>
          <w:szCs w:val="22"/>
        </w:rPr>
        <w:t xml:space="preserve">Executive Summary of the Enterprise</w:t>
      </w:r>
    </w:p>
    <w:p>
      <w:pPr>
        <w:spacing w:after="80" w:line="300"/>
        <w:ind w:left="360"/>
      </w:pPr>
      <w:r>
        <w:rPr>
          <w:b/>
          <w:bCs/>
          <w:sz w:val="22"/>
          <w:szCs w:val="22"/>
        </w:rPr>
        <w:t xml:space="preserve">5. </w:t>
      </w:r>
      <w:r>
        <w:rPr>
          <w:sz w:val="22"/>
          <w:szCs w:val="22"/>
        </w:rPr>
        <w:t xml:space="preserve">Market Analysis and Competitor Landscape</w:t>
      </w:r>
    </w:p>
    <w:p>
      <w:pPr>
        <w:spacing w:after="80" w:line="300"/>
        <w:ind w:left="360"/>
      </w:pPr>
      <w:r>
        <w:rPr>
          <w:b/>
          <w:bCs/>
          <w:sz w:val="22"/>
          <w:szCs w:val="22"/>
        </w:rPr>
        <w:t xml:space="preserve">6. </w:t>
      </w:r>
      <w:r>
        <w:rPr>
          <w:sz w:val="22"/>
          <w:szCs w:val="22"/>
        </w:rPr>
        <w:t xml:space="preserve">Marketing Strategy</w:t>
      </w:r>
    </w:p>
    <w:p>
      <w:pPr>
        <w:spacing w:after="80" w:line="300"/>
        <w:ind w:left="360"/>
      </w:pPr>
      <w:r>
        <w:rPr>
          <w:b/>
          <w:bCs/>
          <w:sz w:val="22"/>
          <w:szCs w:val="22"/>
        </w:rPr>
        <w:t xml:space="preserve">7. </w:t>
      </w:r>
      <w:r>
        <w:rPr>
          <w:sz w:val="22"/>
          <w:szCs w:val="22"/>
        </w:rPr>
        <w:t xml:space="preserve">Expanded Financial Model (5-year)</w:t>
      </w:r>
    </w:p>
    <w:p>
      <w:pPr>
        <w:spacing w:after="80" w:line="300"/>
        <w:ind w:left="360"/>
      </w:pPr>
      <w:r>
        <w:rPr>
          <w:b/>
          <w:bCs/>
          <w:sz w:val="22"/>
          <w:szCs w:val="22"/>
        </w:rPr>
        <w:t xml:space="preserve">8. </w:t>
      </w:r>
      <w:r>
        <w:rPr>
          <w:sz w:val="22"/>
          <w:szCs w:val="22"/>
        </w:rPr>
        <w:t xml:space="preserve">US Hiring Plan and Job Creation</w:t>
      </w:r>
    </w:p>
    <w:p>
      <w:pPr>
        <w:spacing w:after="80" w:line="300"/>
        <w:ind w:left="360"/>
      </w:pPr>
      <w:r>
        <w:rPr>
          <w:b/>
          <w:bCs/>
          <w:sz w:val="22"/>
          <w:szCs w:val="22"/>
        </w:rPr>
        <w:t xml:space="preserve">9. </w:t>
      </w:r>
      <w:r>
        <w:rPr>
          <w:sz w:val="22"/>
          <w:szCs w:val="22"/>
        </w:rPr>
        <w:t xml:space="preserve">Operations Plan</w:t>
      </w:r>
    </w:p>
    <w:p>
      <w:pPr>
        <w:spacing w:after="80" w:line="300"/>
        <w:ind w:left="360"/>
      </w:pPr>
      <w:r>
        <w:rPr>
          <w:b/>
          <w:bCs/>
          <w:sz w:val="22"/>
          <w:szCs w:val="22"/>
        </w:rPr>
        <w:t xml:space="preserve">10. </w:t>
      </w:r>
      <w:r>
        <w:rPr>
          <w:sz w:val="22"/>
          <w:szCs w:val="22"/>
        </w:rPr>
        <w:t xml:space="preserve">Risk Analysis (Visa-Specific)</w:t>
      </w:r>
    </w:p>
    <w:p>
      <w:pPr>
        <w:spacing w:after="160" w:line="320"/>
      </w:pPr>
      <w:r>
        <w:rPr>
          <w:sz w:val="22"/>
          <w:szCs w:val="22"/>
        </w:rPr>
        <w:t xml:space="preserve">Supporting financial workpapers, source-of-funds documentation, and corporate formation documents are provided by the firm of record as petition exhibits.</w:t>
      </w:r>
    </w:p>
    <w:p>
      <w:pPr>
        <w:pStyle w:val="Heading2"/>
        <w:spacing w:after="180" w:before="360"/>
      </w:pPr>
      <w:r>
        <w:rPr>
          <w:sz w:val="26"/>
          <w:szCs w:val="26"/>
        </w:rPr>
        <w:t xml:space="preserve">Compliance and disclaimer</w:t>
      </w:r>
    </w:p>
    <w:p>
      <w:pPr>
        <w:spacing w:after="160" w:line="320"/>
      </w:pPr>
      <w:r>
        <w:rPr>
          <w:sz w:val="22"/>
          <w:szCs w:val="22"/>
        </w:rPr>
        <w:t xml:space="preserve">This plan is production-grade business analysis prepared for the firm of record's USCIS submission package. The firm of record is solely responsible for USCIS legal review, visa-category compliance verification, adjudicator strategy, and representation of the applicant. The plan author does not provide legal advice and does not represent applicants before USCIS or any government agency.</w:t>
      </w:r>
    </w:p>
    <w:p>
      <w:pPr>
        <w:spacing w:after="160" w:line="320"/>
      </w:pPr>
      <w:r>
        <w:rPr>
          <w:sz w:val="22"/>
          <w:szCs w:val="22"/>
        </w:rPr>
        <w:t xml:space="preserve">Plan prepared: 2026-05-10 Plan version: 1.0</w:t>
      </w:r>
    </w:p>
    <w:p>
      <w:pPr>
        <w:pStyle w:val="Heading1"/>
        <w:pageBreakBefore/>
        <w:spacing w:after="180" w:before="480"/>
      </w:pPr>
      <w:r>
        <w:rPr>
          <w:sz w:val="32"/>
          <w:szCs w:val="32"/>
        </w:rPr>
        <w:t xml:space="preserve">Investor and Applicant Background</w:t>
      </w:r>
    </w:p>
    <w:p>
      <w:pPr>
        <w:spacing w:after="160" w:line="320"/>
      </w:pPr>
      <w:r>
        <w:rPr>
          <w:sz w:val="22"/>
          <w:szCs w:val="22"/>
        </w:rPr>
        <w:t xml:space="preserve">This section establishes the petitioner's qualifications to develop and direct Bahia &amp; Beans Kitchen in the United States. The narrative is constructed from the petitioner's documented professional history, formal education, and prior business experience. Supporting documentation (CV, academic credentials, employment verification letters, prior business records) is provided by the firm of record as petition exhibits.</w:t>
      </w:r>
    </w:p>
    <w:p>
      <w:pPr>
        <w:pStyle w:val="Heading2"/>
        <w:spacing w:after="180" w:before="360"/>
      </w:pPr>
      <w:r>
        <w:rPr>
          <w:sz w:val="26"/>
          <w:szCs w:val="26"/>
        </w:rPr>
        <w:t xml:space="preserve">Petitioner identity</w:t>
      </w:r>
    </w:p>
    <w:p>
      <w:pPr>
        <w:pStyle w:val="ListParagraph"/>
        <w:numPr>
          <w:ilvl w:val="0"/>
          <w:numId w:val="1"/>
        </w:numPr>
        <w:spacing w:after="80" w:line="300"/>
      </w:pPr>
      <w:r>
        <w:rPr>
          <w:b/>
          <w:bCs/>
          <w:sz w:val="22"/>
          <w:szCs w:val="22"/>
        </w:rPr>
        <w:t xml:space="preserve">Full name:</w:t>
      </w:r>
      <w:r>
        <w:rPr>
          <w:sz w:val="22"/>
          <w:szCs w:val="22"/>
        </w:rPr>
        <w:t xml:space="preserve"> Marcos Almeida</w:t>
      </w:r>
    </w:p>
    <w:p>
      <w:pPr>
        <w:pStyle w:val="ListParagraph"/>
        <w:numPr>
          <w:ilvl w:val="0"/>
          <w:numId w:val="1"/>
        </w:numPr>
        <w:spacing w:after="80" w:line="300"/>
      </w:pPr>
      <w:r>
        <w:rPr>
          <w:b/>
          <w:bCs/>
          <w:sz w:val="22"/>
          <w:szCs w:val="22"/>
        </w:rPr>
        <w:t xml:space="preserve">Country of citizenship:</w:t>
      </w:r>
      <w:r>
        <w:rPr>
          <w:sz w:val="22"/>
          <w:szCs w:val="22"/>
        </w:rPr>
        <w:t xml:space="preserve"> Brazil</w:t>
      </w:r>
    </w:p>
    <w:p>
      <w:pPr>
        <w:pStyle w:val="ListParagraph"/>
        <w:numPr>
          <w:ilvl w:val="0"/>
          <w:numId w:val="1"/>
        </w:numPr>
        <w:spacing w:after="80" w:line="300"/>
      </w:pPr>
      <w:r>
        <w:rPr>
          <w:b/>
          <w:bCs/>
          <w:sz w:val="22"/>
          <w:szCs w:val="22"/>
        </w:rPr>
        <w:t xml:space="preserve">Title within Bahia &amp; Beans Kitchen:</w:t>
      </w:r>
      <w:r>
        <w:rPr>
          <w:sz w:val="22"/>
          <w:szCs w:val="22"/>
        </w:rPr>
        <w:t xml:space="preserve"> Founder and Chief Executive Officer</w:t>
      </w:r>
    </w:p>
    <w:p>
      <w:pPr>
        <w:pStyle w:val="ListParagraph"/>
        <w:numPr>
          <w:ilvl w:val="0"/>
          <w:numId w:val="1"/>
        </w:numPr>
        <w:spacing w:after="80" w:line="300"/>
      </w:pPr>
      <w:r>
        <w:rPr>
          <w:b/>
          <w:bCs/>
          <w:sz w:val="22"/>
          <w:szCs w:val="22"/>
        </w:rPr>
        <w:t xml:space="preserve">Equity ownership in Bahia &amp; Beans Kitchen:</w:t>
      </w:r>
      <w:r>
        <w:rPr>
          <w:sz w:val="22"/>
          <w:szCs w:val="22"/>
        </w:rPr>
        <w:t xml:space="preserve"> 100%</w:t>
      </w:r>
    </w:p>
    <w:p>
      <w:pPr>
        <w:pStyle w:val="Heading2"/>
        <w:spacing w:after="180" w:before="360"/>
      </w:pPr>
      <w:r>
        <w:rPr>
          <w:sz w:val="26"/>
          <w:szCs w:val="26"/>
        </w:rPr>
        <w:t xml:space="preserve">Education</w:t>
      </w:r>
    </w:p>
    <w:p>
      <w:pPr>
        <w:spacing w:after="160" w:line="320"/>
      </w:pPr>
      <w:r>
        <w:rPr>
          <w:sz w:val="22"/>
          <w:szCs w:val="22"/>
        </w:rPr>
        <w:t xml:space="preserve">Bachelor of Business Administration, Universidade de Sao Paulo (USP), 2010. MBA in Hospitality Management, Fundacao Getulio Vargas (FGV), 2014.</w:t>
      </w:r>
    </w:p>
    <w:p>
      <w:pPr>
        <w:spacing w:after="160" w:line="320"/>
      </w:pPr>
      <w:r>
        <w:rPr>
          <w:sz w:val="22"/>
          <w:szCs w:val="22"/>
        </w:rPr>
        <w:t xml:space="preserve">Documentary evidence of the petitioner's educational credentials is provided by the firm of record as petition exhibits.</w:t>
      </w:r>
    </w:p>
    <w:p>
      <w:pPr>
        <w:pStyle w:val="Heading2"/>
        <w:spacing w:after="180" w:before="360"/>
      </w:pPr>
      <w:r>
        <w:rPr>
          <w:sz w:val="26"/>
          <w:szCs w:val="26"/>
        </w:rPr>
        <w:t xml:space="preserve">Professional background</w:t>
      </w:r>
    </w:p>
    <w:p>
      <w:pPr>
        <w:spacing w:after="160" w:line="320"/>
      </w:pPr>
      <w:r>
        <w:rPr>
          <w:sz w:val="22"/>
          <w:szCs w:val="22"/>
        </w:rPr>
        <w:t xml:space="preserve">Twelve years operating restaurant ventures in Sao Paulo and Rio de Janeiro, including five years as managing partner of a 120-seat full-service restaurant in Vila Madalena (2015 to 2020) and seven years as founder and operator of a three-location quick-casual concept that grew from one to three units between 2018 and 2025.</w:t>
      </w:r>
    </w:p>
    <w:p>
      <w:pPr>
        <w:spacing w:after="160" w:line="320"/>
      </w:pPr>
      <w:r>
        <w:rPr>
          <w:sz w:val="22"/>
          <w:szCs w:val="22"/>
        </w:rPr>
        <w:t xml:space="preserve">The professional history above is supported by employment verification letters, tax records, and where applicable corporate disclosures, all provided by the firm of record as petition exhibits.</w:t>
      </w:r>
    </w:p>
    <w:p>
      <w:pPr>
        <w:pStyle w:val="Heading2"/>
        <w:spacing w:after="180" w:before="360"/>
      </w:pPr>
      <w:r>
        <w:rPr>
          <w:sz w:val="26"/>
          <w:szCs w:val="26"/>
        </w:rPr>
        <w:t xml:space="preserve">Prior business experience</w:t>
      </w:r>
    </w:p>
    <w:p>
      <w:pPr>
        <w:spacing w:after="160" w:line="320"/>
      </w:pPr>
      <w:r>
        <w:rPr>
          <w:sz w:val="22"/>
          <w:szCs w:val="22"/>
        </w:rPr>
        <w:t xml:space="preserve">Direct P&amp;L responsibility for restaurant ventures generating combined revenue of approximately R$8.5M (USD ~$1.7M) in the most recent full year. Hired and managed teams ranging from 12 to 38 employees. Negotiated leases, supplier contracts, and vendor relationships. Profitable operation in all three units in years 2 through 5.</w:t>
      </w:r>
    </w:p>
    <w:p>
      <w:pPr>
        <w:spacing w:after="160" w:line="320"/>
      </w:pPr>
      <w:r>
        <w:rPr>
          <w:sz w:val="22"/>
          <w:szCs w:val="22"/>
        </w:rPr>
        <w:t xml:space="preserve">The petitioner's prior business experience is directly relevant to the operations of Bahia &amp; Beans Kitchen for the following reasons:</w:t>
      </w:r>
    </w:p>
    <w:p>
      <w:pPr>
        <w:pStyle w:val="ListParagraph"/>
        <w:numPr>
          <w:ilvl w:val="0"/>
          <w:numId w:val="1"/>
        </w:numPr>
        <w:spacing w:after="80" w:line="300"/>
      </w:pPr>
      <w:r>
        <w:rPr>
          <w:sz w:val="22"/>
          <w:szCs w:val="22"/>
        </w:rPr>
        <w:t xml:space="preserve">Direct sector experience in Restaurant - Quick-Casual</w:t>
      </w:r>
    </w:p>
    <w:p>
      <w:pPr>
        <w:pStyle w:val="ListParagraph"/>
        <w:numPr>
          <w:ilvl w:val="0"/>
          <w:numId w:val="1"/>
        </w:numPr>
        <w:spacing w:after="80" w:line="300"/>
      </w:pPr>
      <w:r>
        <w:rPr>
          <w:sz w:val="22"/>
          <w:szCs w:val="22"/>
        </w:rPr>
        <w:t xml:space="preserve">Operational responsibility in prior ventures (P&amp;L, hiring, vendor management)</w:t>
      </w:r>
    </w:p>
    <w:p>
      <w:pPr>
        <w:pStyle w:val="ListParagraph"/>
        <w:numPr>
          <w:ilvl w:val="0"/>
          <w:numId w:val="1"/>
        </w:numPr>
        <w:spacing w:after="80" w:line="300"/>
      </w:pPr>
      <w:r>
        <w:rPr>
          <w:sz w:val="22"/>
          <w:szCs w:val="22"/>
        </w:rPr>
        <w:t xml:space="preserve">Documented track record of building and scaling commercial activity in this category</w:t>
      </w:r>
    </w:p>
    <w:p>
      <w:pPr>
        <w:pStyle w:val="Heading2"/>
        <w:spacing w:after="180" w:before="360"/>
      </w:pPr>
      <w:r>
        <w:rPr>
          <w:sz w:val="26"/>
          <w:szCs w:val="26"/>
        </w:rPr>
        <w:t xml:space="preserve">Qualification narrative</w:t>
      </w:r>
    </w:p>
    <w:p>
      <w:pPr>
        <w:spacing w:after="160" w:line="320"/>
      </w:pPr>
      <w:r>
        <w:rPr>
          <w:sz w:val="22"/>
          <w:szCs w:val="22"/>
        </w:rPr>
        <w:t xml:space="preserve">The combination of Marcos Almeida's formal education, professional history, and prior business experience qualifies the petitioner to develop and direct Bahia &amp; Beans Kitchen as a U.S. enterprise. Specifically:</w:t>
      </w:r>
    </w:p>
    <w:p>
      <w:pPr>
        <w:spacing w:after="160" w:line="320"/>
      </w:pPr>
      <w:r>
        <w:rPr>
          <w:sz w:val="22"/>
          <w:szCs w:val="22"/>
        </w:rPr>
        <w:t xml:space="preserve">Marcos Almeida has the formal credentials, professional history, and prior operational responsibility required to develop and direct Bahia &amp; Beans Kitchen as a U.S. enterprise. The petitioner is not relying on a third-party operator, an absentee-owner structure, or a passive-investor relationship to satisfy the develop-and-direct standard.</w:t>
      </w:r>
    </w:p>
    <w:p>
      <w:pPr>
        <w:spacing w:after="160" w:line="320"/>
      </w:pPr>
      <w:r>
        <w:rPr>
          <w:sz w:val="22"/>
          <w:szCs w:val="22"/>
        </w:rPr>
        <w:t xml:space="preserve">The petitioner will retain operational control of Bahia &amp; Beans Kitchen as detailed in the E-2 Eligibility section. Day-to-day responsibilities include corporate governance, hiring decisions, capital deployment, vendor selection, and strategic direction of the enterprise.</w:t>
      </w:r>
    </w:p>
    <w:p>
      <w:pPr>
        <w:pStyle w:val="Heading2"/>
        <w:spacing w:after="180" w:before="360"/>
      </w:pPr>
      <w:r>
        <w:rPr>
          <w:sz w:val="26"/>
          <w:szCs w:val="26"/>
        </w:rPr>
        <w:t xml:space="preserve">Industry credentials and recognition</w:t>
      </w:r>
    </w:p>
    <w:p>
      <w:pPr>
        <w:spacing w:after="160" w:line="320"/>
      </w:pPr>
      <w:r>
        <w:rPr>
          <w:sz w:val="22"/>
          <w:szCs w:val="22"/>
        </w:rPr>
        <w:t xml:space="preserve">Member of Associacao Brasileira de Bares e Restaurantes (ABRASEL) since 2016. Featured speaker at the 2023 ABRASEL conference on quick-casual operations.</w:t>
      </w:r>
    </w:p>
    <w:p>
      <w:pPr>
        <w:pStyle w:val="Heading2"/>
        <w:spacing w:after="180" w:before="360"/>
      </w:pPr>
      <w:r>
        <w:rPr>
          <w:sz w:val="26"/>
          <w:szCs w:val="26"/>
        </w:rPr>
        <w:t xml:space="preserve">Continuing involvement</w:t>
      </w:r>
    </w:p>
    <w:p>
      <w:pPr>
        <w:spacing w:after="160" w:line="320"/>
      </w:pPr>
      <w:r>
        <w:rPr>
          <w:sz w:val="22"/>
          <w:szCs w:val="22"/>
        </w:rPr>
        <w:t xml:space="preserve">Marcos Almeida will be physically present in the United States to operate Bahia &amp; Beans Kitchen and will not delegate operational control to a third party. The petitioner's home country business interests, where applicable, are managed by qualified successors or are wound down as documented in the firm's exhibits.</w:t>
      </w:r>
    </w:p>
    <w:p>
      <w:pPr>
        <w:pStyle w:val="Heading2"/>
        <w:spacing w:after="180" w:before="360"/>
      </w:pPr>
      <w:r>
        <w:rPr>
          <w:sz w:val="26"/>
          <w:szCs w:val="26"/>
        </w:rPr>
        <w:t xml:space="preserve">References available on request</w:t>
      </w:r>
    </w:p>
    <w:p>
      <w:pPr>
        <w:spacing w:after="160" w:line="320"/>
      </w:pPr>
      <w:r>
        <w:rPr>
          <w:sz w:val="22"/>
          <w:szCs w:val="22"/>
        </w:rPr>
        <w:t xml:space="preserve">Personal and professional references can be furnished by the firm of record upon adjudicator request.</w:t>
      </w:r>
    </w:p>
    <w:p>
      <w:pPr>
        <w:pStyle w:val="Heading1"/>
        <w:pageBreakBefore/>
        <w:spacing w:after="180" w:before="480"/>
      </w:pPr>
      <w:r>
        <w:rPr>
          <w:sz w:val="32"/>
          <w:szCs w:val="32"/>
        </w:rPr>
        <w:t xml:space="preserve">Source of Funds Narrative</w:t>
      </w:r>
    </w:p>
    <w:p>
      <w:pPr>
        <w:spacing w:after="160" w:line="320"/>
      </w:pPr>
      <w:r>
        <w:rPr>
          <w:sz w:val="22"/>
          <w:szCs w:val="22"/>
        </w:rPr>
        <w:t xml:space="preserve">This section establishes the lawful source and traceable path of the $200,000 invested in Bahia &amp; Beans Kitchen. The funds are at-risk and irrevocably committed to the enterprise, satisfying 8 CFR 214.2(e)(12) and the Foreign Affairs Manual at 9 FAM 402.9-6(D).</w:t>
      </w:r>
    </w:p>
    <w:p>
      <w:pPr>
        <w:spacing w:after="160" w:line="320"/>
      </w:pPr>
      <w:r>
        <w:rPr>
          <w:sz w:val="22"/>
          <w:szCs w:val="22"/>
        </w:rPr>
        <w:t xml:space="preserve">The narrative below summarizes the path of funds from origin to deployment. Documentary evidence supporting each source (bank statements, tax records, sale-of-asset documentation, employment records, and inheritance documents where applicable) is provided by the firm of record as petition exhibits. The firm retains responsibility for completeness and authentication of source-of-funds documentation.</w:t>
      </w:r>
    </w:p>
    <w:p>
      <w:pPr>
        <w:pStyle w:val="Heading2"/>
        <w:spacing w:after="180" w:before="360"/>
      </w:pPr>
      <w:r>
        <w:rPr>
          <w:sz w:val="26"/>
          <w:szCs w:val="26"/>
        </w:rPr>
        <w:t xml:space="preserve">2.1 Summary of investment composition</w:t>
      </w:r>
    </w:p>
    <w:p>
      <w:pPr>
        <w:spacing w:after="160" w:line="320"/>
      </w:pPr>
      <w:r>
        <w:rPr>
          <w:sz w:val="22"/>
          <w:szCs w:val="22"/>
        </w:rPr>
        <w:t xml:space="preserve">The $200,000 investment is composed of accumulated personal savings from twelve years of restaurant operations in Brazil ($120,000), proceeds from the sale of a 33 percent ownership stake in the petitioner's quick-casual restaurant chain in Brazil ($60,000), and a documented family contribution from the petitioner's parents ($20,000). All funds were lawfully sourced and traceable through Brazilian and U.S. bank statements provided in the firm exhibits.</w:t>
      </w:r>
    </w:p>
    <w:p>
      <w:pPr>
        <w:spacing w:after="160" w:line="320"/>
      </w:pPr>
      <w:r>
        <w:rPr>
          <w:sz w:val="22"/>
          <w:szCs w:val="22"/>
        </w:rPr>
        <w:t xml:space="preserve">The $200,000 invested in Bahia &amp; Beans Kitchen is composed of the following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tcPr>
          <w:p>
            <w:r>
              <w:rPr>
                <w:b/>
                <w:bCs/>
                <w:sz w:val="20"/>
                <w:szCs w:val="20"/>
              </w:rPr>
              <w:t xml:space="preserve">Source</w:t>
            </w:r>
          </w:p>
        </w:tc>
        <w:tc>
          <w:tcPr>
            <w:tcW w:type="pct" w:w="33%"/>
          </w:tcPr>
          <w:p>
            <w:r>
              <w:rPr>
                <w:b/>
                <w:bCs/>
                <w:sz w:val="20"/>
                <w:szCs w:val="20"/>
              </w:rPr>
              <w:t xml:space="preserve">Amount (USD)</w:t>
            </w:r>
          </w:p>
        </w:tc>
        <w:tc>
          <w:tcPr>
            <w:tcW w:type="pct" w:w="33%"/>
          </w:tcPr>
          <w:p>
            <w:r>
              <w:rPr>
                <w:b/>
                <w:bCs/>
                <w:sz w:val="20"/>
                <w:szCs w:val="20"/>
              </w:rPr>
              <w:t xml:space="preserve">Documentation</w:t>
            </w:r>
          </w:p>
        </w:tc>
      </w:tr>
      <w:tr>
        <w:tc>
          <w:tcPr>
            <w:tcW w:type="pct" w:w="33%"/>
          </w:tcPr>
          <w:p>
            <w:r>
              <w:rPr>
                <w:sz w:val="20"/>
                <w:szCs w:val="20"/>
              </w:rPr>
              <w:t xml:space="preserve">Personal savings (twelve years of restaurant operations in Brazil)</w:t>
            </w:r>
          </w:p>
        </w:tc>
        <w:tc>
          <w:tcPr>
            <w:tcW w:type="pct" w:w="33%"/>
          </w:tcPr>
          <w:p>
            <w:r>
              <w:rPr>
                <w:sz w:val="20"/>
                <w:szCs w:val="20"/>
              </w:rPr>
              <w:t xml:space="preserve">$120,000</w:t>
            </w:r>
          </w:p>
        </w:tc>
        <w:tc>
          <w:tcPr>
            <w:tcW w:type="pct" w:w="33%"/>
          </w:tcPr>
          <w:p>
            <w:r>
              <w:rPr>
                <w:sz w:val="20"/>
                <w:szCs w:val="20"/>
              </w:rPr>
              <w:t xml:space="preserve">24 months of bank statements from Banco Itau and Banco do Brasil; Brazilian tax returns 2020-2025 provided in firm exhibits</w:t>
            </w:r>
          </w:p>
        </w:tc>
      </w:tr>
      <w:tr>
        <w:tc>
          <w:tcPr>
            <w:tcW w:type="pct" w:w="33%"/>
          </w:tcPr>
          <w:p>
            <w:r>
              <w:rPr>
                <w:sz w:val="20"/>
                <w:szCs w:val="20"/>
              </w:rPr>
              <w:t xml:space="preserve">Sale of 33 percent ownership stake in prior restaurant venture</w:t>
            </w:r>
          </w:p>
        </w:tc>
        <w:tc>
          <w:tcPr>
            <w:tcW w:type="pct" w:w="33%"/>
          </w:tcPr>
          <w:p>
            <w:r>
              <w:rPr>
                <w:sz w:val="20"/>
                <w:szCs w:val="20"/>
              </w:rPr>
              <w:t xml:space="preserve">$60,000</w:t>
            </w:r>
          </w:p>
        </w:tc>
        <w:tc>
          <w:tcPr>
            <w:tcW w:type="pct" w:w="33%"/>
          </w:tcPr>
          <w:p>
            <w:r>
              <w:rPr>
                <w:sz w:val="20"/>
                <w:szCs w:val="20"/>
              </w:rPr>
              <w:t xml:space="preserve">Sale agreement dated November 2025; bank deposit records; Brazilian capital gains tax filing in firm exhibits</w:t>
            </w:r>
          </w:p>
        </w:tc>
      </w:tr>
      <w:tr>
        <w:tc>
          <w:tcPr>
            <w:tcW w:type="pct" w:w="33%"/>
          </w:tcPr>
          <w:p>
            <w:r>
              <w:rPr>
                <w:sz w:val="20"/>
                <w:szCs w:val="20"/>
              </w:rPr>
              <w:t xml:space="preserve">Documented family contribution from petitioner's parents</w:t>
            </w:r>
          </w:p>
        </w:tc>
        <w:tc>
          <w:tcPr>
            <w:tcW w:type="pct" w:w="33%"/>
          </w:tcPr>
          <w:p>
            <w:r>
              <w:rPr>
                <w:sz w:val="20"/>
                <w:szCs w:val="20"/>
              </w:rPr>
              <w:t xml:space="preserve">$20,000</w:t>
            </w:r>
          </w:p>
        </w:tc>
        <w:tc>
          <w:tcPr>
            <w:tcW w:type="pct" w:w="33%"/>
          </w:tcPr>
          <w:p>
            <w:r>
              <w:rPr>
                <w:sz w:val="20"/>
                <w:szCs w:val="20"/>
              </w:rPr>
              <w:t xml:space="preserve">Gift letter; donor source documentation including parents' bank statements showing legitimate funds origin in firm exhibits</w:t>
            </w:r>
          </w:p>
        </w:tc>
      </w:tr>
      <w:tr>
        <w:tc>
          <w:tcPr>
            <w:tcW w:type="pct" w:w="33%"/>
          </w:tcPr>
          <w:p>
            <w:r>
              <w:rPr>
                <w:b/>
                <w:bCs/>
                <w:sz w:val="20"/>
                <w:szCs w:val="20"/>
              </w:rPr>
              <w:t xml:space="preserve">Total</w:t>
            </w:r>
          </w:p>
        </w:tc>
        <w:tc>
          <w:tcPr>
            <w:tcW w:type="pct" w:w="33%"/>
          </w:tcPr>
          <w:p>
            <w:r>
              <w:rPr>
                <w:b/>
                <w:bCs/>
                <w:sz w:val="20"/>
                <w:szCs w:val="20"/>
              </w:rPr>
              <w:t xml:space="preserve">$200,000</w:t>
            </w:r>
          </w:p>
        </w:tc>
        <w:tc>
          <w:tcPr>
            <w:tcW w:type="pct" w:w="33%"/>
          </w:tcPr>
          <w:p>
            <w:r>
              <w:rPr>
                <w:sz w:val="20"/>
                <w:szCs w:val="20"/>
              </w:rPr>
              <w:t xml:space="preserve">-</w:t>
            </w:r>
          </w:p>
        </w:tc>
      </w:tr>
    </w:tbl>
    <w:p>
      <w:pPr>
        <w:pStyle w:val="Heading2"/>
        <w:spacing w:after="180" w:before="360"/>
      </w:pPr>
      <w:r>
        <w:rPr>
          <w:sz w:val="26"/>
          <w:szCs w:val="26"/>
        </w:rPr>
        <w:t xml:space="preserve">2.2 Source-by-source narrative</w:t>
      </w:r>
    </w:p>
    <w:p>
      <w:pPr>
        <w:pStyle w:val="Heading3"/>
        <w:spacing w:after="180" w:before="360"/>
      </w:pPr>
      <w:r>
        <w:rPr>
          <w:sz w:val="22"/>
          <w:szCs w:val="22"/>
        </w:rPr>
        <w:t xml:space="preserve">Source 1: Personal savings (twelve years of restaurant operations in Brazil) ($120,000)</w:t>
      </w:r>
    </w:p>
    <w:p>
      <w:pPr>
        <w:spacing w:after="160" w:line="320"/>
      </w:pPr>
      <w:r>
        <w:rPr>
          <w:sz w:val="22"/>
          <w:szCs w:val="22"/>
        </w:rPr>
        <w:t xml:space="preserve">These funds represent Marcos Almeida's accumulated personal savings from documented earnings over the petitioner's professional career. Documentary evidence is provided as 24 months of bank statements from Banco Itau and Banco do Brasil; Brazilian tax returns 2020-2025 provided in firm exhibits.</w:t>
      </w:r>
    </w:p>
    <w:p>
      <w:pPr>
        <w:pStyle w:val="Heading3"/>
        <w:spacing w:after="180" w:before="360"/>
      </w:pPr>
      <w:r>
        <w:rPr>
          <w:sz w:val="22"/>
          <w:szCs w:val="22"/>
        </w:rPr>
        <w:t xml:space="preserve">Source 2: Sale of 33 percent ownership stake in prior restaurant venture ($60,000)</w:t>
      </w:r>
    </w:p>
    <w:p>
      <w:pPr>
        <w:spacing w:after="160" w:line="320"/>
      </w:pPr>
      <w:r>
        <w:rPr>
          <w:sz w:val="22"/>
          <w:szCs w:val="22"/>
        </w:rPr>
        <w:t xml:space="preserve">These funds represent the proceeds from the sale of a personal asset by Marcos Almeida prior to the U.S. capital deployment. Documentary evidence is provided as Sale agreement dated November 2025; bank deposit records; Brazilian capital gains tax filing in firm exhibits.</w:t>
      </w:r>
    </w:p>
    <w:p>
      <w:pPr>
        <w:pStyle w:val="Heading3"/>
        <w:spacing w:after="180" w:before="360"/>
      </w:pPr>
      <w:r>
        <w:rPr>
          <w:sz w:val="22"/>
          <w:szCs w:val="22"/>
        </w:rPr>
        <w:t xml:space="preserve">Source 3: Documented family contribution from petitioner's parents ($20,000)</w:t>
      </w:r>
    </w:p>
    <w:p>
      <w:pPr>
        <w:spacing w:after="160" w:line="320"/>
      </w:pPr>
      <w:r>
        <w:rPr>
          <w:sz w:val="22"/>
          <w:szCs w:val="22"/>
        </w:rPr>
        <w:t xml:space="preserve">These funds represent a documented contribution to Marcos Almeida consistent with applicable tax and gifting rules in the petitioner's home country. Documentary evidence is provided as Gift letter; donor source documentation including parents' bank statements showing legitimate funds origin in firm exhibits.</w:t>
      </w:r>
    </w:p>
    <w:p>
      <w:pPr>
        <w:pStyle w:val="Heading2"/>
        <w:spacing w:after="180" w:before="360"/>
      </w:pPr>
      <w:r>
        <w:rPr>
          <w:sz w:val="26"/>
          <w:szCs w:val="26"/>
        </w:rPr>
        <w:t xml:space="preserve">2.3 Path of funds</w:t>
      </w:r>
    </w:p>
    <w:p>
      <w:pPr>
        <w:spacing w:after="160" w:line="320"/>
      </w:pPr>
      <w:r>
        <w:rPr>
          <w:sz w:val="22"/>
          <w:szCs w:val="22"/>
        </w:rPr>
        <w:t xml:space="preserve">The funds traveled from the petitioner's accounts in Brazil to the United States operating account through the following path:</w:t>
      </w:r>
    </w:p>
    <w:p>
      <w:pPr>
        <w:spacing w:after="80" w:line="300"/>
        <w:ind w:left="360"/>
      </w:pPr>
      <w:r>
        <w:rPr>
          <w:b/>
          <w:bCs/>
          <w:sz w:val="22"/>
          <w:szCs w:val="22"/>
        </w:rPr>
        <w:t xml:space="preserve">1. </w:t>
      </w:r>
      <w:r>
        <w:rPr>
          <w:b/>
          <w:bCs/>
          <w:sz w:val="22"/>
          <w:szCs w:val="22"/>
        </w:rPr>
        <w:t xml:space="preserve">Origin:</w:t>
      </w:r>
      <w:r>
        <w:rPr>
          <w:sz w:val="22"/>
          <w:szCs w:val="22"/>
        </w:rPr>
        <w:t xml:space="preserve"> Funds originated in the petitioner's personal and corporate accounts in Brazil as documented in source exhibits.</w:t>
      </w:r>
    </w:p>
    <w:p>
      <w:pPr>
        <w:spacing w:after="80" w:line="300"/>
        <w:ind w:left="360"/>
      </w:pPr>
      <w:r>
        <w:rPr>
          <w:b/>
          <w:bCs/>
          <w:sz w:val="22"/>
          <w:szCs w:val="22"/>
        </w:rPr>
        <w:t xml:space="preserve">2. </w:t>
      </w:r>
      <w:r>
        <w:rPr>
          <w:b/>
          <w:bCs/>
          <w:sz w:val="22"/>
          <w:szCs w:val="22"/>
        </w:rPr>
        <w:t xml:space="preserve">Currency conversion and international wire:</w:t>
      </w:r>
      <w:r>
        <w:rPr>
          <w:sz w:val="22"/>
          <w:szCs w:val="22"/>
        </w:rPr>
        <w:t xml:space="preserve"> Funds were converted from BRL to USD and wired to the petitioner's U.S. personal account at Wells Fargo (operating account at the Miami branch) on or around 2026-03-15.</w:t>
      </w:r>
    </w:p>
    <w:p>
      <w:pPr>
        <w:spacing w:after="80" w:line="300"/>
        <w:ind w:left="360"/>
      </w:pPr>
      <w:r>
        <w:rPr>
          <w:b/>
          <w:bCs/>
          <w:sz w:val="22"/>
          <w:szCs w:val="22"/>
        </w:rPr>
        <w:t xml:space="preserve">3. </w:t>
      </w:r>
      <w:r>
        <w:rPr>
          <w:b/>
          <w:bCs/>
          <w:sz w:val="22"/>
          <w:szCs w:val="22"/>
        </w:rPr>
        <w:t xml:space="preserve">Operating account transfer:</w:t>
      </w:r>
      <w:r>
        <w:rPr>
          <w:sz w:val="22"/>
          <w:szCs w:val="22"/>
        </w:rPr>
        <w:t xml:space="preserve"> From the petitioner's U.S. personal account, funds were transferred to Bahia &amp; Beans Kitchen's operating account at Wells Fargo (operating account at the Miami branch) as documented in the bank exhibits.</w:t>
      </w:r>
    </w:p>
    <w:p>
      <w:pPr>
        <w:spacing w:after="80" w:line="300"/>
        <w:ind w:left="360"/>
      </w:pPr>
      <w:r>
        <w:rPr>
          <w:b/>
          <w:bCs/>
          <w:sz w:val="22"/>
          <w:szCs w:val="22"/>
        </w:rPr>
        <w:t xml:space="preserve">4. </w:t>
      </w:r>
      <w:r>
        <w:rPr>
          <w:b/>
          <w:bCs/>
          <w:sz w:val="22"/>
          <w:szCs w:val="22"/>
        </w:rPr>
        <w:t xml:space="preserve">Deployment:</w:t>
      </w:r>
      <w:r>
        <w:rPr>
          <w:sz w:val="22"/>
          <w:szCs w:val="22"/>
        </w:rPr>
        <w:t xml:space="preserve"> Funds were and are being deployed against the capital allocation table in Section 3 (E-2 Eligibility), with $142,000 committed to date.</w:t>
      </w:r>
    </w:p>
    <w:p>
      <w:pPr>
        <w:pStyle w:val="Heading2"/>
        <w:spacing w:after="180" w:before="360"/>
      </w:pPr>
      <w:r>
        <w:rPr>
          <w:sz w:val="26"/>
          <w:szCs w:val="26"/>
        </w:rPr>
        <w:t xml:space="preserve">2.4 At-risk and irrevocable commitment</w:t>
      </w:r>
    </w:p>
    <w:p>
      <w:pPr>
        <w:spacing w:after="160" w:line="320"/>
      </w:pPr>
      <w:r>
        <w:rPr>
          <w:sz w:val="22"/>
          <w:szCs w:val="22"/>
        </w:rPr>
        <w:t xml:space="preserve">The $200,000 is fully at risk of loss in the event the enterprise fails. Specifically:</w:t>
      </w:r>
    </w:p>
    <w:p>
      <w:pPr>
        <w:pStyle w:val="ListParagraph"/>
        <w:numPr>
          <w:ilvl w:val="0"/>
          <w:numId w:val="1"/>
        </w:numPr>
        <w:spacing w:after="80" w:line="300"/>
      </w:pPr>
      <w:r>
        <w:rPr>
          <w:sz w:val="22"/>
          <w:szCs w:val="22"/>
        </w:rPr>
        <w:t xml:space="preserve">No portion of the funds is held in escrow, held by a third-party administrator, or otherwise reversible upon visa denial.</w:t>
      </w:r>
    </w:p>
    <w:p>
      <w:pPr>
        <w:pStyle w:val="ListParagraph"/>
        <w:numPr>
          <w:ilvl w:val="0"/>
          <w:numId w:val="1"/>
        </w:numPr>
        <w:spacing w:after="80" w:line="300"/>
      </w:pPr>
      <w:r>
        <w:rPr>
          <w:sz w:val="22"/>
          <w:szCs w:val="22"/>
        </w:rPr>
        <w:t xml:space="preserve">A substantial portion of the funds is committed to fixed-asset purchases, lease obligations, and pre-launch operating expenses that have no resale value at par.</w:t>
      </w:r>
    </w:p>
    <w:p>
      <w:pPr>
        <w:pStyle w:val="ListParagraph"/>
        <w:numPr>
          <w:ilvl w:val="0"/>
          <w:numId w:val="1"/>
        </w:numPr>
        <w:spacing w:after="80" w:line="300"/>
      </w:pPr>
      <w:r>
        <w:rPr>
          <w:sz w:val="22"/>
          <w:szCs w:val="22"/>
        </w:rPr>
        <w:t xml:space="preserve">The remaining capital is held in Bahia &amp; Beans Kitchen's operating account and is subject to draw-down per the deployment schedule in the financial model.</w:t>
      </w:r>
    </w:p>
    <w:p>
      <w:pPr>
        <w:spacing w:after="160" w:line="320"/>
      </w:pPr>
      <w:r>
        <w:rPr>
          <w:sz w:val="22"/>
          <w:szCs w:val="22"/>
        </w:rPr>
        <w:t xml:space="preserve">The at-risk and irrevocable nature of the investment satisfies the standard set forth in Matter of Investor (B.I.A.) and the USCIS Policy Manual.</w:t>
      </w:r>
    </w:p>
    <w:p>
      <w:pPr>
        <w:pStyle w:val="Heading2"/>
        <w:spacing w:after="180" w:before="360"/>
      </w:pPr>
      <w:r>
        <w:rPr>
          <w:sz w:val="26"/>
          <w:szCs w:val="26"/>
        </w:rPr>
        <w:t xml:space="preserve">2.5 Lawful source attestation</w:t>
      </w:r>
    </w:p>
    <w:p>
      <w:pPr>
        <w:spacing w:after="160" w:line="320"/>
      </w:pPr>
      <w:r>
        <w:rPr>
          <w:sz w:val="22"/>
          <w:szCs w:val="22"/>
        </w:rPr>
        <w:t xml:space="preserve">The petitioner attests, and the firm of record certifies through its review of the supporting exhibits, that all funds invested in Bahia &amp; Beans Kitchen are derived from lawful sources. Documentation of lawful source for each component of the investment is provided as petition exhibits.</w:t>
      </w:r>
    </w:p>
    <w:p>
      <w:pPr>
        <w:pStyle w:val="Heading2"/>
        <w:spacing w:after="180" w:before="360"/>
      </w:pPr>
      <w:r>
        <w:rPr>
          <w:sz w:val="26"/>
          <w:szCs w:val="26"/>
        </w:rPr>
        <w:t xml:space="preserve">2.6 Outstanding documentation requests</w:t>
      </w:r>
    </w:p>
    <w:p>
      <w:pPr>
        <w:spacing w:after="160" w:line="320"/>
      </w:pPr>
      <w:r>
        <w:rPr>
          <w:sz w:val="22"/>
          <w:szCs w:val="22"/>
        </w:rPr>
        <w:t xml:space="preserve">If the adjudicator requires additional source-of-funds documentation beyond what is provided in the petition exhibits, the firm of record will furnish such documentation upon request. The firm retains relationships with the petitioner's banks, accountants, and tax authorities in Brazil to obtain additional records as needed.</w:t>
      </w:r>
    </w:p>
    <w:p>
      <w:pPr>
        <w:pStyle w:val="Heading1"/>
        <w:pageBreakBefore/>
        <w:spacing w:after="180" w:before="480"/>
      </w:pPr>
      <w:r>
        <w:rPr>
          <w:sz w:val="32"/>
          <w:szCs w:val="32"/>
        </w:rPr>
        <w:t xml:space="preserve">E-2 Treaty Investor Eligibility</w:t>
      </w:r>
    </w:p>
    <w:p>
      <w:pPr>
        <w:spacing w:after="160" w:line="320"/>
      </w:pPr>
      <w:r>
        <w:rPr>
          <w:sz w:val="22"/>
          <w:szCs w:val="22"/>
        </w:rPr>
        <w:t xml:space="preserve">This section addresses the five operative E-2 eligibility criteria as set forth in 8 CFR 214.2(e), the USCIS Policy Manual Vol. 6, Pt. G, and the Foreign Affairs Manual at 9 FAM 402.9. Each subsection presents the supporting analysis for one criterion. Documentary exhibits supporting these analyses are provided by the firm of record.</w:t>
      </w:r>
    </w:p>
    <w:p>
      <w:pPr>
        <w:pStyle w:val="Heading2"/>
        <w:spacing w:after="180" w:before="360"/>
      </w:pPr>
      <w:r>
        <w:rPr>
          <w:sz w:val="26"/>
          <w:szCs w:val="26"/>
        </w:rPr>
        <w:t xml:space="preserve">1. Treaty country and nationality</w:t>
      </w:r>
    </w:p>
    <w:p>
      <w:pPr>
        <w:spacing w:after="160" w:line="320"/>
      </w:pPr>
      <w:r>
        <w:rPr>
          <w:sz w:val="22"/>
          <w:szCs w:val="22"/>
        </w:rPr>
        <w:t xml:space="preserve">The applicant Marcos Almeida is a citizen of Brazil, which maintains a qualifying treaty of commerce and navigation with the United States. Documentary evidence of nationality (passport bio page and supporting identity documents) is included in the petition exhibits.</w:t>
      </w:r>
    </w:p>
    <w:p>
      <w:pPr>
        <w:spacing w:after="160" w:line="320"/>
      </w:pPr>
      <w:r>
        <w:rPr>
          <w:sz w:val="22"/>
          <w:szCs w:val="22"/>
        </w:rPr>
        <w:t xml:space="preserve">The enterprise Bahia &amp; Beans Kitchen is at least 50% owned by nationals of Brazil as required under 8 CFR 214.2(e)(3)(iii). Ownership documentation is provided in the corporate exhibits.</w:t>
      </w:r>
    </w:p>
    <w:p>
      <w:pPr>
        <w:spacing w:after="160" w:line="320"/>
      </w:pPr>
      <w:r>
        <w:rPr>
          <w:sz w:val="22"/>
          <w:szCs w:val="22"/>
        </w:rPr>
        <w:t xml:space="preserve">Brazil maintains a treaty of commerce and navigation with the United States that confers E-2 treaty-investor status on its nationals. Confirmation of treaty status is included in the petition exhibits and is not in dispute for purposes of this plan.</w:t>
      </w:r>
    </w:p>
    <w:p>
      <w:pPr>
        <w:pStyle w:val="Heading2"/>
        <w:spacing w:after="180" w:before="360"/>
      </w:pPr>
      <w:r>
        <w:rPr>
          <w:sz w:val="26"/>
          <w:szCs w:val="26"/>
        </w:rPr>
        <w:t xml:space="preserve">2. Substantial investment</w:t>
      </w:r>
    </w:p>
    <w:p>
      <w:pPr>
        <w:spacing w:after="160" w:line="320"/>
      </w:pPr>
      <w:r>
        <w:rPr>
          <w:sz w:val="22"/>
          <w:szCs w:val="22"/>
        </w:rPr>
        <w:t xml:space="preserve">The applicant has invested $200,000 in Bahia &amp; Beans Kitchen. This investment is substantial in relation to the total cost of establishing the enterprise, applying the inverted sliding scale standard set forth in the USCIS Policy Manual Vol. 6, Pt. G, Ch. 2(C).</w:t>
      </w:r>
    </w:p>
    <w:p>
      <w:pPr>
        <w:spacing w:after="160" w:line="320"/>
      </w:pPr>
      <w:r>
        <w:rPr>
          <w:b/>
          <w:bCs/>
          <w:sz w:val="22"/>
          <w:szCs w:val="22"/>
        </w:rPr>
        <w:t xml:space="preserve">Total enterprise cost:</w:t>
      </w:r>
      <w:r>
        <w:rPr>
          <w:sz w:val="22"/>
          <w:szCs w:val="22"/>
        </w:rPr>
        <w:t xml:space="preserve"> $235,000 </w:t>
      </w:r>
      <w:r>
        <w:rPr>
          <w:b/>
          <w:bCs/>
          <w:sz w:val="22"/>
          <w:szCs w:val="22"/>
        </w:rPr>
        <w:t xml:space="preserve">Investment as percentage of total cost:</w:t>
      </w:r>
      <w:r>
        <w:rPr>
          <w:sz w:val="22"/>
          <w:szCs w:val="22"/>
        </w:rPr>
        <w:t xml:space="preserve"> 85% </w:t>
      </w:r>
      <w:r>
        <w:rPr>
          <w:b/>
          <w:bCs/>
          <w:sz w:val="22"/>
          <w:szCs w:val="22"/>
        </w:rPr>
        <w:t xml:space="preserve">Sliding scale benchmark for an enterprise of this scale:</w:t>
      </w:r>
      <w:r>
        <w:rPr>
          <w:sz w:val="22"/>
          <w:szCs w:val="22"/>
        </w:rPr>
        <w:t xml:space="preserve"> 85%</w:t>
      </w:r>
    </w:p>
    <w:p>
      <w:pPr>
        <w:spacing w:after="160" w:line="320"/>
      </w:pPr>
      <w:r>
        <w:rPr>
          <w:sz w:val="22"/>
          <w:szCs w:val="22"/>
        </w:rPr>
        <w:t xml:space="preserve">The investment satisfies the substantial-investment standard under the controlling sliding scale: the 85% investment exceeds the 85% benchmark for an enterprise of this scale, satisfying the substantial-investment requirement on the inverted sliding scale.</w:t>
      </w:r>
    </w:p>
    <w:p>
      <w:pPr>
        <w:spacing w:after="160" w:line="320"/>
      </w:pPr>
      <w:r>
        <w:rPr>
          <w:sz w:val="22"/>
          <w:szCs w:val="22"/>
        </w:rPr>
        <w:t xml:space="preserve">The investment is allocated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Pr>
          <w:p>
            <w:r>
              <w:rPr>
                <w:b/>
                <w:bCs/>
                <w:sz w:val="20"/>
                <w:szCs w:val="20"/>
              </w:rPr>
              <w:t xml:space="preserve">Allocation category</w:t>
            </w:r>
          </w:p>
        </w:tc>
        <w:tc>
          <w:tcPr>
            <w:tcW w:type="pct" w:w="50%"/>
          </w:tcPr>
          <w:p>
            <w:r>
              <w:rPr>
                <w:b/>
                <w:bCs/>
                <w:sz w:val="20"/>
                <w:szCs w:val="20"/>
              </w:rPr>
              <w:t xml:space="preserve">Amount</w:t>
            </w:r>
          </w:p>
        </w:tc>
      </w:tr>
      <w:tr>
        <w:tc>
          <w:tcPr>
            <w:tcW w:type="pct" w:w="50%"/>
          </w:tcPr>
          <w:p>
            <w:r>
              <w:rPr>
                <w:sz w:val="20"/>
                <w:szCs w:val="20"/>
              </w:rPr>
              <w:t xml:space="preserve">Equipment and fixed assets</w:t>
            </w:r>
          </w:p>
        </w:tc>
        <w:tc>
          <w:tcPr>
            <w:tcW w:type="pct" w:w="50%"/>
          </w:tcPr>
          <w:p>
            <w:r>
              <w:rPr>
                <w:sz w:val="20"/>
                <w:szCs w:val="20"/>
              </w:rPr>
              <w:t xml:space="preserve">$50,000</w:t>
            </w:r>
          </w:p>
        </w:tc>
      </w:tr>
      <w:tr>
        <w:tc>
          <w:tcPr>
            <w:tcW w:type="pct" w:w="50%"/>
          </w:tcPr>
          <w:p>
            <w:r>
              <w:rPr>
                <w:sz w:val="20"/>
                <w:szCs w:val="20"/>
              </w:rPr>
              <w:t xml:space="preserve">Lease deposit and pre-paid rent</w:t>
            </w:r>
          </w:p>
        </w:tc>
        <w:tc>
          <w:tcPr>
            <w:tcW w:type="pct" w:w="50%"/>
          </w:tcPr>
          <w:p>
            <w:r>
              <w:rPr>
                <w:sz w:val="20"/>
                <w:szCs w:val="20"/>
              </w:rPr>
              <w:t xml:space="preserve">$20,000</w:t>
            </w:r>
          </w:p>
        </w:tc>
      </w:tr>
      <w:tr>
        <w:tc>
          <w:tcPr>
            <w:tcW w:type="pct" w:w="50%"/>
          </w:tcPr>
          <w:p>
            <w:r>
              <w:rPr>
                <w:sz w:val="20"/>
                <w:szCs w:val="20"/>
              </w:rPr>
              <w:t xml:space="preserve">Initial inventory and supplies</w:t>
            </w:r>
          </w:p>
        </w:tc>
        <w:tc>
          <w:tcPr>
            <w:tcW w:type="pct" w:w="50%"/>
          </w:tcPr>
          <w:p>
            <w:r>
              <w:rPr>
                <w:sz w:val="20"/>
                <w:szCs w:val="20"/>
              </w:rPr>
              <w:t xml:space="preserve">$30,000</w:t>
            </w:r>
          </w:p>
        </w:tc>
      </w:tr>
      <w:tr>
        <w:tc>
          <w:tcPr>
            <w:tcW w:type="pct" w:w="50%"/>
          </w:tcPr>
          <w:p>
            <w:r>
              <w:rPr>
                <w:sz w:val="20"/>
                <w:szCs w:val="20"/>
              </w:rPr>
              <w:t xml:space="preserve">Build-out and permits</w:t>
            </w:r>
          </w:p>
        </w:tc>
        <w:tc>
          <w:tcPr>
            <w:tcW w:type="pct" w:w="50%"/>
          </w:tcPr>
          <w:p>
            <w:r>
              <w:rPr>
                <w:sz w:val="20"/>
                <w:szCs w:val="20"/>
              </w:rPr>
              <w:t xml:space="preserve">$40,000</w:t>
            </w:r>
          </w:p>
        </w:tc>
      </w:tr>
      <w:tr>
        <w:tc>
          <w:tcPr>
            <w:tcW w:type="pct" w:w="50%"/>
          </w:tcPr>
          <w:p>
            <w:r>
              <w:rPr>
                <w:sz w:val="20"/>
                <w:szCs w:val="20"/>
              </w:rPr>
              <w:t xml:space="preserve">Pre-launch marketing</w:t>
            </w:r>
          </w:p>
        </w:tc>
        <w:tc>
          <w:tcPr>
            <w:tcW w:type="pct" w:w="50%"/>
          </w:tcPr>
          <w:p>
            <w:r>
              <w:rPr>
                <w:sz w:val="20"/>
                <w:szCs w:val="20"/>
              </w:rPr>
              <w:t xml:space="preserve">$10,000</w:t>
            </w:r>
          </w:p>
        </w:tc>
      </w:tr>
      <w:tr>
        <w:tc>
          <w:tcPr>
            <w:tcW w:type="pct" w:w="50%"/>
          </w:tcPr>
          <w:p>
            <w:r>
              <w:rPr>
                <w:sz w:val="20"/>
                <w:szCs w:val="20"/>
              </w:rPr>
              <w:t xml:space="preserve">Working capital reserve</w:t>
            </w:r>
          </w:p>
        </w:tc>
        <w:tc>
          <w:tcPr>
            <w:tcW w:type="pct" w:w="50%"/>
          </w:tcPr>
          <w:p>
            <w:r>
              <w:rPr>
                <w:sz w:val="20"/>
                <w:szCs w:val="20"/>
              </w:rPr>
              <w:t xml:space="preserve">$50,000</w:t>
            </w:r>
          </w:p>
        </w:tc>
      </w:tr>
      <w:tr>
        <w:tc>
          <w:tcPr>
            <w:tcW w:type="pct" w:w="50%"/>
          </w:tcPr>
          <w:p>
            <w:r>
              <w:rPr>
                <w:b/>
                <w:bCs/>
                <w:sz w:val="20"/>
                <w:szCs w:val="20"/>
              </w:rPr>
              <w:t xml:space="preserve">Total</w:t>
            </w:r>
          </w:p>
        </w:tc>
        <w:tc>
          <w:tcPr>
            <w:tcW w:type="pct" w:w="50%"/>
          </w:tcPr>
          <w:p>
            <w:r>
              <w:rPr>
                <w:b/>
                <w:bCs/>
                <w:sz w:val="20"/>
                <w:szCs w:val="20"/>
              </w:rPr>
              <w:t xml:space="preserve">$200,000</w:t>
            </w:r>
          </w:p>
        </w:tc>
      </w:tr>
    </w:tbl>
    <w:p>
      <w:pPr>
        <w:pStyle w:val="Heading2"/>
        <w:spacing w:after="180" w:before="360"/>
      </w:pPr>
      <w:r>
        <w:rPr>
          <w:sz w:val="26"/>
          <w:szCs w:val="26"/>
        </w:rPr>
        <w:t xml:space="preserve">3. At-risk and irrevocably committed capital</w:t>
      </w:r>
    </w:p>
    <w:p>
      <w:pPr>
        <w:spacing w:after="160" w:line="320"/>
      </w:pPr>
      <w:r>
        <w:rPr>
          <w:sz w:val="22"/>
          <w:szCs w:val="22"/>
        </w:rPr>
        <w:t xml:space="preserve">The $200,000 of capital is fully at risk. The funds have been:</w:t>
      </w:r>
    </w:p>
    <w:p>
      <w:pPr>
        <w:pStyle w:val="ListParagraph"/>
        <w:numPr>
          <w:ilvl w:val="0"/>
          <w:numId w:val="1"/>
        </w:numPr>
        <w:spacing w:after="80" w:line="300"/>
      </w:pPr>
      <w:r>
        <w:rPr>
          <w:sz w:val="22"/>
          <w:szCs w:val="22"/>
        </w:rPr>
        <w:t xml:space="preserve">Transferred to Bahia &amp; Beans Kitchen's US operating account at Wells Fargo (operating account at the Miami branch) as of 2026-03-15</w:t>
      </w:r>
    </w:p>
    <w:p>
      <w:pPr>
        <w:pStyle w:val="ListParagraph"/>
        <w:numPr>
          <w:ilvl w:val="0"/>
          <w:numId w:val="1"/>
        </w:numPr>
        <w:spacing w:after="80" w:line="300"/>
      </w:pPr>
      <w:r>
        <w:rPr>
          <w:sz w:val="22"/>
          <w:szCs w:val="22"/>
        </w:rPr>
        <w:t xml:space="preserve">Committed to fixed assets, lease obligations, and operating expenses in the amount of $142,000 as of plan date</w:t>
      </w:r>
    </w:p>
    <w:p>
      <w:pPr>
        <w:pStyle w:val="ListParagraph"/>
        <w:numPr>
          <w:ilvl w:val="0"/>
          <w:numId w:val="1"/>
        </w:numPr>
        <w:spacing w:after="80" w:line="300"/>
      </w:pPr>
      <w:r>
        <w:rPr>
          <w:sz w:val="22"/>
          <w:szCs w:val="22"/>
        </w:rPr>
        <w:t xml:space="preserve">Subject to partial or total loss in the event the enterprise fails</w:t>
      </w:r>
    </w:p>
    <w:p>
      <w:pPr>
        <w:spacing w:after="160" w:line="320"/>
      </w:pPr>
      <w:r>
        <w:rPr>
          <w:sz w:val="22"/>
          <w:szCs w:val="22"/>
        </w:rPr>
        <w:t xml:space="preserve">No portion of the invested capital is held in escrow, contingent on visa approval, or otherwise reversible upon visa denial. Bank statements, lease agreements, equipment purchase records, and vendor contracts evidencing the at-risk commitment are included in the petition exhibits.</w:t>
      </w:r>
    </w:p>
    <w:p>
      <w:pPr>
        <w:spacing w:after="160" w:line="320"/>
      </w:pPr>
      <w:r>
        <w:rPr>
          <w:sz w:val="22"/>
          <w:szCs w:val="22"/>
        </w:rPr>
        <w:t xml:space="preserve">Funds were transferred to the US operating account on 2026-03-15, and a substantial portion has already been committed to fixed-asset purchases, lease obligations, and pre-launch operating expenses. The remaining capital is held in operating accounts subject to draw-down per the deployment schedule. No portion is held in escrow contingent on visa approval.</w:t>
      </w:r>
    </w:p>
    <w:p>
      <w:pPr>
        <w:pStyle w:val="Heading2"/>
        <w:spacing w:after="180" w:before="360"/>
      </w:pPr>
      <w:r>
        <w:rPr>
          <w:sz w:val="26"/>
          <w:szCs w:val="26"/>
        </w:rPr>
        <w:t xml:space="preserve">4. Real and active enterprise</w:t>
      </w:r>
    </w:p>
    <w:p>
      <w:pPr>
        <w:spacing w:after="160" w:line="320"/>
      </w:pPr>
      <w:r>
        <w:rPr>
          <w:sz w:val="22"/>
          <w:szCs w:val="22"/>
        </w:rPr>
        <w:t xml:space="preserve">Bahia &amp; Beans Kitchen is a real and active commercial enterprise as defined in 8 CFR 214.2(e)(13). The enterprise is engaged in the Restaurant - Quick-Casual sector with the following indicators of real and active operations:</w:t>
      </w:r>
    </w:p>
    <w:p>
      <w:pPr>
        <w:pStyle w:val="ListParagraph"/>
        <w:numPr>
          <w:ilvl w:val="0"/>
          <w:numId w:val="1"/>
        </w:numPr>
        <w:spacing w:after="80" w:line="300"/>
      </w:pPr>
      <w:r>
        <w:rPr>
          <w:sz w:val="22"/>
          <w:szCs w:val="22"/>
        </w:rPr>
        <w:t xml:space="preserve">Physical operating premises at Miami, FL (5-year lease executed February 2026, base rent $4,800 per month with 3% annual escalation, common-area maintenance pass-through)</w:t>
      </w:r>
    </w:p>
    <w:p>
      <w:pPr>
        <w:pStyle w:val="ListParagraph"/>
        <w:numPr>
          <w:ilvl w:val="0"/>
          <w:numId w:val="1"/>
        </w:numPr>
        <w:spacing w:after="80" w:line="300"/>
      </w:pPr>
      <w:r>
        <w:rPr>
          <w:sz w:val="22"/>
          <w:szCs w:val="22"/>
        </w:rPr>
        <w:t xml:space="preserve">Operating equipment and inventory: per equipment list in Section 9</w:t>
      </w:r>
    </w:p>
    <w:p>
      <w:pPr>
        <w:pStyle w:val="ListParagraph"/>
        <w:numPr>
          <w:ilvl w:val="0"/>
          <w:numId w:val="1"/>
        </w:numPr>
        <w:spacing w:after="80" w:line="300"/>
      </w:pPr>
      <w:r>
        <w:rPr>
          <w:sz w:val="22"/>
          <w:szCs w:val="22"/>
        </w:rPr>
        <w:t xml:space="preserve">Vendor and supplier relationships: per vendor list in Section 9</w:t>
      </w:r>
    </w:p>
    <w:p>
      <w:pPr>
        <w:pStyle w:val="ListParagraph"/>
        <w:numPr>
          <w:ilvl w:val="0"/>
          <w:numId w:val="1"/>
        </w:numPr>
        <w:spacing w:after="80" w:line="300"/>
      </w:pPr>
      <w:r>
        <w:rPr>
          <w:sz w:val="22"/>
          <w:szCs w:val="22"/>
        </w:rPr>
        <w:t xml:space="preserve">Regulatory registrations: state and federal registrations in Section 9</w:t>
      </w:r>
    </w:p>
    <w:p>
      <w:pPr>
        <w:pStyle w:val="ListParagraph"/>
        <w:numPr>
          <w:ilvl w:val="0"/>
          <w:numId w:val="1"/>
        </w:numPr>
        <w:spacing w:after="80" w:line="300"/>
      </w:pPr>
      <w:r>
        <w:rPr>
          <w:sz w:val="22"/>
          <w:szCs w:val="22"/>
        </w:rPr>
        <w:t xml:space="preserve">Active or imminent revenue-generating operations: pre-launch operations underway</w:t>
      </w:r>
    </w:p>
    <w:p>
      <w:pPr>
        <w:spacing w:after="160" w:line="320"/>
      </w:pPr>
      <w:r>
        <w:rPr>
          <w:sz w:val="22"/>
          <w:szCs w:val="22"/>
        </w:rPr>
        <w:t xml:space="preserve">The enterprise is not a paper company, a passive investment, or a speculative undertaking.</w:t>
      </w:r>
    </w:p>
    <w:p>
      <w:pPr>
        <w:pStyle w:val="Heading2"/>
        <w:spacing w:after="180" w:before="360"/>
      </w:pPr>
      <w:r>
        <w:rPr>
          <w:sz w:val="26"/>
          <w:szCs w:val="26"/>
        </w:rPr>
        <w:t xml:space="preserve">5. Marginality test</w:t>
      </w:r>
    </w:p>
    <w:p>
      <w:pPr>
        <w:spacing w:after="160" w:line="320"/>
      </w:pPr>
      <w:r>
        <w:rPr>
          <w:sz w:val="22"/>
          <w:szCs w:val="22"/>
        </w:rPr>
        <w:t xml:space="preserve">Bahia &amp; Beans Kitchen is not a marginal enterprise. The five-year financial projections demonstrate that the enterprise will generate substantially more than a minimal living for the investor and the investor's family, satisfying the marginality standard under 8 CFR 214.2(e)(15).</w:t>
      </w:r>
    </w:p>
    <w:p>
      <w:pPr>
        <w:spacing w:after="160" w:line="320"/>
      </w:pPr>
      <w:r>
        <w:rPr>
          <w:b/>
          <w:bCs/>
          <w:sz w:val="22"/>
          <w:szCs w:val="22"/>
        </w:rPr>
        <w:t xml:space="preserve">Marginality benchmark (US median household income for Brazil family of 3):</w:t>
      </w:r>
      <w:r>
        <w:rPr>
          <w:sz w:val="22"/>
          <w:szCs w:val="22"/>
        </w:rPr>
        <w:t xml:space="preserve"> $63,393</w:t>
      </w:r>
    </w:p>
    <w:p>
      <w:pPr>
        <w:spacing w:after="160" w:line="320"/>
      </w:pPr>
      <w:r>
        <w:rPr>
          <w:b/>
          <w:bCs/>
          <w:sz w:val="22"/>
          <w:szCs w:val="22"/>
        </w:rPr>
        <w:t xml:space="preserve">Year-1 net business income to investor:</w:t>
      </w:r>
      <w:r>
        <w:rPr>
          <w:sz w:val="22"/>
          <w:szCs w:val="22"/>
        </w:rPr>
        <w:t xml:space="preserve"> {{year1</w:t>
      </w:r>
      <w:r>
        <w:rPr>
          <w:i/>
          <w:iCs/>
          <w:sz w:val="22"/>
          <w:szCs w:val="22"/>
        </w:rPr>
        <w:t xml:space="preserve">net</w:t>
      </w:r>
      <w:r>
        <w:rPr>
          <w:sz w:val="22"/>
          <w:szCs w:val="22"/>
        </w:rPr>
        <w:t xml:space="preserve">income}} </w:t>
      </w:r>
      <w:r>
        <w:rPr>
          <w:b/>
          <w:bCs/>
          <w:sz w:val="22"/>
          <w:szCs w:val="22"/>
        </w:rPr>
        <w:t xml:space="preserve">Year-3 net business income to investor:</w:t>
      </w:r>
      <w:r>
        <w:rPr>
          <w:sz w:val="22"/>
          <w:szCs w:val="22"/>
        </w:rPr>
        <w:t xml:space="preserve"> {{year3</w:t>
      </w:r>
      <w:r>
        <w:rPr>
          <w:i/>
          <w:iCs/>
          <w:sz w:val="22"/>
          <w:szCs w:val="22"/>
        </w:rPr>
        <w:t xml:space="preserve">net</w:t>
      </w:r>
      <w:r>
        <w:rPr>
          <w:sz w:val="22"/>
          <w:szCs w:val="22"/>
        </w:rPr>
        <w:t xml:space="preserve">income}} </w:t>
      </w:r>
      <w:r>
        <w:rPr>
          <w:b/>
          <w:bCs/>
          <w:sz w:val="22"/>
          <w:szCs w:val="22"/>
        </w:rPr>
        <w:t xml:space="preserve">Year-5 net business income to investor:</w:t>
      </w:r>
      <w:r>
        <w:rPr>
          <w:sz w:val="22"/>
          <w:szCs w:val="22"/>
        </w:rPr>
        <w:t xml:space="preserve"> {{year5</w:t>
      </w:r>
      <w:r>
        <w:rPr>
          <w:i/>
          <w:iCs/>
          <w:sz w:val="22"/>
          <w:szCs w:val="22"/>
        </w:rPr>
        <w:t xml:space="preserve">net</w:t>
      </w:r>
      <w:r>
        <w:rPr>
          <w:sz w:val="22"/>
          <w:szCs w:val="22"/>
        </w:rPr>
        <w:t xml:space="preserve">income}}</w:t>
      </w:r>
    </w:p>
    <w:p>
      <w:pPr>
        <w:spacing w:after="160" w:line="320"/>
      </w:pPr>
      <w:r>
        <w:rPr>
          <w:sz w:val="22"/>
          <w:szCs w:val="22"/>
        </w:rPr>
        <w:t xml:space="preserve">The Year-3 and Year-5 figures exceed the marginality benchmark by a substantial margin. Additionally, the enterprise creates US employment at the levels detailed in Section 8 (US Hiring Plan), further evidencing non-marginal economic impact.</w:t>
      </w:r>
    </w:p>
    <w:p>
      <w:pPr>
        <w:spacing w:after="160" w:line="320"/>
      </w:pPr>
      <w:r>
        <w:rPr>
          <w:sz w:val="22"/>
          <w:szCs w:val="22"/>
        </w:rPr>
        <w:t xml:space="preserve">The enterprise generates $210,000 in Year-3 net income and $360,000 in Year-5 net income, both well in excess of the $63,393 marginality benchmark for a 3-person household from Brazil. Additionally, the enterprise creates 10 cumulative U.S. direct hires by Year 3.</w:t>
      </w:r>
    </w:p>
    <w:p>
      <w:pPr>
        <w:pStyle w:val="Heading2"/>
        <w:spacing w:after="180" w:before="360"/>
      </w:pPr>
      <w:r>
        <w:rPr>
          <w:sz w:val="26"/>
          <w:szCs w:val="26"/>
        </w:rPr>
        <w:t xml:space="preserve">6. Develop and direct</w:t>
      </w:r>
    </w:p>
    <w:p>
      <w:pPr>
        <w:spacing w:after="160" w:line="320"/>
      </w:pPr>
      <w:r>
        <w:rPr>
          <w:sz w:val="22"/>
          <w:szCs w:val="22"/>
        </w:rPr>
        <w:t xml:space="preserve">The applicant Marcos Almeida will develop and direct Bahia &amp; Beans Kitchen. Operational control is evidenced by:</w:t>
      </w:r>
    </w:p>
    <w:p>
      <w:pPr>
        <w:pStyle w:val="ListParagraph"/>
        <w:numPr>
          <w:ilvl w:val="0"/>
          <w:numId w:val="1"/>
        </w:numPr>
        <w:spacing w:after="80" w:line="300"/>
      </w:pPr>
      <w:r>
        <w:rPr>
          <w:b/>
          <w:bCs/>
          <w:sz w:val="22"/>
          <w:szCs w:val="22"/>
        </w:rPr>
        <w:t xml:space="preserve">Ownership:</w:t>
      </w:r>
      <w:r>
        <w:rPr>
          <w:sz w:val="22"/>
          <w:szCs w:val="22"/>
        </w:rPr>
        <w:t xml:space="preserve"> Marcos Almeida holds 100% of the equity in Bahia &amp; Beans Kitchen, satisfying the at-least-50% threshold for develop-and-direct under 8 CFR 214.2(e)(7)</w:t>
      </w:r>
    </w:p>
    <w:p>
      <w:pPr>
        <w:pStyle w:val="ListParagraph"/>
        <w:numPr>
          <w:ilvl w:val="0"/>
          <w:numId w:val="1"/>
        </w:numPr>
        <w:spacing w:after="80" w:line="300"/>
      </w:pPr>
      <w:r>
        <w:rPr>
          <w:b/>
          <w:bCs/>
          <w:sz w:val="22"/>
          <w:szCs w:val="22"/>
        </w:rPr>
        <w:t xml:space="preserve">Title and authority:</w:t>
      </w:r>
      <w:r>
        <w:rPr>
          <w:sz w:val="22"/>
          <w:szCs w:val="22"/>
        </w:rPr>
        <w:t xml:space="preserve"> Marcos Almeida serves as Founder and Chief Executive Officer of the enterprise with binding authority over corporate governance, hiring decisions, capital deployment, and strategic direction</w:t>
      </w:r>
    </w:p>
    <w:p>
      <w:pPr>
        <w:pStyle w:val="ListParagraph"/>
        <w:numPr>
          <w:ilvl w:val="0"/>
          <w:numId w:val="1"/>
        </w:numPr>
        <w:spacing w:after="80" w:line="300"/>
      </w:pPr>
      <w:r>
        <w:rPr>
          <w:b/>
          <w:bCs/>
          <w:sz w:val="22"/>
          <w:szCs w:val="22"/>
        </w:rPr>
        <w:t xml:space="preserve">Day-to-day operations:</w:t>
      </w:r>
      <w:r>
        <w:rPr>
          <w:sz w:val="22"/>
          <w:szCs w:val="22"/>
        </w:rPr>
        <w:t xml:space="preserve"> Marcos Almeida's day-to-day responsibilities are detailed in Section 8 (US Hiring Plan) and include corporate governance, hiring decisions, capital deployment, vendor selection, and strategic direction of the enterprise</w:t>
      </w:r>
    </w:p>
    <w:p>
      <w:pPr>
        <w:spacing w:after="160" w:line="320"/>
      </w:pPr>
      <w:r>
        <w:rPr>
          <w:sz w:val="22"/>
          <w:szCs w:val="22"/>
        </w:rPr>
        <w:t xml:space="preserve">The applicant's qualifications to develop and direct this enterprise are established in the Investor Background section.</w:t>
      </w:r>
    </w:p>
    <w:p>
      <w:pPr>
        <w:pStyle w:val="Heading2"/>
        <w:spacing w:after="180" w:before="360"/>
      </w:pPr>
      <w:r>
        <w:rPr>
          <w:sz w:val="26"/>
          <w:szCs w:val="26"/>
        </w:rPr>
        <w:t xml:space="preserve">7. Petition outlook</w:t>
      </w:r>
    </w:p>
    <w:p>
      <w:pPr>
        <w:spacing w:after="160" w:line="320"/>
      </w:pPr>
      <w:r>
        <w:rPr>
          <w:sz w:val="22"/>
          <w:szCs w:val="22"/>
        </w:rPr>
        <w:t xml:space="preserve">Based on the foregoing analysis and the financial projections in Section 7 (Expanded Financial Model), Bahia &amp; Beans Kitchen satisfies the operative E-2 eligibility criteria. Supporting documentation for each prong is provided by the firm of record as petition exhibits, and the firm retains responsibility for visa-category compliance verification and submission.</w:t>
      </w:r>
    </w:p>
    <w:p>
      <w:pPr>
        <w:pStyle w:val="Heading1"/>
        <w:pageBreakBefore/>
        <w:spacing w:after="240" w:before="480"/>
      </w:pPr>
      <w:r>
        <w:t xml:space="preserve">Executive Summary</w:t>
      </w:r>
    </w:p>
    <w:p>
      <w:pPr>
        <w:pStyle w:val="Heading2"/>
      </w:pPr>
      <w:r>
        <w:t xml:space="preserve">Overview</w:t>
      </w:r>
    </w:p>
    <w:p>
      <w:pPr>
        <w:spacing w:after="160" w:line="320"/>
      </w:pPr>
      <w:r>
        <w:rPr>
          <w:sz w:val="22"/>
          <w:szCs w:val="22"/>
        </w:rPr>
        <w:t xml:space="preserve">Bahia &amp; Beans Kitchen is a quick-casual Brazilian restaurant concept opening in Miami's Brickell neighborhood, targeting urban professionals, the local Brazilian-American community, and adventurous diners who currently lack access to authentic regional Brazilian cuisine in a casual format. Founded by Marcos Almeida, an experienced Brazilian restaurateur with twelve years of P&amp;L responsibility in Sao Paulo and Rio de Janeiro, the business will generate Year-1 revenue of $480,000 from a single 1,650 sqft location with 45 dining seats, takeout, and third-party delivery. The concept reaches profitability in Month 8 and grows to $980,000 in Year 3 driven by ramping foot traffic, expanded delivery, and Year-3 launch of a corporate catering program.</w:t>
      </w:r>
    </w:p>
    <w:p>
      <w:pPr>
        <w:pStyle w:val="Heading2"/>
      </w:pPr>
      <w:r>
        <w:t xml:space="preserve">Mission</w:t>
      </w:r>
    </w:p>
    <w:p>
      <w:pPr>
        <w:spacing w:after="160" w:line="320"/>
      </w:pPr>
      <w:r>
        <w:rPr>
          <w:sz w:val="22"/>
          <w:szCs w:val="22"/>
        </w:rPr>
        <w:t xml:space="preserve">Bring authentic regional Brazilian cuisine to Miami in a casual, accessible format that respects the cuisine's origins and serves both the Brazilian-American community and the broader Miami diner.</w:t>
      </w:r>
    </w:p>
    <w:p>
      <w:pPr>
        <w:pStyle w:val="Heading2"/>
      </w:pPr>
      <w:r>
        <w:t xml:space="preserve">Value Proposition</w:t>
      </w:r>
    </w:p>
    <w:p>
      <w:pPr>
        <w:spacing w:after="160" w:line="320"/>
      </w:pPr>
      <w:r>
        <w:rPr>
          <w:sz w:val="22"/>
          <w:szCs w:val="22"/>
        </w:rPr>
        <w:t xml:space="preserve">Authentic regional Brazilian cuisine (not the buffet-churrascaria stereotype) at a quick-casual price point with full-service quality. We win on authenticity gap that every other Brazilian restaurant in Miami fails to fill.</w:t>
      </w:r>
    </w:p>
    <w:p>
      <w:pPr>
        <w:pStyle w:val="Heading2"/>
      </w:pPr>
      <w:r>
        <w:t xml:space="preserve">Key Metrics</w:t>
      </w:r>
    </w:p>
    <w:p>
      <w:pPr>
        <w:pStyle w:val="ListParagraph"/>
        <w:numPr>
          <w:ilvl w:val="0"/>
          <w:numId w:val="1"/>
        </w:numPr>
        <w:spacing w:after="80" w:line="300"/>
      </w:pPr>
      <w:r>
        <w:rPr>
          <w:sz w:val="22"/>
          <w:szCs w:val="22"/>
        </w:rPr>
        <w:t xml:space="preserve">Year 1 revenue: $480,000</w:t>
      </w:r>
    </w:p>
    <w:p>
      <w:pPr>
        <w:pStyle w:val="ListParagraph"/>
        <w:numPr>
          <w:ilvl w:val="0"/>
          <w:numId w:val="1"/>
        </w:numPr>
        <w:spacing w:after="80" w:line="300"/>
      </w:pPr>
      <w:r>
        <w:rPr>
          <w:sz w:val="22"/>
          <w:szCs w:val="22"/>
        </w:rPr>
        <w:t xml:space="preserve">Average ticket: $14.50</w:t>
      </w:r>
    </w:p>
    <w:p>
      <w:pPr>
        <w:pStyle w:val="ListParagraph"/>
        <w:numPr>
          <w:ilvl w:val="0"/>
          <w:numId w:val="1"/>
        </w:numPr>
        <w:spacing w:after="80" w:line="300"/>
      </w:pPr>
      <w:r>
        <w:rPr>
          <w:sz w:val="22"/>
          <w:szCs w:val="22"/>
        </w:rPr>
        <w:t xml:space="preserve">Daily transactions target by Month 12: 130</w:t>
      </w:r>
    </w:p>
    <w:p>
      <w:pPr>
        <w:pStyle w:val="ListParagraph"/>
        <w:numPr>
          <w:ilvl w:val="0"/>
          <w:numId w:val="1"/>
        </w:numPr>
        <w:spacing w:after="80" w:line="300"/>
      </w:pPr>
      <w:r>
        <w:rPr>
          <w:sz w:val="22"/>
          <w:szCs w:val="22"/>
        </w:rPr>
        <w:t xml:space="preserve">Food cost percentage target: 30 percent</w:t>
      </w:r>
    </w:p>
    <w:p>
      <w:pPr>
        <w:pStyle w:val="ListParagraph"/>
        <w:numPr>
          <w:ilvl w:val="0"/>
          <w:numId w:val="1"/>
        </w:numPr>
        <w:spacing w:after="80" w:line="300"/>
      </w:pPr>
      <w:r>
        <w:rPr>
          <w:sz w:val="22"/>
          <w:szCs w:val="22"/>
        </w:rPr>
        <w:t xml:space="preserve">Year 3 revenue: $980,000</w:t>
      </w:r>
    </w:p>
    <w:p>
      <w:pPr>
        <w:pStyle w:val="ListParagraph"/>
        <w:numPr>
          <w:ilvl w:val="0"/>
          <w:numId w:val="1"/>
        </w:numPr>
        <w:spacing w:after="80" w:line="300"/>
      </w:pPr>
      <w:r>
        <w:rPr>
          <w:sz w:val="22"/>
          <w:szCs w:val="22"/>
        </w:rPr>
        <w:t xml:space="preserve">Year 5 revenue: $1.45M projected</w:t>
      </w:r>
    </w:p>
    <w:p>
      <w:pPr>
        <w:pStyle w:val="Heading1"/>
        <w:pageBreakBefore/>
        <w:spacing w:after="240" w:before="480"/>
      </w:pPr>
      <w:r>
        <w:t xml:space="preserve">Competitor Analysis</w:t>
      </w:r>
    </w:p>
    <w:p>
      <w:pPr>
        <w:spacing w:after="160" w:line="320"/>
      </w:pPr>
      <w:r>
        <w:rPr>
          <w:sz w:val="22"/>
          <w:szCs w:val="22"/>
        </w:rPr>
        <w:t xml:space="preserve">Miami has approximately 18 Brazilian-themed restaurants, of which the majority are full-service buffet-style churrascarias targeting tourists. Only three competitors operate a quick-casual format, and none focus on regional Brazilian cuisine beyond the well-known Southern grill traditions.</w:t>
      </w:r>
    </w:p>
    <w:p>
      <w:pPr>
        <w:pStyle w:val="Heading2"/>
      </w:pPr>
      <w:r>
        <w:t xml:space="preserve">Texas de Brazil (Brickell location)</w:t>
      </w:r>
    </w:p>
    <w:p>
      <w:pPr>
        <w:spacing w:after="160" w:line="320"/>
      </w:pPr>
      <w:r>
        <w:rPr>
          <w:sz w:val="22"/>
          <w:szCs w:val="22"/>
        </w:rPr>
        <w:t xml:space="preserve">Full-service churrascaria chain, $59 prix-fixe rodizio dinner, tourist-heavy.</w:t>
      </w:r>
    </w:p>
    <w:p>
      <w:pPr>
        <w:spacing w:after="160" w:line="320"/>
      </w:pPr>
      <w:r>
        <w:rPr>
          <w:sz w:val="22"/>
          <w:szCs w:val="22"/>
        </w:rPr>
        <w:t xml:space="preserve">Pricing: $59 dinner rodizio, $35 lunch rodizio</w:t>
      </w:r>
    </w:p>
    <w:p>
      <w:pPr>
        <w:pStyle w:val="Heading2"/>
      </w:pPr>
      <w:r>
        <w:t xml:space="preserve">Boteco Restaurant (Coconut Grove)</w:t>
      </w:r>
    </w:p>
    <w:p>
      <w:pPr>
        <w:spacing w:after="160" w:line="320"/>
      </w:pPr>
      <w:r>
        <w:rPr>
          <w:sz w:val="22"/>
          <w:szCs w:val="22"/>
        </w:rPr>
        <w:t xml:space="preserve">Casual Brazilian bar-restaurant, single-location independent.</w:t>
      </w:r>
    </w:p>
    <w:p>
      <w:pPr>
        <w:spacing w:after="160" w:line="320"/>
      </w:pPr>
      <w:r>
        <w:rPr>
          <w:sz w:val="22"/>
          <w:szCs w:val="22"/>
        </w:rPr>
        <w:t xml:space="preserve">Pricing: $22 average dinner ticket</w:t>
      </w:r>
    </w:p>
    <w:p>
      <w:pPr>
        <w:pStyle w:val="Heading2"/>
      </w:pPr>
      <w:r>
        <w:t xml:space="preserve">Tropical Chinese (Brazilian-Chinese fusion, Coral Way)</w:t>
      </w:r>
    </w:p>
    <w:p>
      <w:pPr>
        <w:spacing w:after="160" w:line="320"/>
      </w:pPr>
      <w:r>
        <w:rPr>
          <w:sz w:val="22"/>
          <w:szCs w:val="22"/>
        </w:rPr>
        <w:t xml:space="preserve">Niche Brazilian-Chinese fusion concept.</w:t>
      </w:r>
    </w:p>
    <w:p>
      <w:pPr>
        <w:spacing w:after="160" w:line="320"/>
      </w:pPr>
      <w:r>
        <w:rPr>
          <w:sz w:val="22"/>
          <w:szCs w:val="22"/>
        </w:rPr>
        <w:t xml:space="preserve">Pricing: $18-$28 dinner ticket</w:t>
      </w:r>
    </w:p>
    <w:p>
      <w:pPr>
        <w:pStyle w:val="Heading1"/>
        <w:pageBreakBefore/>
        <w:spacing w:after="240" w:before="480"/>
      </w:pPr>
      <w:r>
        <w:t xml:space="preserve">Market Analysis</w:t>
      </w:r>
    </w:p>
    <w:p>
      <w:pPr>
        <w:spacing w:after="160" w:line="320"/>
      </w:pPr>
      <w:r>
        <w:rPr>
          <w:sz w:val="22"/>
          <w:szCs w:val="22"/>
        </w:rPr>
        <w:t xml:space="preserve">The U.S. quick-casual restaurant segment grew from $51B in 2020 to $76B in 2025 according to Technomic, with ethnic-cuisine quick-casual the fastest-growing sub-segment at 12 percent year-over-year. Miami specifically has a Brazilian-American population of approximately 75,000 and a broader Latin-American population of 1.1M, both of which are over-served by full-service Latin restaurants and under-served by quick-casual ethnic concepts.
Miami's quick-casual ethnic dining boom (Vietnamese, Korean, Middle Eastern) has demonstrated that the market supports authentic regional concepts at $12-$18 ticket points. Brazilian as a quick-casual category is largely uncontested.</w:t>
      </w:r>
    </w:p>
    <w:p>
      <w:pPr>
        <w:pStyle w:val="Heading2"/>
      </w:pPr>
      <w:r>
        <w:t xml:space="preserve">Market Size</w:t>
      </w:r>
    </w:p>
    <w:p>
      <w:pPr>
        <w:spacing w:after="160" w:line="320"/>
      </w:pPr>
      <w:r>
        <w:rPr>
          <w:sz w:val="22"/>
          <w:szCs w:val="22"/>
        </w:rPr>
        <w:t xml:space="preserve">TAM: $76B U.S. quick-casual. SAM: $1.8B Miami-Dade ethnic quick-casual. SOM: $2-3M attainable single-location capture for an authentic regional Brazilian concept.</w:t>
      </w:r>
    </w:p>
    <w:p>
      <w:pPr>
        <w:pStyle w:val="Heading2"/>
      </w:pPr>
      <w:r>
        <w:t xml:space="preserve">Industry Trends</w:t>
      </w:r>
    </w:p>
    <w:p>
      <w:pPr>
        <w:pStyle w:val="ListParagraph"/>
        <w:numPr>
          <w:ilvl w:val="0"/>
          <w:numId w:val="1"/>
        </w:numPr>
        <w:spacing w:after="80" w:line="300"/>
      </w:pPr>
      <w:r>
        <w:rPr>
          <w:sz w:val="22"/>
          <w:szCs w:val="22"/>
        </w:rPr>
        <w:t xml:space="preserve">Continued shift from full-service to quick-casual in the $12-$18 ticket band</w:t>
      </w:r>
    </w:p>
    <w:p>
      <w:pPr>
        <w:pStyle w:val="ListParagraph"/>
        <w:numPr>
          <w:ilvl w:val="0"/>
          <w:numId w:val="1"/>
        </w:numPr>
        <w:spacing w:after="80" w:line="300"/>
      </w:pPr>
      <w:r>
        <w:rPr>
          <w:sz w:val="22"/>
          <w:szCs w:val="22"/>
        </w:rPr>
        <w:t xml:space="preserve">Authentic ethnic regional concepts replacing Americanized fusion</w:t>
      </w:r>
    </w:p>
    <w:p>
      <w:pPr>
        <w:pStyle w:val="ListParagraph"/>
        <w:numPr>
          <w:ilvl w:val="0"/>
          <w:numId w:val="1"/>
        </w:numPr>
        <w:spacing w:after="80" w:line="300"/>
      </w:pPr>
      <w:r>
        <w:rPr>
          <w:sz w:val="22"/>
          <w:szCs w:val="22"/>
        </w:rPr>
        <w:t xml:space="preserve">Off-premise revenue (delivery + catering) approaching 35 percent of category total</w:t>
      </w:r>
    </w:p>
    <w:p>
      <w:pPr>
        <w:pStyle w:val="ListParagraph"/>
        <w:numPr>
          <w:ilvl w:val="0"/>
          <w:numId w:val="1"/>
        </w:numPr>
        <w:spacing w:after="80" w:line="300"/>
      </w:pPr>
      <w:r>
        <w:rPr>
          <w:sz w:val="22"/>
          <w:szCs w:val="22"/>
        </w:rPr>
        <w:t xml:space="preserve">Brazilian cultural visibility in Miami growing with Brazilian population in-migration</w:t>
      </w:r>
    </w:p>
    <w:p>
      <w:pPr>
        <w:pStyle w:val="Heading1"/>
        <w:pageBreakBefore/>
        <w:spacing w:after="240" w:before="480"/>
      </w:pPr>
      <w:r>
        <w:t xml:space="preserve">Marketing Strategy</w:t>
      </w:r>
    </w:p>
    <w:p>
      <w:pPr>
        <w:pStyle w:val="Heading2"/>
      </w:pPr>
      <w:r>
        <w:t xml:space="preserve">Positioning</w:t>
      </w:r>
    </w:p>
    <w:p>
      <w:pPr>
        <w:spacing w:after="160" w:line="320"/>
      </w:pPr>
      <w:r>
        <w:rPr>
          <w:sz w:val="22"/>
          <w:szCs w:val="22"/>
        </w:rPr>
        <w:t xml:space="preserve">Authentic regional Brazilian. Quick-casual price. Open all day.</w:t>
      </w:r>
    </w:p>
    <w:p>
      <w:pPr>
        <w:pStyle w:val="Heading2"/>
      </w:pPr>
      <w:r>
        <w:t xml:space="preserve">Launch Plan</w:t>
      </w:r>
    </w:p>
    <w:p>
      <w:pPr>
        <w:spacing w:after="160" w:line="320"/>
      </w:pPr>
      <w:r>
        <w:rPr>
          <w:sz w:val="22"/>
          <w:szCs w:val="22"/>
        </w:rPr>
        <w:t xml:space="preserve">Months 1-2: soft launch, neighborhood seeding, capture Google reviews. Months 3-4: Instagram paid push, community partnerships kick off. Months 5-6: refine menu based on data, launch lunch-special pricing. Months 7-12: prepare catering channel for Year-2 launch.</w:t>
      </w:r>
    </w:p>
    <w:p>
      <w:pPr>
        <w:pStyle w:val="Heading1"/>
        <w:pageBreakBefore/>
        <w:spacing w:after="180" w:before="480"/>
      </w:pPr>
      <w:r>
        <w:rPr>
          <w:sz w:val="32"/>
          <w:szCs w:val="32"/>
        </w:rPr>
        <w:t xml:space="preserve">Expanded Financial Model</w:t>
      </w:r>
    </w:p>
    <w:p>
      <w:pPr>
        <w:spacing w:after="160" w:line="320"/>
      </w:pPr>
      <w:r>
        <w:rPr>
          <w:sz w:val="22"/>
          <w:szCs w:val="22"/>
        </w:rPr>
        <w:t xml:space="preserve">This section presents the five-year financial model for Bahia &amp; Beans Kitchen. The model is constructed bottom-up from the operating assumptions detailed in the Operations Plan and the revenue model in the Executive Summary. All currency figures are in US dollars.</w:t>
      </w:r>
    </w:p>
    <w:p>
      <w:pPr>
        <w:pStyle w:val="Heading2"/>
        <w:spacing w:after="180" w:before="360"/>
      </w:pPr>
      <w:r>
        <w:rPr>
          <w:sz w:val="26"/>
          <w:szCs w:val="26"/>
        </w:rPr>
        <w:t xml:space="preserve">7.1 Modeling assumptions</w:t>
      </w:r>
    </w:p>
    <w:p>
      <w:pPr>
        <w:spacing w:after="160" w:line="320"/>
      </w:pPr>
      <w:r>
        <w:rPr>
          <w:sz w:val="22"/>
          <w:szCs w:val="22"/>
        </w:rPr>
        <w:t xml:space="preserve">The financial model rests on the following assumptions, derived from Restaurant - Quick-Casual industry benchmarks and the enterprise-specific operating model:</w:t>
      </w:r>
    </w:p>
    <w:p>
      <w:pPr>
        <w:pStyle w:val="ListParagraph"/>
        <w:numPr>
          <w:ilvl w:val="0"/>
          <w:numId w:val="1"/>
        </w:numPr>
        <w:spacing w:after="80" w:line="300"/>
      </w:pPr>
      <w:r>
        <w:rPr>
          <w:sz w:val="22"/>
          <w:szCs w:val="22"/>
        </w:rPr>
        <w:t xml:space="preserve">Year-1 daily transactions ramp from 50 in Month 1 to 130 in Month 12</w:t>
      </w:r>
    </w:p>
    <w:p>
      <w:pPr>
        <w:pStyle w:val="ListParagraph"/>
        <w:numPr>
          <w:ilvl w:val="0"/>
          <w:numId w:val="1"/>
        </w:numPr>
        <w:spacing w:after="80" w:line="300"/>
      </w:pPr>
      <w:r>
        <w:rPr>
          <w:sz w:val="22"/>
          <w:szCs w:val="22"/>
        </w:rPr>
        <w:t xml:space="preserve">Average ticket: $14.50 (industry benchmark for quick-casual ethnic in Miami is $13-$17)</w:t>
      </w:r>
    </w:p>
    <w:p>
      <w:pPr>
        <w:pStyle w:val="ListParagraph"/>
        <w:numPr>
          <w:ilvl w:val="0"/>
          <w:numId w:val="1"/>
        </w:numPr>
        <w:spacing w:after="80" w:line="300"/>
      </w:pPr>
      <w:r>
        <w:rPr>
          <w:sz w:val="22"/>
          <w:szCs w:val="22"/>
        </w:rPr>
        <w:t xml:space="preserve">Food cost: 30 percent of revenue (Restaurant Depot pricing model)</w:t>
      </w:r>
    </w:p>
    <w:p>
      <w:pPr>
        <w:pStyle w:val="ListParagraph"/>
        <w:numPr>
          <w:ilvl w:val="0"/>
          <w:numId w:val="1"/>
        </w:numPr>
        <w:spacing w:after="80" w:line="300"/>
      </w:pPr>
      <w:r>
        <w:rPr>
          <w:sz w:val="22"/>
          <w:szCs w:val="22"/>
        </w:rPr>
        <w:t xml:space="preserve">Labor cost: 32 percent of revenue including FICA, workers comp, benefits</w:t>
      </w:r>
    </w:p>
    <w:p>
      <w:pPr>
        <w:pStyle w:val="ListParagraph"/>
        <w:numPr>
          <w:ilvl w:val="0"/>
          <w:numId w:val="1"/>
        </w:numPr>
        <w:spacing w:after="80" w:line="300"/>
      </w:pPr>
      <w:r>
        <w:rPr>
          <w:sz w:val="22"/>
          <w:szCs w:val="22"/>
        </w:rPr>
        <w:t xml:space="preserve">Catering channel begins Year 2, contributes 8 percent of revenue Y2 and 12 percent Y3+</w:t>
      </w:r>
    </w:p>
    <w:p>
      <w:pPr>
        <w:spacing w:after="160" w:line="320"/>
      </w:pPr>
      <w:r>
        <w:rPr>
          <w:sz w:val="22"/>
          <w:szCs w:val="22"/>
        </w:rPr>
        <w:t xml:space="preserve">The model is presented in three scenarios: best case (revenue 25% above base), base case (most likely), and worst case (revenue 25% below base). Adjudicators reviewing the model should reference the base case for all eligibility analysis. The best-case and worst-case scenarios are provided for sensitivity analysis only.</w:t>
      </w:r>
    </w:p>
    <w:p>
      <w:pPr>
        <w:pStyle w:val="Heading2"/>
        <w:spacing w:after="180" w:before="360"/>
      </w:pPr>
      <w:r>
        <w:rPr>
          <w:sz w:val="26"/>
          <w:szCs w:val="26"/>
        </w:rPr>
        <w:t xml:space="preserve">7.2 Year 1 monthly profit and loss (base case)</w:t>
      </w:r>
    </w:p>
    <w:p>
      <w:pPr>
        <w:spacing w:after="160" w:line="320"/>
      </w:pPr>
      <w:r>
        <w:rPr>
          <w:sz w:val="22"/>
          <w:szCs w:val="22"/>
        </w:rPr>
        <w:t xml:space="preserve">The first year is presented monthly to demonstrate the cash-flow trajectory from launch through stabilization. Year 1 reflects a launch ramp followed by steady-state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t xml:space="preserve">Month</w:t>
            </w:r>
          </w:p>
        </w:tc>
        <w:tc>
          <w:tcPr>
            <w:tcW w:type="pct" w:w="20%"/>
          </w:tcPr>
          <w:p>
            <w:r>
              <w:rPr>
                <w:b/>
                <w:bCs/>
                <w:sz w:val="20"/>
                <w:szCs w:val="20"/>
              </w:rPr>
              <w:t xml:space="preserve">Revenue</w:t>
            </w:r>
          </w:p>
        </w:tc>
        <w:tc>
          <w:tcPr>
            <w:tcW w:type="pct" w:w="20%"/>
          </w:tcPr>
          <w:p>
            <w:r>
              <w:rPr>
                <w:b/>
                <w:bCs/>
                <w:sz w:val="20"/>
                <w:szCs w:val="20"/>
              </w:rPr>
              <w:t xml:space="preserve">Operating Costs</w:t>
            </w:r>
          </w:p>
        </w:tc>
        <w:tc>
          <w:tcPr>
            <w:tcW w:type="pct" w:w="20%"/>
          </w:tcPr>
          <w:p>
            <w:r>
              <w:rPr>
                <w:b/>
                <w:bCs/>
                <w:sz w:val="20"/>
                <w:szCs w:val="20"/>
              </w:rPr>
              <w:t xml:space="preserve">Net Cash</w:t>
            </w:r>
          </w:p>
        </w:tc>
        <w:tc>
          <w:tcPr>
            <w:tcW w:type="pct" w:w="20%"/>
          </w:tcPr>
          <w:p>
            <w:r>
              <w:rPr>
                <w:b/>
                <w:bCs/>
                <w:sz w:val="20"/>
                <w:szCs w:val="20"/>
              </w:rPr>
              <w:t xml:space="preserve">Cumulative Cash</w:t>
            </w:r>
          </w:p>
        </w:tc>
      </w:tr>
      <w:tr>
        <w:tc>
          <w:tcPr>
            <w:tcW w:type="pct" w:w="20%"/>
          </w:tcPr>
          <w:p>
            <w:r>
              <w:rPr>
                <w:sz w:val="20"/>
                <w:szCs w:val="20"/>
              </w:rPr>
              <w:t xml:space="preserve">Month 1</w:t>
            </w:r>
          </w:p>
        </w:tc>
        <w:tc>
          <w:tcPr>
            <w:tcW w:type="pct" w:w="20%"/>
          </w:tcPr>
          <w:p>
            <w:r>
              <w:rPr>
                <w:sz w:val="20"/>
                <w:szCs w:val="20"/>
              </w:rPr>
              <w:t xml:space="preserve">{{m1_revenue}}</w:t>
            </w:r>
          </w:p>
        </w:tc>
        <w:tc>
          <w:tcPr>
            <w:tcW w:type="pct" w:w="20%"/>
          </w:tcPr>
          <w:p>
            <w:r>
              <w:rPr>
                <w:sz w:val="20"/>
                <w:szCs w:val="20"/>
              </w:rPr>
              <w:t xml:space="preserve">{{m1_costs}}</w:t>
            </w:r>
          </w:p>
        </w:tc>
        <w:tc>
          <w:tcPr>
            <w:tcW w:type="pct" w:w="20%"/>
          </w:tcPr>
          <w:p>
            <w:r>
              <w:rPr>
                <w:sz w:val="20"/>
                <w:szCs w:val="20"/>
              </w:rPr>
              <w:t xml:space="preserve">{{m1_net}}</w:t>
            </w:r>
          </w:p>
        </w:tc>
        <w:tc>
          <w:tcPr>
            <w:tcW w:type="pct" w:w="20%"/>
          </w:tcPr>
          <w:p>
            <w:r>
              <w:rPr>
                <w:sz w:val="20"/>
                <w:szCs w:val="20"/>
              </w:rPr>
              <w:t xml:space="preserve">{{m1_cumulative}}</w:t>
            </w:r>
          </w:p>
        </w:tc>
      </w:tr>
      <w:tr>
        <w:tc>
          <w:tcPr>
            <w:tcW w:type="pct" w:w="20%"/>
          </w:tcPr>
          <w:p>
            <w:r>
              <w:rPr>
                <w:sz w:val="20"/>
                <w:szCs w:val="20"/>
              </w:rPr>
              <w:t xml:space="preserve">Month 2</w:t>
            </w:r>
          </w:p>
        </w:tc>
        <w:tc>
          <w:tcPr>
            <w:tcW w:type="pct" w:w="20%"/>
          </w:tcPr>
          <w:p>
            <w:r>
              <w:rPr>
                <w:sz w:val="20"/>
                <w:szCs w:val="20"/>
              </w:rPr>
              <w:t xml:space="preserve">{{m2_revenue}}</w:t>
            </w:r>
          </w:p>
        </w:tc>
        <w:tc>
          <w:tcPr>
            <w:tcW w:type="pct" w:w="20%"/>
          </w:tcPr>
          <w:p>
            <w:r>
              <w:rPr>
                <w:sz w:val="20"/>
                <w:szCs w:val="20"/>
              </w:rPr>
              <w:t xml:space="preserve">{{m2_costs}}</w:t>
            </w:r>
          </w:p>
        </w:tc>
        <w:tc>
          <w:tcPr>
            <w:tcW w:type="pct" w:w="20%"/>
          </w:tcPr>
          <w:p>
            <w:r>
              <w:rPr>
                <w:sz w:val="20"/>
                <w:szCs w:val="20"/>
              </w:rPr>
              <w:t xml:space="preserve">{{m2_net}}</w:t>
            </w:r>
          </w:p>
        </w:tc>
        <w:tc>
          <w:tcPr>
            <w:tcW w:type="pct" w:w="20%"/>
          </w:tcPr>
          <w:p>
            <w:r>
              <w:rPr>
                <w:sz w:val="20"/>
                <w:szCs w:val="20"/>
              </w:rPr>
              <w:t xml:space="preserve">{{m2_cumulative}}</w:t>
            </w:r>
          </w:p>
        </w:tc>
      </w:tr>
      <w:tr>
        <w:tc>
          <w:tcPr>
            <w:tcW w:type="pct" w:w="20%"/>
          </w:tcPr>
          <w:p>
            <w:r>
              <w:rPr>
                <w:sz w:val="20"/>
                <w:szCs w:val="20"/>
              </w:rPr>
              <w:t xml:space="preserve">Month 3</w:t>
            </w:r>
          </w:p>
        </w:tc>
        <w:tc>
          <w:tcPr>
            <w:tcW w:type="pct" w:w="20%"/>
          </w:tcPr>
          <w:p>
            <w:r>
              <w:rPr>
                <w:sz w:val="20"/>
                <w:szCs w:val="20"/>
              </w:rPr>
              <w:t xml:space="preserve">{{m3_revenue}}</w:t>
            </w:r>
          </w:p>
        </w:tc>
        <w:tc>
          <w:tcPr>
            <w:tcW w:type="pct" w:w="20%"/>
          </w:tcPr>
          <w:p>
            <w:r>
              <w:rPr>
                <w:sz w:val="20"/>
                <w:szCs w:val="20"/>
              </w:rPr>
              <w:t xml:space="preserve">{{m3_costs}}</w:t>
            </w:r>
          </w:p>
        </w:tc>
        <w:tc>
          <w:tcPr>
            <w:tcW w:type="pct" w:w="20%"/>
          </w:tcPr>
          <w:p>
            <w:r>
              <w:rPr>
                <w:sz w:val="20"/>
                <w:szCs w:val="20"/>
              </w:rPr>
              <w:t xml:space="preserve">{{m3_net}}</w:t>
            </w:r>
          </w:p>
        </w:tc>
        <w:tc>
          <w:tcPr>
            <w:tcW w:type="pct" w:w="20%"/>
          </w:tcPr>
          <w:p>
            <w:r>
              <w:rPr>
                <w:sz w:val="20"/>
                <w:szCs w:val="20"/>
              </w:rPr>
              <w:t xml:space="preserve">{{m3_cumulative}}</w:t>
            </w:r>
          </w:p>
        </w:tc>
      </w:tr>
      <w:tr>
        <w:tc>
          <w:tcPr>
            <w:tcW w:type="pct" w:w="20%"/>
          </w:tcPr>
          <w:p>
            <w:r>
              <w:rPr>
                <w:sz w:val="20"/>
                <w:szCs w:val="20"/>
              </w:rPr>
              <w:t xml:space="preserve">Month 4</w:t>
            </w:r>
          </w:p>
        </w:tc>
        <w:tc>
          <w:tcPr>
            <w:tcW w:type="pct" w:w="20%"/>
          </w:tcPr>
          <w:p>
            <w:r>
              <w:rPr>
                <w:sz w:val="20"/>
                <w:szCs w:val="20"/>
              </w:rPr>
              <w:t xml:space="preserve">{{m4_revenue}}</w:t>
            </w:r>
          </w:p>
        </w:tc>
        <w:tc>
          <w:tcPr>
            <w:tcW w:type="pct" w:w="20%"/>
          </w:tcPr>
          <w:p>
            <w:r>
              <w:rPr>
                <w:sz w:val="20"/>
                <w:szCs w:val="20"/>
              </w:rPr>
              <w:t xml:space="preserve">{{m4_costs}}</w:t>
            </w:r>
          </w:p>
        </w:tc>
        <w:tc>
          <w:tcPr>
            <w:tcW w:type="pct" w:w="20%"/>
          </w:tcPr>
          <w:p>
            <w:r>
              <w:rPr>
                <w:sz w:val="20"/>
                <w:szCs w:val="20"/>
              </w:rPr>
              <w:t xml:space="preserve">{{m4_net}}</w:t>
            </w:r>
          </w:p>
        </w:tc>
        <w:tc>
          <w:tcPr>
            <w:tcW w:type="pct" w:w="20%"/>
          </w:tcPr>
          <w:p>
            <w:r>
              <w:rPr>
                <w:sz w:val="20"/>
                <w:szCs w:val="20"/>
              </w:rPr>
              <w:t xml:space="preserve">{{m4_cumulative}}</w:t>
            </w:r>
          </w:p>
        </w:tc>
      </w:tr>
      <w:tr>
        <w:tc>
          <w:tcPr>
            <w:tcW w:type="pct" w:w="20%"/>
          </w:tcPr>
          <w:p>
            <w:r>
              <w:rPr>
                <w:sz w:val="20"/>
                <w:szCs w:val="20"/>
              </w:rPr>
              <w:t xml:space="preserve">Month 5</w:t>
            </w:r>
          </w:p>
        </w:tc>
        <w:tc>
          <w:tcPr>
            <w:tcW w:type="pct" w:w="20%"/>
          </w:tcPr>
          <w:p>
            <w:r>
              <w:rPr>
                <w:sz w:val="20"/>
                <w:szCs w:val="20"/>
              </w:rPr>
              <w:t xml:space="preserve">{{m5_revenue}}</w:t>
            </w:r>
          </w:p>
        </w:tc>
        <w:tc>
          <w:tcPr>
            <w:tcW w:type="pct" w:w="20%"/>
          </w:tcPr>
          <w:p>
            <w:r>
              <w:rPr>
                <w:sz w:val="20"/>
                <w:szCs w:val="20"/>
              </w:rPr>
              <w:t xml:space="preserve">{{m5_costs}}</w:t>
            </w:r>
          </w:p>
        </w:tc>
        <w:tc>
          <w:tcPr>
            <w:tcW w:type="pct" w:w="20%"/>
          </w:tcPr>
          <w:p>
            <w:r>
              <w:rPr>
                <w:sz w:val="20"/>
                <w:szCs w:val="20"/>
              </w:rPr>
              <w:t xml:space="preserve">{{m5_net}}</w:t>
            </w:r>
          </w:p>
        </w:tc>
        <w:tc>
          <w:tcPr>
            <w:tcW w:type="pct" w:w="20%"/>
          </w:tcPr>
          <w:p>
            <w:r>
              <w:rPr>
                <w:sz w:val="20"/>
                <w:szCs w:val="20"/>
              </w:rPr>
              <w:t xml:space="preserve">{{m5_cumulative}}</w:t>
            </w:r>
          </w:p>
        </w:tc>
      </w:tr>
      <w:tr>
        <w:tc>
          <w:tcPr>
            <w:tcW w:type="pct" w:w="20%"/>
          </w:tcPr>
          <w:p>
            <w:r>
              <w:rPr>
                <w:sz w:val="20"/>
                <w:szCs w:val="20"/>
              </w:rPr>
              <w:t xml:space="preserve">Month 6</w:t>
            </w:r>
          </w:p>
        </w:tc>
        <w:tc>
          <w:tcPr>
            <w:tcW w:type="pct" w:w="20%"/>
          </w:tcPr>
          <w:p>
            <w:r>
              <w:rPr>
                <w:sz w:val="20"/>
                <w:szCs w:val="20"/>
              </w:rPr>
              <w:t xml:space="preserve">{{m6_revenue}}</w:t>
            </w:r>
          </w:p>
        </w:tc>
        <w:tc>
          <w:tcPr>
            <w:tcW w:type="pct" w:w="20%"/>
          </w:tcPr>
          <w:p>
            <w:r>
              <w:rPr>
                <w:sz w:val="20"/>
                <w:szCs w:val="20"/>
              </w:rPr>
              <w:t xml:space="preserve">{{m6_costs}}</w:t>
            </w:r>
          </w:p>
        </w:tc>
        <w:tc>
          <w:tcPr>
            <w:tcW w:type="pct" w:w="20%"/>
          </w:tcPr>
          <w:p>
            <w:r>
              <w:rPr>
                <w:sz w:val="20"/>
                <w:szCs w:val="20"/>
              </w:rPr>
              <w:t xml:space="preserve">{{m6_net}}</w:t>
            </w:r>
          </w:p>
        </w:tc>
        <w:tc>
          <w:tcPr>
            <w:tcW w:type="pct" w:w="20%"/>
          </w:tcPr>
          <w:p>
            <w:r>
              <w:rPr>
                <w:sz w:val="20"/>
                <w:szCs w:val="20"/>
              </w:rPr>
              <w:t xml:space="preserve">{{m6_cumulative}}</w:t>
            </w:r>
          </w:p>
        </w:tc>
      </w:tr>
      <w:tr>
        <w:tc>
          <w:tcPr>
            <w:tcW w:type="pct" w:w="20%"/>
          </w:tcPr>
          <w:p>
            <w:r>
              <w:rPr>
                <w:sz w:val="20"/>
                <w:szCs w:val="20"/>
              </w:rPr>
              <w:t xml:space="preserve">Month 7</w:t>
            </w:r>
          </w:p>
        </w:tc>
        <w:tc>
          <w:tcPr>
            <w:tcW w:type="pct" w:w="20%"/>
          </w:tcPr>
          <w:p>
            <w:r>
              <w:rPr>
                <w:sz w:val="20"/>
                <w:szCs w:val="20"/>
              </w:rPr>
              <w:t xml:space="preserve">{{m7_revenue}}</w:t>
            </w:r>
          </w:p>
        </w:tc>
        <w:tc>
          <w:tcPr>
            <w:tcW w:type="pct" w:w="20%"/>
          </w:tcPr>
          <w:p>
            <w:r>
              <w:rPr>
                <w:sz w:val="20"/>
                <w:szCs w:val="20"/>
              </w:rPr>
              <w:t xml:space="preserve">{{m7_costs}}</w:t>
            </w:r>
          </w:p>
        </w:tc>
        <w:tc>
          <w:tcPr>
            <w:tcW w:type="pct" w:w="20%"/>
          </w:tcPr>
          <w:p>
            <w:r>
              <w:rPr>
                <w:sz w:val="20"/>
                <w:szCs w:val="20"/>
              </w:rPr>
              <w:t xml:space="preserve">{{m7_net}}</w:t>
            </w:r>
          </w:p>
        </w:tc>
        <w:tc>
          <w:tcPr>
            <w:tcW w:type="pct" w:w="20%"/>
          </w:tcPr>
          <w:p>
            <w:r>
              <w:rPr>
                <w:sz w:val="20"/>
                <w:szCs w:val="20"/>
              </w:rPr>
              <w:t xml:space="preserve">{{m7_cumulative}}</w:t>
            </w:r>
          </w:p>
        </w:tc>
      </w:tr>
      <w:tr>
        <w:tc>
          <w:tcPr>
            <w:tcW w:type="pct" w:w="20%"/>
          </w:tcPr>
          <w:p>
            <w:r>
              <w:rPr>
                <w:sz w:val="20"/>
                <w:szCs w:val="20"/>
              </w:rPr>
              <w:t xml:space="preserve">Month 8</w:t>
            </w:r>
          </w:p>
        </w:tc>
        <w:tc>
          <w:tcPr>
            <w:tcW w:type="pct" w:w="20%"/>
          </w:tcPr>
          <w:p>
            <w:r>
              <w:rPr>
                <w:sz w:val="20"/>
                <w:szCs w:val="20"/>
              </w:rPr>
              <w:t xml:space="preserve">{{m8_revenue}}</w:t>
            </w:r>
          </w:p>
        </w:tc>
        <w:tc>
          <w:tcPr>
            <w:tcW w:type="pct" w:w="20%"/>
          </w:tcPr>
          <w:p>
            <w:r>
              <w:rPr>
                <w:sz w:val="20"/>
                <w:szCs w:val="20"/>
              </w:rPr>
              <w:t xml:space="preserve">{{m8_costs}}</w:t>
            </w:r>
          </w:p>
        </w:tc>
        <w:tc>
          <w:tcPr>
            <w:tcW w:type="pct" w:w="20%"/>
          </w:tcPr>
          <w:p>
            <w:r>
              <w:rPr>
                <w:sz w:val="20"/>
                <w:szCs w:val="20"/>
              </w:rPr>
              <w:t xml:space="preserve">{{m8_net}}</w:t>
            </w:r>
          </w:p>
        </w:tc>
        <w:tc>
          <w:tcPr>
            <w:tcW w:type="pct" w:w="20%"/>
          </w:tcPr>
          <w:p>
            <w:r>
              <w:rPr>
                <w:sz w:val="20"/>
                <w:szCs w:val="20"/>
              </w:rPr>
              <w:t xml:space="preserve">{{m8_cumulative}}</w:t>
            </w:r>
          </w:p>
        </w:tc>
      </w:tr>
      <w:tr>
        <w:tc>
          <w:tcPr>
            <w:tcW w:type="pct" w:w="20%"/>
          </w:tcPr>
          <w:p>
            <w:r>
              <w:rPr>
                <w:sz w:val="20"/>
                <w:szCs w:val="20"/>
              </w:rPr>
              <w:t xml:space="preserve">Month 9</w:t>
            </w:r>
          </w:p>
        </w:tc>
        <w:tc>
          <w:tcPr>
            <w:tcW w:type="pct" w:w="20%"/>
          </w:tcPr>
          <w:p>
            <w:r>
              <w:rPr>
                <w:sz w:val="20"/>
                <w:szCs w:val="20"/>
              </w:rPr>
              <w:t xml:space="preserve">{{m9_revenue}}</w:t>
            </w:r>
          </w:p>
        </w:tc>
        <w:tc>
          <w:tcPr>
            <w:tcW w:type="pct" w:w="20%"/>
          </w:tcPr>
          <w:p>
            <w:r>
              <w:rPr>
                <w:sz w:val="20"/>
                <w:szCs w:val="20"/>
              </w:rPr>
              <w:t xml:space="preserve">{{m9_costs}}</w:t>
            </w:r>
          </w:p>
        </w:tc>
        <w:tc>
          <w:tcPr>
            <w:tcW w:type="pct" w:w="20%"/>
          </w:tcPr>
          <w:p>
            <w:r>
              <w:rPr>
                <w:sz w:val="20"/>
                <w:szCs w:val="20"/>
              </w:rPr>
              <w:t xml:space="preserve">{{m9_net}}</w:t>
            </w:r>
          </w:p>
        </w:tc>
        <w:tc>
          <w:tcPr>
            <w:tcW w:type="pct" w:w="20%"/>
          </w:tcPr>
          <w:p>
            <w:r>
              <w:rPr>
                <w:sz w:val="20"/>
                <w:szCs w:val="20"/>
              </w:rPr>
              <w:t xml:space="preserve">{{m9_cumulative}}</w:t>
            </w:r>
          </w:p>
        </w:tc>
      </w:tr>
      <w:tr>
        <w:tc>
          <w:tcPr>
            <w:tcW w:type="pct" w:w="20%"/>
          </w:tcPr>
          <w:p>
            <w:r>
              <w:rPr>
                <w:sz w:val="20"/>
                <w:szCs w:val="20"/>
              </w:rPr>
              <w:t xml:space="preserve">Month 10</w:t>
            </w:r>
          </w:p>
        </w:tc>
        <w:tc>
          <w:tcPr>
            <w:tcW w:type="pct" w:w="20%"/>
          </w:tcPr>
          <w:p>
            <w:r>
              <w:rPr>
                <w:sz w:val="20"/>
                <w:szCs w:val="20"/>
              </w:rPr>
              <w:t xml:space="preserve">{{m10_revenue}}</w:t>
            </w:r>
          </w:p>
        </w:tc>
        <w:tc>
          <w:tcPr>
            <w:tcW w:type="pct" w:w="20%"/>
          </w:tcPr>
          <w:p>
            <w:r>
              <w:rPr>
                <w:sz w:val="20"/>
                <w:szCs w:val="20"/>
              </w:rPr>
              <w:t xml:space="preserve">{{m10_costs}}</w:t>
            </w:r>
          </w:p>
        </w:tc>
        <w:tc>
          <w:tcPr>
            <w:tcW w:type="pct" w:w="20%"/>
          </w:tcPr>
          <w:p>
            <w:r>
              <w:rPr>
                <w:sz w:val="20"/>
                <w:szCs w:val="20"/>
              </w:rPr>
              <w:t xml:space="preserve">{{m10_net}}</w:t>
            </w:r>
          </w:p>
        </w:tc>
        <w:tc>
          <w:tcPr>
            <w:tcW w:type="pct" w:w="20%"/>
          </w:tcPr>
          <w:p>
            <w:r>
              <w:rPr>
                <w:sz w:val="20"/>
                <w:szCs w:val="20"/>
              </w:rPr>
              <w:t xml:space="preserve">{{m10_cumulative}}</w:t>
            </w:r>
          </w:p>
        </w:tc>
      </w:tr>
      <w:tr>
        <w:tc>
          <w:tcPr>
            <w:tcW w:type="pct" w:w="20%"/>
          </w:tcPr>
          <w:p>
            <w:r>
              <w:rPr>
                <w:sz w:val="20"/>
                <w:szCs w:val="20"/>
              </w:rPr>
              <w:t xml:space="preserve">Month 11</w:t>
            </w:r>
          </w:p>
        </w:tc>
        <w:tc>
          <w:tcPr>
            <w:tcW w:type="pct" w:w="20%"/>
          </w:tcPr>
          <w:p>
            <w:r>
              <w:rPr>
                <w:sz w:val="20"/>
                <w:szCs w:val="20"/>
              </w:rPr>
              <w:t xml:space="preserve">{{m11_revenue}}</w:t>
            </w:r>
          </w:p>
        </w:tc>
        <w:tc>
          <w:tcPr>
            <w:tcW w:type="pct" w:w="20%"/>
          </w:tcPr>
          <w:p>
            <w:r>
              <w:rPr>
                <w:sz w:val="20"/>
                <w:szCs w:val="20"/>
              </w:rPr>
              <w:t xml:space="preserve">{{m11_costs}}</w:t>
            </w:r>
          </w:p>
        </w:tc>
        <w:tc>
          <w:tcPr>
            <w:tcW w:type="pct" w:w="20%"/>
          </w:tcPr>
          <w:p>
            <w:r>
              <w:rPr>
                <w:sz w:val="20"/>
                <w:szCs w:val="20"/>
              </w:rPr>
              <w:t xml:space="preserve">{{m11_net}}</w:t>
            </w:r>
          </w:p>
        </w:tc>
        <w:tc>
          <w:tcPr>
            <w:tcW w:type="pct" w:w="20%"/>
          </w:tcPr>
          <w:p>
            <w:r>
              <w:rPr>
                <w:sz w:val="20"/>
                <w:szCs w:val="20"/>
              </w:rPr>
              <w:t xml:space="preserve">{{m11_cumulative}}</w:t>
            </w:r>
          </w:p>
        </w:tc>
      </w:tr>
      <w:tr>
        <w:tc>
          <w:tcPr>
            <w:tcW w:type="pct" w:w="20%"/>
          </w:tcPr>
          <w:p>
            <w:r>
              <w:rPr>
                <w:sz w:val="20"/>
                <w:szCs w:val="20"/>
              </w:rPr>
              <w:t xml:space="preserve">Month 12</w:t>
            </w:r>
          </w:p>
        </w:tc>
        <w:tc>
          <w:tcPr>
            <w:tcW w:type="pct" w:w="20%"/>
          </w:tcPr>
          <w:p>
            <w:r>
              <w:rPr>
                <w:sz w:val="20"/>
                <w:szCs w:val="20"/>
              </w:rPr>
              <w:t xml:space="preserve">{{m12_revenue}}</w:t>
            </w:r>
          </w:p>
        </w:tc>
        <w:tc>
          <w:tcPr>
            <w:tcW w:type="pct" w:w="20%"/>
          </w:tcPr>
          <w:p>
            <w:r>
              <w:rPr>
                <w:sz w:val="20"/>
                <w:szCs w:val="20"/>
              </w:rPr>
              <w:t xml:space="preserve">{{m12_costs}}</w:t>
            </w:r>
          </w:p>
        </w:tc>
        <w:tc>
          <w:tcPr>
            <w:tcW w:type="pct" w:w="20%"/>
          </w:tcPr>
          <w:p>
            <w:r>
              <w:rPr>
                <w:sz w:val="20"/>
                <w:szCs w:val="20"/>
              </w:rPr>
              <w:t xml:space="preserve">{{m12_net}}</w:t>
            </w:r>
          </w:p>
        </w:tc>
        <w:tc>
          <w:tcPr>
            <w:tcW w:type="pct" w:w="20%"/>
          </w:tcPr>
          <w:p>
            <w:r>
              <w:rPr>
                <w:sz w:val="20"/>
                <w:szCs w:val="20"/>
              </w:rPr>
              <w:t xml:space="preserve">{{m12_cumulative}}</w:t>
            </w:r>
          </w:p>
        </w:tc>
      </w:tr>
      <w:tr>
        <w:tc>
          <w:tcPr>
            <w:tcW w:type="pct" w:w="20%"/>
          </w:tcPr>
          <w:p>
            <w:r>
              <w:rPr>
                <w:b/>
                <w:bCs/>
                <w:sz w:val="20"/>
                <w:szCs w:val="20"/>
              </w:rPr>
              <w:t xml:space="preserve">Year 1 total</w:t>
            </w:r>
          </w:p>
        </w:tc>
        <w:tc>
          <w:tcPr>
            <w:tcW w:type="pct" w:w="20%"/>
          </w:tcPr>
          <w:p>
            <w:r>
              <w:rPr>
                <w:b/>
                <w:bCs/>
                <w:sz w:val="20"/>
                <w:szCs w:val="20"/>
              </w:rPr>
              <w:t xml:space="preserve">{{y1_revenue}}</w:t>
            </w:r>
          </w:p>
        </w:tc>
        <w:tc>
          <w:tcPr>
            <w:tcW w:type="pct" w:w="20%"/>
          </w:tcPr>
          <w:p>
            <w:r>
              <w:rPr>
                <w:b/>
                <w:bCs/>
                <w:sz w:val="20"/>
                <w:szCs w:val="20"/>
              </w:rPr>
              <w:t xml:space="preserve">{{y1_costs}}</w:t>
            </w:r>
          </w:p>
        </w:tc>
        <w:tc>
          <w:tcPr>
            <w:tcW w:type="pct" w:w="20%"/>
          </w:tcPr>
          <w:p>
            <w:r>
              <w:rPr>
                <w:b/>
                <w:bCs/>
                <w:sz w:val="20"/>
                <w:szCs w:val="20"/>
              </w:rPr>
              <w:t xml:space="preserve">{{y1_net}}</w:t>
            </w:r>
          </w:p>
        </w:tc>
        <w:tc>
          <w:tcPr>
            <w:tcW w:type="pct" w:w="20%"/>
          </w:tcPr>
          <w:p>
            <w:r>
              <w:rPr>
                <w:sz w:val="20"/>
                <w:szCs w:val="20"/>
              </w:rPr>
              <w:t xml:space="preserve">-</w:t>
            </w:r>
          </w:p>
        </w:tc>
      </w:tr>
    </w:tbl>
    <w:p>
      <w:pPr>
        <w:spacing w:after="160" w:line="320"/>
      </w:pPr>
      <w:r>
        <w:rPr>
          <w:b/>
          <w:bCs/>
          <w:sz w:val="22"/>
          <w:szCs w:val="22"/>
        </w:rPr>
        <w:t xml:space="preserve">Year 1 break-even month:</w:t>
      </w:r>
      <w:r>
        <w:rPr>
          <w:sz w:val="22"/>
          <w:szCs w:val="22"/>
        </w:rPr>
        <w:t xml:space="preserve"> Month 11</w:t>
      </w:r>
    </w:p>
    <w:p>
      <w:pPr>
        <w:spacing w:after="160" w:line="320"/>
      </w:pPr>
      <w:r>
        <w:rPr>
          <w:sz w:val="22"/>
          <w:szCs w:val="22"/>
        </w:rPr>
        <w:t xml:space="preserve">{{year1</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7.3 Years 2-5 quarterly profit and loss (base case)</w:t>
      </w:r>
    </w:p>
    <w:p>
      <w:pPr>
        <w:spacing w:after="160" w:line="320"/>
      </w:pPr>
      <w:r>
        <w:rPr>
          <w:sz w:val="22"/>
          <w:szCs w:val="22"/>
        </w:rPr>
        <w:t xml:space="preserve">Years 2 through 5 are presented quarterly. The quarterly view captures seasonality where applicable and demonstrates revenue stability beyond the launch year.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Period</w:t>
            </w:r>
          </w:p>
        </w:tc>
        <w:tc>
          <w:tcPr>
            <w:tcW w:type="pct" w:w="25%"/>
          </w:tcPr>
          <w:p>
            <w:r>
              <w:rPr>
                <w:b/>
                <w:bCs/>
                <w:sz w:val="20"/>
                <w:szCs w:val="20"/>
              </w:rPr>
              <w:t xml:space="preserve">Revenue</w:t>
            </w:r>
          </w:p>
        </w:tc>
        <w:tc>
          <w:tcPr>
            <w:tcW w:type="pct" w:w="25%"/>
          </w:tcPr>
          <w:p>
            <w:r>
              <w:rPr>
                <w:b/>
                <w:bCs/>
                <w:sz w:val="20"/>
                <w:szCs w:val="20"/>
              </w:rPr>
              <w:t xml:space="preserve">Operating Costs</w:t>
            </w:r>
          </w:p>
        </w:tc>
        <w:tc>
          <w:tcPr>
            <w:tcW w:type="pct" w:w="25%"/>
          </w:tcPr>
          <w:p>
            <w:r>
              <w:rPr>
                <w:b/>
                <w:bCs/>
                <w:sz w:val="20"/>
                <w:szCs w:val="20"/>
              </w:rPr>
              <w:t xml:space="preserve">Net Cash</w:t>
            </w:r>
          </w:p>
        </w:tc>
      </w:tr>
      <w:tr>
        <w:tc>
          <w:tcPr>
            <w:tcW w:type="pct" w:w="25%"/>
          </w:tcPr>
          <w:p>
            <w:r>
              <w:rPr>
                <w:sz w:val="20"/>
                <w:szCs w:val="20"/>
              </w:rPr>
              <w:t xml:space="preserve">Y2 Q1</w:t>
            </w:r>
          </w:p>
        </w:tc>
        <w:tc>
          <w:tcPr>
            <w:tcW w:type="pct" w:w="25%"/>
          </w:tcPr>
          <w:p>
            <w:r>
              <w:rPr>
                <w:sz w:val="20"/>
                <w:szCs w:val="20"/>
              </w:rPr>
              <w:t xml:space="preserve">{{y2q1_revenue}}</w:t>
            </w:r>
          </w:p>
        </w:tc>
        <w:tc>
          <w:tcPr>
            <w:tcW w:type="pct" w:w="25%"/>
          </w:tcPr>
          <w:p>
            <w:r>
              <w:rPr>
                <w:sz w:val="20"/>
                <w:szCs w:val="20"/>
              </w:rPr>
              <w:t xml:space="preserve">{{y2q1_costs}}</w:t>
            </w:r>
          </w:p>
        </w:tc>
        <w:tc>
          <w:tcPr>
            <w:tcW w:type="pct" w:w="25%"/>
          </w:tcPr>
          <w:p>
            <w:r>
              <w:rPr>
                <w:sz w:val="20"/>
                <w:szCs w:val="20"/>
              </w:rPr>
              <w:t xml:space="preserve">{{y2q1_net}}</w:t>
            </w:r>
          </w:p>
        </w:tc>
      </w:tr>
      <w:tr>
        <w:tc>
          <w:tcPr>
            <w:tcW w:type="pct" w:w="25%"/>
          </w:tcPr>
          <w:p>
            <w:r>
              <w:rPr>
                <w:sz w:val="20"/>
                <w:szCs w:val="20"/>
              </w:rPr>
              <w:t xml:space="preserve">Y2 Q2</w:t>
            </w:r>
          </w:p>
        </w:tc>
        <w:tc>
          <w:tcPr>
            <w:tcW w:type="pct" w:w="25%"/>
          </w:tcPr>
          <w:p>
            <w:r>
              <w:rPr>
                <w:sz w:val="20"/>
                <w:szCs w:val="20"/>
              </w:rPr>
              <w:t xml:space="preserve">{{y2q2_revenue}}</w:t>
            </w:r>
          </w:p>
        </w:tc>
        <w:tc>
          <w:tcPr>
            <w:tcW w:type="pct" w:w="25%"/>
          </w:tcPr>
          <w:p>
            <w:r>
              <w:rPr>
                <w:sz w:val="20"/>
                <w:szCs w:val="20"/>
              </w:rPr>
              <w:t xml:space="preserve">{{y2q2_costs}}</w:t>
            </w:r>
          </w:p>
        </w:tc>
        <w:tc>
          <w:tcPr>
            <w:tcW w:type="pct" w:w="25%"/>
          </w:tcPr>
          <w:p>
            <w:r>
              <w:rPr>
                <w:sz w:val="20"/>
                <w:szCs w:val="20"/>
              </w:rPr>
              <w:t xml:space="preserve">{{y2q2_net}}</w:t>
            </w:r>
          </w:p>
        </w:tc>
      </w:tr>
      <w:tr>
        <w:tc>
          <w:tcPr>
            <w:tcW w:type="pct" w:w="25%"/>
          </w:tcPr>
          <w:p>
            <w:r>
              <w:rPr>
                <w:sz w:val="20"/>
                <w:szCs w:val="20"/>
              </w:rPr>
              <w:t xml:space="preserve">Y2 Q3</w:t>
            </w:r>
          </w:p>
        </w:tc>
        <w:tc>
          <w:tcPr>
            <w:tcW w:type="pct" w:w="25%"/>
          </w:tcPr>
          <w:p>
            <w:r>
              <w:rPr>
                <w:sz w:val="20"/>
                <w:szCs w:val="20"/>
              </w:rPr>
              <w:t xml:space="preserve">{{y2q3_revenue}}</w:t>
            </w:r>
          </w:p>
        </w:tc>
        <w:tc>
          <w:tcPr>
            <w:tcW w:type="pct" w:w="25%"/>
          </w:tcPr>
          <w:p>
            <w:r>
              <w:rPr>
                <w:sz w:val="20"/>
                <w:szCs w:val="20"/>
              </w:rPr>
              <w:t xml:space="preserve">{{y2q3_costs}}</w:t>
            </w:r>
          </w:p>
        </w:tc>
        <w:tc>
          <w:tcPr>
            <w:tcW w:type="pct" w:w="25%"/>
          </w:tcPr>
          <w:p>
            <w:r>
              <w:rPr>
                <w:sz w:val="20"/>
                <w:szCs w:val="20"/>
              </w:rPr>
              <w:t xml:space="preserve">{{y2q3_net}}</w:t>
            </w:r>
          </w:p>
        </w:tc>
      </w:tr>
      <w:tr>
        <w:tc>
          <w:tcPr>
            <w:tcW w:type="pct" w:w="25%"/>
          </w:tcPr>
          <w:p>
            <w:r>
              <w:rPr>
                <w:sz w:val="20"/>
                <w:szCs w:val="20"/>
              </w:rPr>
              <w:t xml:space="preserve">Y2 Q4</w:t>
            </w:r>
          </w:p>
        </w:tc>
        <w:tc>
          <w:tcPr>
            <w:tcW w:type="pct" w:w="25%"/>
          </w:tcPr>
          <w:p>
            <w:r>
              <w:rPr>
                <w:sz w:val="20"/>
                <w:szCs w:val="20"/>
              </w:rPr>
              <w:t xml:space="preserve">{{y2q4_revenue}}</w:t>
            </w:r>
          </w:p>
        </w:tc>
        <w:tc>
          <w:tcPr>
            <w:tcW w:type="pct" w:w="25%"/>
          </w:tcPr>
          <w:p>
            <w:r>
              <w:rPr>
                <w:sz w:val="20"/>
                <w:szCs w:val="20"/>
              </w:rPr>
              <w:t xml:space="preserve">{{y2q4_costs}}</w:t>
            </w:r>
          </w:p>
        </w:tc>
        <w:tc>
          <w:tcPr>
            <w:tcW w:type="pct" w:w="25%"/>
          </w:tcPr>
          <w:p>
            <w:r>
              <w:rPr>
                <w:sz w:val="20"/>
                <w:szCs w:val="20"/>
              </w:rPr>
              <w:t xml:space="preserve">{{y2q4_net}}</w:t>
            </w:r>
          </w:p>
        </w:tc>
      </w:tr>
      <w:tr>
        <w:tc>
          <w:tcPr>
            <w:tcW w:type="pct" w:w="25%"/>
          </w:tcPr>
          <w:p>
            <w:r>
              <w:rPr>
                <w:b/>
                <w:bCs/>
                <w:sz w:val="20"/>
                <w:szCs w:val="20"/>
              </w:rPr>
              <w:t xml:space="preserve">Year 2 total</w:t>
            </w:r>
          </w:p>
        </w:tc>
        <w:tc>
          <w:tcPr>
            <w:tcW w:type="pct" w:w="25%"/>
          </w:tcPr>
          <w:p>
            <w:r>
              <w:rPr>
                <w:b/>
                <w:bCs/>
                <w:sz w:val="20"/>
                <w:szCs w:val="20"/>
              </w:rPr>
              <w:t xml:space="preserve">{{y2_revenue}}</w:t>
            </w:r>
          </w:p>
        </w:tc>
        <w:tc>
          <w:tcPr>
            <w:tcW w:type="pct" w:w="25%"/>
          </w:tcPr>
          <w:p>
            <w:r>
              <w:rPr>
                <w:b/>
                <w:bCs/>
                <w:sz w:val="20"/>
                <w:szCs w:val="20"/>
              </w:rPr>
              <w:t xml:space="preserve">{{y2_costs}}</w:t>
            </w:r>
          </w:p>
        </w:tc>
        <w:tc>
          <w:tcPr>
            <w:tcW w:type="pct" w:w="25%"/>
          </w:tcPr>
          <w:p>
            <w:r>
              <w:rPr>
                <w:b/>
                <w:bCs/>
                <w:sz w:val="20"/>
                <w:szCs w:val="20"/>
              </w:rPr>
              <w:t xml:space="preserve">{{y2_net}}</w:t>
            </w:r>
          </w:p>
        </w:tc>
      </w:tr>
      <w:tr>
        <w:tc>
          <w:tcPr>
            <w:tcW w:type="pct" w:w="25%"/>
          </w:tcPr>
          <w:p>
            <w:r>
              <w:rPr>
                <w:sz w:val="20"/>
                <w:szCs w:val="20"/>
              </w:rPr>
              <w:t xml:space="preserve">Y3 Q1</w:t>
            </w:r>
          </w:p>
        </w:tc>
        <w:tc>
          <w:tcPr>
            <w:tcW w:type="pct" w:w="25%"/>
          </w:tcPr>
          <w:p>
            <w:r>
              <w:rPr>
                <w:sz w:val="20"/>
                <w:szCs w:val="20"/>
              </w:rPr>
              <w:t xml:space="preserve">{{y3q1_revenue}}</w:t>
            </w:r>
          </w:p>
        </w:tc>
        <w:tc>
          <w:tcPr>
            <w:tcW w:type="pct" w:w="25%"/>
          </w:tcPr>
          <w:p>
            <w:r>
              <w:rPr>
                <w:sz w:val="20"/>
                <w:szCs w:val="20"/>
              </w:rPr>
              <w:t xml:space="preserve">{{y3q1_costs}}</w:t>
            </w:r>
          </w:p>
        </w:tc>
        <w:tc>
          <w:tcPr>
            <w:tcW w:type="pct" w:w="25%"/>
          </w:tcPr>
          <w:p>
            <w:r>
              <w:rPr>
                <w:sz w:val="20"/>
                <w:szCs w:val="20"/>
              </w:rPr>
              <w:t xml:space="preserve">{{y3q1_net}}</w:t>
            </w:r>
          </w:p>
        </w:tc>
      </w:tr>
      <w:tr>
        <w:tc>
          <w:tcPr>
            <w:tcW w:type="pct" w:w="25%"/>
          </w:tcPr>
          <w:p>
            <w:r>
              <w:rPr>
                <w:sz w:val="20"/>
                <w:szCs w:val="20"/>
              </w:rPr>
              <w:t xml:space="preserve">Y3 Q2</w:t>
            </w:r>
          </w:p>
        </w:tc>
        <w:tc>
          <w:tcPr>
            <w:tcW w:type="pct" w:w="25%"/>
          </w:tcPr>
          <w:p>
            <w:r>
              <w:rPr>
                <w:sz w:val="20"/>
                <w:szCs w:val="20"/>
              </w:rPr>
              <w:t xml:space="preserve">{{y3q2_revenue}}</w:t>
            </w:r>
          </w:p>
        </w:tc>
        <w:tc>
          <w:tcPr>
            <w:tcW w:type="pct" w:w="25%"/>
          </w:tcPr>
          <w:p>
            <w:r>
              <w:rPr>
                <w:sz w:val="20"/>
                <w:szCs w:val="20"/>
              </w:rPr>
              <w:t xml:space="preserve">{{y3q2_costs}}</w:t>
            </w:r>
          </w:p>
        </w:tc>
        <w:tc>
          <w:tcPr>
            <w:tcW w:type="pct" w:w="25%"/>
          </w:tcPr>
          <w:p>
            <w:r>
              <w:rPr>
                <w:sz w:val="20"/>
                <w:szCs w:val="20"/>
              </w:rPr>
              <w:t xml:space="preserve">{{y3q2_net}}</w:t>
            </w:r>
          </w:p>
        </w:tc>
      </w:tr>
      <w:tr>
        <w:tc>
          <w:tcPr>
            <w:tcW w:type="pct" w:w="25%"/>
          </w:tcPr>
          <w:p>
            <w:r>
              <w:rPr>
                <w:sz w:val="20"/>
                <w:szCs w:val="20"/>
              </w:rPr>
              <w:t xml:space="preserve">Y3 Q3</w:t>
            </w:r>
          </w:p>
        </w:tc>
        <w:tc>
          <w:tcPr>
            <w:tcW w:type="pct" w:w="25%"/>
          </w:tcPr>
          <w:p>
            <w:r>
              <w:rPr>
                <w:sz w:val="20"/>
                <w:szCs w:val="20"/>
              </w:rPr>
              <w:t xml:space="preserve">{{y3q3_revenue}}</w:t>
            </w:r>
          </w:p>
        </w:tc>
        <w:tc>
          <w:tcPr>
            <w:tcW w:type="pct" w:w="25%"/>
          </w:tcPr>
          <w:p>
            <w:r>
              <w:rPr>
                <w:sz w:val="20"/>
                <w:szCs w:val="20"/>
              </w:rPr>
              <w:t xml:space="preserve">{{y3q3_costs}}</w:t>
            </w:r>
          </w:p>
        </w:tc>
        <w:tc>
          <w:tcPr>
            <w:tcW w:type="pct" w:w="25%"/>
          </w:tcPr>
          <w:p>
            <w:r>
              <w:rPr>
                <w:sz w:val="20"/>
                <w:szCs w:val="20"/>
              </w:rPr>
              <w:t xml:space="preserve">{{y3q3_net}}</w:t>
            </w:r>
          </w:p>
        </w:tc>
      </w:tr>
      <w:tr>
        <w:tc>
          <w:tcPr>
            <w:tcW w:type="pct" w:w="25%"/>
          </w:tcPr>
          <w:p>
            <w:r>
              <w:rPr>
                <w:sz w:val="20"/>
                <w:szCs w:val="20"/>
              </w:rPr>
              <w:t xml:space="preserve">Y3 Q4</w:t>
            </w:r>
          </w:p>
        </w:tc>
        <w:tc>
          <w:tcPr>
            <w:tcW w:type="pct" w:w="25%"/>
          </w:tcPr>
          <w:p>
            <w:r>
              <w:rPr>
                <w:sz w:val="20"/>
                <w:szCs w:val="20"/>
              </w:rPr>
              <w:t xml:space="preserve">{{y3q4_revenue}}</w:t>
            </w:r>
          </w:p>
        </w:tc>
        <w:tc>
          <w:tcPr>
            <w:tcW w:type="pct" w:w="25%"/>
          </w:tcPr>
          <w:p>
            <w:r>
              <w:rPr>
                <w:sz w:val="20"/>
                <w:szCs w:val="20"/>
              </w:rPr>
              <w:t xml:space="preserve">{{y3q4_costs}}</w:t>
            </w:r>
          </w:p>
        </w:tc>
        <w:tc>
          <w:tcPr>
            <w:tcW w:type="pct" w:w="25%"/>
          </w:tcPr>
          <w:p>
            <w:r>
              <w:rPr>
                <w:sz w:val="20"/>
                <w:szCs w:val="20"/>
              </w:rPr>
              <w:t xml:space="preserve">{{y3q4_net}}</w:t>
            </w:r>
          </w:p>
        </w:tc>
      </w:tr>
      <w:tr>
        <w:tc>
          <w:tcPr>
            <w:tcW w:type="pct" w:w="25%"/>
          </w:tcPr>
          <w:p>
            <w:r>
              <w:rPr>
                <w:b/>
                <w:bCs/>
                <w:sz w:val="20"/>
                <w:szCs w:val="20"/>
              </w:rPr>
              <w:t xml:space="preserve">Year 3 total</w:t>
            </w:r>
          </w:p>
        </w:tc>
        <w:tc>
          <w:tcPr>
            <w:tcW w:type="pct" w:w="25%"/>
          </w:tcPr>
          <w:p>
            <w:r>
              <w:rPr>
                <w:b/>
                <w:bCs/>
                <w:sz w:val="20"/>
                <w:szCs w:val="20"/>
              </w:rPr>
              <w:t xml:space="preserve">{{y3_revenue}}</w:t>
            </w:r>
          </w:p>
        </w:tc>
        <w:tc>
          <w:tcPr>
            <w:tcW w:type="pct" w:w="25%"/>
          </w:tcPr>
          <w:p>
            <w:r>
              <w:rPr>
                <w:b/>
                <w:bCs/>
                <w:sz w:val="20"/>
                <w:szCs w:val="20"/>
              </w:rPr>
              <w:t xml:space="preserve">{{y3_costs}}</w:t>
            </w:r>
          </w:p>
        </w:tc>
        <w:tc>
          <w:tcPr>
            <w:tcW w:type="pct" w:w="25%"/>
          </w:tcPr>
          <w:p>
            <w:r>
              <w:rPr>
                <w:b/>
                <w:bCs/>
                <w:sz w:val="20"/>
                <w:szCs w:val="20"/>
              </w:rPr>
              <w:t xml:space="preserve">{{y3_net}}</w:t>
            </w:r>
          </w:p>
        </w:tc>
      </w:tr>
      <w:tr>
        <w:tc>
          <w:tcPr>
            <w:tcW w:type="pct" w:w="25%"/>
          </w:tcPr>
          <w:p>
            <w:r>
              <w:rPr>
                <w:sz w:val="20"/>
                <w:szCs w:val="20"/>
              </w:rPr>
              <w:t xml:space="preserve">Y4 Q1</w:t>
            </w:r>
          </w:p>
        </w:tc>
        <w:tc>
          <w:tcPr>
            <w:tcW w:type="pct" w:w="25%"/>
          </w:tcPr>
          <w:p>
            <w:r>
              <w:rPr>
                <w:sz w:val="20"/>
                <w:szCs w:val="20"/>
              </w:rPr>
              <w:t xml:space="preserve">{{y4q1_revenue}}</w:t>
            </w:r>
          </w:p>
        </w:tc>
        <w:tc>
          <w:tcPr>
            <w:tcW w:type="pct" w:w="25%"/>
          </w:tcPr>
          <w:p>
            <w:r>
              <w:rPr>
                <w:sz w:val="20"/>
                <w:szCs w:val="20"/>
              </w:rPr>
              <w:t xml:space="preserve">{{y4q1_costs}}</w:t>
            </w:r>
          </w:p>
        </w:tc>
        <w:tc>
          <w:tcPr>
            <w:tcW w:type="pct" w:w="25%"/>
          </w:tcPr>
          <w:p>
            <w:r>
              <w:rPr>
                <w:sz w:val="20"/>
                <w:szCs w:val="20"/>
              </w:rPr>
              <w:t xml:space="preserve">{{y4q1_net}}</w:t>
            </w:r>
          </w:p>
        </w:tc>
      </w:tr>
      <w:tr>
        <w:tc>
          <w:tcPr>
            <w:tcW w:type="pct" w:w="25%"/>
          </w:tcPr>
          <w:p>
            <w:r>
              <w:rPr>
                <w:sz w:val="20"/>
                <w:szCs w:val="20"/>
              </w:rPr>
              <w:t xml:space="preserve">Y4 Q2</w:t>
            </w:r>
          </w:p>
        </w:tc>
        <w:tc>
          <w:tcPr>
            <w:tcW w:type="pct" w:w="25%"/>
          </w:tcPr>
          <w:p>
            <w:r>
              <w:rPr>
                <w:sz w:val="20"/>
                <w:szCs w:val="20"/>
              </w:rPr>
              <w:t xml:space="preserve">{{y4q2_revenue}}</w:t>
            </w:r>
          </w:p>
        </w:tc>
        <w:tc>
          <w:tcPr>
            <w:tcW w:type="pct" w:w="25%"/>
          </w:tcPr>
          <w:p>
            <w:r>
              <w:rPr>
                <w:sz w:val="20"/>
                <w:szCs w:val="20"/>
              </w:rPr>
              <w:t xml:space="preserve">{{y4q2_costs}}</w:t>
            </w:r>
          </w:p>
        </w:tc>
        <w:tc>
          <w:tcPr>
            <w:tcW w:type="pct" w:w="25%"/>
          </w:tcPr>
          <w:p>
            <w:r>
              <w:rPr>
                <w:sz w:val="20"/>
                <w:szCs w:val="20"/>
              </w:rPr>
              <w:t xml:space="preserve">{{y4q2_net}}</w:t>
            </w:r>
          </w:p>
        </w:tc>
      </w:tr>
      <w:tr>
        <w:tc>
          <w:tcPr>
            <w:tcW w:type="pct" w:w="25%"/>
          </w:tcPr>
          <w:p>
            <w:r>
              <w:rPr>
                <w:sz w:val="20"/>
                <w:szCs w:val="20"/>
              </w:rPr>
              <w:t xml:space="preserve">Y4 Q3</w:t>
            </w:r>
          </w:p>
        </w:tc>
        <w:tc>
          <w:tcPr>
            <w:tcW w:type="pct" w:w="25%"/>
          </w:tcPr>
          <w:p>
            <w:r>
              <w:rPr>
                <w:sz w:val="20"/>
                <w:szCs w:val="20"/>
              </w:rPr>
              <w:t xml:space="preserve">{{y4q3_revenue}}</w:t>
            </w:r>
          </w:p>
        </w:tc>
        <w:tc>
          <w:tcPr>
            <w:tcW w:type="pct" w:w="25%"/>
          </w:tcPr>
          <w:p>
            <w:r>
              <w:rPr>
                <w:sz w:val="20"/>
                <w:szCs w:val="20"/>
              </w:rPr>
              <w:t xml:space="preserve">{{y4q3_costs}}</w:t>
            </w:r>
          </w:p>
        </w:tc>
        <w:tc>
          <w:tcPr>
            <w:tcW w:type="pct" w:w="25%"/>
          </w:tcPr>
          <w:p>
            <w:r>
              <w:rPr>
                <w:sz w:val="20"/>
                <w:szCs w:val="20"/>
              </w:rPr>
              <w:t xml:space="preserve">{{y4q3_net}}</w:t>
            </w:r>
          </w:p>
        </w:tc>
      </w:tr>
      <w:tr>
        <w:tc>
          <w:tcPr>
            <w:tcW w:type="pct" w:w="25%"/>
          </w:tcPr>
          <w:p>
            <w:r>
              <w:rPr>
                <w:sz w:val="20"/>
                <w:szCs w:val="20"/>
              </w:rPr>
              <w:t xml:space="preserve">Y4 Q4</w:t>
            </w:r>
          </w:p>
        </w:tc>
        <w:tc>
          <w:tcPr>
            <w:tcW w:type="pct" w:w="25%"/>
          </w:tcPr>
          <w:p>
            <w:r>
              <w:rPr>
                <w:sz w:val="20"/>
                <w:szCs w:val="20"/>
              </w:rPr>
              <w:t xml:space="preserve">{{y4q4_revenue}}</w:t>
            </w:r>
          </w:p>
        </w:tc>
        <w:tc>
          <w:tcPr>
            <w:tcW w:type="pct" w:w="25%"/>
          </w:tcPr>
          <w:p>
            <w:r>
              <w:rPr>
                <w:sz w:val="20"/>
                <w:szCs w:val="20"/>
              </w:rPr>
              <w:t xml:space="preserve">{{y4q4_costs}}</w:t>
            </w:r>
          </w:p>
        </w:tc>
        <w:tc>
          <w:tcPr>
            <w:tcW w:type="pct" w:w="25%"/>
          </w:tcPr>
          <w:p>
            <w:r>
              <w:rPr>
                <w:sz w:val="20"/>
                <w:szCs w:val="20"/>
              </w:rPr>
              <w:t xml:space="preserve">{{y4q4_net}}</w:t>
            </w:r>
          </w:p>
        </w:tc>
      </w:tr>
      <w:tr>
        <w:tc>
          <w:tcPr>
            <w:tcW w:type="pct" w:w="25%"/>
          </w:tcPr>
          <w:p>
            <w:r>
              <w:rPr>
                <w:b/>
                <w:bCs/>
                <w:sz w:val="20"/>
                <w:szCs w:val="20"/>
              </w:rPr>
              <w:t xml:space="preserve">Year 4 total</w:t>
            </w:r>
          </w:p>
        </w:tc>
        <w:tc>
          <w:tcPr>
            <w:tcW w:type="pct" w:w="25%"/>
          </w:tcPr>
          <w:p>
            <w:r>
              <w:rPr>
                <w:b/>
                <w:bCs/>
                <w:sz w:val="20"/>
                <w:szCs w:val="20"/>
              </w:rPr>
              <w:t xml:space="preserve">{{y4_revenue}}</w:t>
            </w:r>
          </w:p>
        </w:tc>
        <w:tc>
          <w:tcPr>
            <w:tcW w:type="pct" w:w="25%"/>
          </w:tcPr>
          <w:p>
            <w:r>
              <w:rPr>
                <w:b/>
                <w:bCs/>
                <w:sz w:val="20"/>
                <w:szCs w:val="20"/>
              </w:rPr>
              <w:t xml:space="preserve">{{y4_costs}}</w:t>
            </w:r>
          </w:p>
        </w:tc>
        <w:tc>
          <w:tcPr>
            <w:tcW w:type="pct" w:w="25%"/>
          </w:tcPr>
          <w:p>
            <w:r>
              <w:rPr>
                <w:b/>
                <w:bCs/>
                <w:sz w:val="20"/>
                <w:szCs w:val="20"/>
              </w:rPr>
              <w:t xml:space="preserve">{{y4_net}}</w:t>
            </w:r>
          </w:p>
        </w:tc>
      </w:tr>
      <w:tr>
        <w:tc>
          <w:tcPr>
            <w:tcW w:type="pct" w:w="25%"/>
          </w:tcPr>
          <w:p>
            <w:r>
              <w:rPr>
                <w:sz w:val="20"/>
                <w:szCs w:val="20"/>
              </w:rPr>
              <w:t xml:space="preserve">Y5 Q1</w:t>
            </w:r>
          </w:p>
        </w:tc>
        <w:tc>
          <w:tcPr>
            <w:tcW w:type="pct" w:w="25%"/>
          </w:tcPr>
          <w:p>
            <w:r>
              <w:rPr>
                <w:sz w:val="20"/>
                <w:szCs w:val="20"/>
              </w:rPr>
              <w:t xml:space="preserve">{{y5q1_revenue}}</w:t>
            </w:r>
          </w:p>
        </w:tc>
        <w:tc>
          <w:tcPr>
            <w:tcW w:type="pct" w:w="25%"/>
          </w:tcPr>
          <w:p>
            <w:r>
              <w:rPr>
                <w:sz w:val="20"/>
                <w:szCs w:val="20"/>
              </w:rPr>
              <w:t xml:space="preserve">{{y5q1_costs}}</w:t>
            </w:r>
          </w:p>
        </w:tc>
        <w:tc>
          <w:tcPr>
            <w:tcW w:type="pct" w:w="25%"/>
          </w:tcPr>
          <w:p>
            <w:r>
              <w:rPr>
                <w:sz w:val="20"/>
                <w:szCs w:val="20"/>
              </w:rPr>
              <w:t xml:space="preserve">{{y5q1_net}}</w:t>
            </w:r>
          </w:p>
        </w:tc>
      </w:tr>
      <w:tr>
        <w:tc>
          <w:tcPr>
            <w:tcW w:type="pct" w:w="25%"/>
          </w:tcPr>
          <w:p>
            <w:r>
              <w:rPr>
                <w:sz w:val="20"/>
                <w:szCs w:val="20"/>
              </w:rPr>
              <w:t xml:space="preserve">Y5 Q2</w:t>
            </w:r>
          </w:p>
        </w:tc>
        <w:tc>
          <w:tcPr>
            <w:tcW w:type="pct" w:w="25%"/>
          </w:tcPr>
          <w:p>
            <w:r>
              <w:rPr>
                <w:sz w:val="20"/>
                <w:szCs w:val="20"/>
              </w:rPr>
              <w:t xml:space="preserve">{{y5q2_revenue}}</w:t>
            </w:r>
          </w:p>
        </w:tc>
        <w:tc>
          <w:tcPr>
            <w:tcW w:type="pct" w:w="25%"/>
          </w:tcPr>
          <w:p>
            <w:r>
              <w:rPr>
                <w:sz w:val="20"/>
                <w:szCs w:val="20"/>
              </w:rPr>
              <w:t xml:space="preserve">{{y5q2_costs}}</w:t>
            </w:r>
          </w:p>
        </w:tc>
        <w:tc>
          <w:tcPr>
            <w:tcW w:type="pct" w:w="25%"/>
          </w:tcPr>
          <w:p>
            <w:r>
              <w:rPr>
                <w:sz w:val="20"/>
                <w:szCs w:val="20"/>
              </w:rPr>
              <w:t xml:space="preserve">{{y5q2_net}}</w:t>
            </w:r>
          </w:p>
        </w:tc>
      </w:tr>
      <w:tr>
        <w:tc>
          <w:tcPr>
            <w:tcW w:type="pct" w:w="25%"/>
          </w:tcPr>
          <w:p>
            <w:r>
              <w:rPr>
                <w:sz w:val="20"/>
                <w:szCs w:val="20"/>
              </w:rPr>
              <w:t xml:space="preserve">Y5 Q3</w:t>
            </w:r>
          </w:p>
        </w:tc>
        <w:tc>
          <w:tcPr>
            <w:tcW w:type="pct" w:w="25%"/>
          </w:tcPr>
          <w:p>
            <w:r>
              <w:rPr>
                <w:sz w:val="20"/>
                <w:szCs w:val="20"/>
              </w:rPr>
              <w:t xml:space="preserve">{{y5q3_revenue}}</w:t>
            </w:r>
          </w:p>
        </w:tc>
        <w:tc>
          <w:tcPr>
            <w:tcW w:type="pct" w:w="25%"/>
          </w:tcPr>
          <w:p>
            <w:r>
              <w:rPr>
                <w:sz w:val="20"/>
                <w:szCs w:val="20"/>
              </w:rPr>
              <w:t xml:space="preserve">{{y5q3_costs}}</w:t>
            </w:r>
          </w:p>
        </w:tc>
        <w:tc>
          <w:tcPr>
            <w:tcW w:type="pct" w:w="25%"/>
          </w:tcPr>
          <w:p>
            <w:r>
              <w:rPr>
                <w:sz w:val="20"/>
                <w:szCs w:val="20"/>
              </w:rPr>
              <w:t xml:space="preserve">{{y5q3_net}}</w:t>
            </w:r>
          </w:p>
        </w:tc>
      </w:tr>
      <w:tr>
        <w:tc>
          <w:tcPr>
            <w:tcW w:type="pct" w:w="25%"/>
          </w:tcPr>
          <w:p>
            <w:r>
              <w:rPr>
                <w:sz w:val="20"/>
                <w:szCs w:val="20"/>
              </w:rPr>
              <w:t xml:space="preserve">Y5 Q4</w:t>
            </w:r>
          </w:p>
        </w:tc>
        <w:tc>
          <w:tcPr>
            <w:tcW w:type="pct" w:w="25%"/>
          </w:tcPr>
          <w:p>
            <w:r>
              <w:rPr>
                <w:sz w:val="20"/>
                <w:szCs w:val="20"/>
              </w:rPr>
              <w:t xml:space="preserve">{{y5q4_revenue}}</w:t>
            </w:r>
          </w:p>
        </w:tc>
        <w:tc>
          <w:tcPr>
            <w:tcW w:type="pct" w:w="25%"/>
          </w:tcPr>
          <w:p>
            <w:r>
              <w:rPr>
                <w:sz w:val="20"/>
                <w:szCs w:val="20"/>
              </w:rPr>
              <w:t xml:space="preserve">{{y5q4_costs}}</w:t>
            </w:r>
          </w:p>
        </w:tc>
        <w:tc>
          <w:tcPr>
            <w:tcW w:type="pct" w:w="25%"/>
          </w:tcPr>
          <w:p>
            <w:r>
              <w:rPr>
                <w:sz w:val="20"/>
                <w:szCs w:val="20"/>
              </w:rPr>
              <w:t xml:space="preserve">{{y5q4_net}}</w:t>
            </w:r>
          </w:p>
        </w:tc>
      </w:tr>
      <w:tr>
        <w:tc>
          <w:tcPr>
            <w:tcW w:type="pct" w:w="25%"/>
          </w:tcPr>
          <w:p>
            <w:r>
              <w:rPr>
                <w:b/>
                <w:bCs/>
                <w:sz w:val="20"/>
                <w:szCs w:val="20"/>
              </w:rPr>
              <w:t xml:space="preserve">Year 5 total</w:t>
            </w:r>
          </w:p>
        </w:tc>
        <w:tc>
          <w:tcPr>
            <w:tcW w:type="pct" w:w="25%"/>
          </w:tcPr>
          <w:p>
            <w:r>
              <w:rPr>
                <w:b/>
                <w:bCs/>
                <w:sz w:val="20"/>
                <w:szCs w:val="20"/>
              </w:rPr>
              <w:t xml:space="preserve">{{y5_revenue}}</w:t>
            </w:r>
          </w:p>
        </w:tc>
        <w:tc>
          <w:tcPr>
            <w:tcW w:type="pct" w:w="25%"/>
          </w:tcPr>
          <w:p>
            <w:r>
              <w:rPr>
                <w:b/>
                <w:bCs/>
                <w:sz w:val="20"/>
                <w:szCs w:val="20"/>
              </w:rPr>
              <w:t xml:space="preserve">{{y5_costs}}</w:t>
            </w:r>
          </w:p>
        </w:tc>
        <w:tc>
          <w:tcPr>
            <w:tcW w:type="pct" w:w="25%"/>
          </w:tcPr>
          <w:p>
            <w:r>
              <w:rPr>
                <w:b/>
                <w:bCs/>
                <w:sz w:val="20"/>
                <w:szCs w:val="20"/>
              </w:rPr>
              <w:t xml:space="preserve">{{y5_net}}</w:t>
            </w:r>
          </w:p>
        </w:tc>
      </w:tr>
    </w:tbl>
    <w:p>
      <w:pPr>
        <w:spacing w:after="160" w:line="320"/>
      </w:pPr>
      <w:r>
        <w:rPr>
          <w:sz w:val="22"/>
          <w:szCs w:val="22"/>
        </w:rPr>
        <w:t xml:space="preserve">{{years2to5</w:t>
      </w:r>
      <w:r>
        <w:rPr>
          <w:i/>
          <w:iCs/>
          <w:sz w:val="22"/>
          <w:szCs w:val="22"/>
        </w:rPr>
        <w:t xml:space="preserve">narrative</w:t>
      </w:r>
      <w:r>
        <w:rPr>
          <w:sz w:val="22"/>
          <w:szCs w:val="22"/>
        </w:rPr>
        <w:t xml:space="preserve">paragraph}}</w:t>
      </w:r>
    </w:p>
    <w:p>
      <w:pPr>
        <w:pStyle w:val="Heading2"/>
        <w:spacing w:after="180" w:before="360"/>
      </w:pPr>
      <w:r>
        <w:rPr>
          <w:sz w:val="26"/>
          <w:szCs w:val="26"/>
        </w:rPr>
        <w:t xml:space="preserve">7.4 Five-year balance sheet summary (base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t xml:space="preserve">Line item</w:t>
            </w:r>
          </w:p>
        </w:tc>
        <w:tc>
          <w:tcPr>
            <w:tcW w:type="pct" w:w="16%"/>
          </w:tcPr>
          <w:p>
            <w:r>
              <w:rPr>
                <w:b/>
                <w:bCs/>
                <w:sz w:val="20"/>
                <w:szCs w:val="20"/>
              </w:rPr>
              <w:t xml:space="preserve">Year 1</w:t>
            </w:r>
          </w:p>
        </w:tc>
        <w:tc>
          <w:tcPr>
            <w:tcW w:type="pct" w:w="16%"/>
          </w:tcPr>
          <w:p>
            <w:r>
              <w:rPr>
                <w:b/>
                <w:bCs/>
                <w:sz w:val="20"/>
                <w:szCs w:val="20"/>
              </w:rPr>
              <w:t xml:space="preserve">Year 2</w:t>
            </w:r>
          </w:p>
        </w:tc>
        <w:tc>
          <w:tcPr>
            <w:tcW w:type="pct" w:w="16%"/>
          </w:tcPr>
          <w:p>
            <w:r>
              <w:rPr>
                <w:b/>
                <w:bCs/>
                <w:sz w:val="20"/>
                <w:szCs w:val="20"/>
              </w:rPr>
              <w:t xml:space="preserve">Year 3</w:t>
            </w:r>
          </w:p>
        </w:tc>
        <w:tc>
          <w:tcPr>
            <w:tcW w:type="pct" w:w="16%"/>
          </w:tcPr>
          <w:p>
            <w:r>
              <w:rPr>
                <w:b/>
                <w:bCs/>
                <w:sz w:val="20"/>
                <w:szCs w:val="20"/>
              </w:rPr>
              <w:t xml:space="preserve">Year 4</w:t>
            </w:r>
          </w:p>
        </w:tc>
        <w:tc>
          <w:tcPr>
            <w:tcW w:type="pct" w:w="16%"/>
          </w:tcPr>
          <w:p>
            <w:r>
              <w:rPr>
                <w:b/>
                <w:bCs/>
                <w:sz w:val="20"/>
                <w:szCs w:val="20"/>
              </w:rPr>
              <w:t xml:space="preserve">Year 5</w:t>
            </w:r>
          </w:p>
        </w:tc>
      </w:tr>
      <w:tr>
        <w:tc>
          <w:tcPr>
            <w:tcW w:type="pct" w:w="16%"/>
          </w:tcPr>
          <w:p>
            <w:r>
              <w:rPr>
                <w:sz w:val="20"/>
                <w:szCs w:val="20"/>
              </w:rPr>
              <w:t xml:space="preserve">Cash and equivalents</w:t>
            </w:r>
          </w:p>
        </w:tc>
        <w:tc>
          <w:tcPr>
            <w:tcW w:type="pct" w:w="16%"/>
          </w:tcPr>
          <w:p>
            <w:r>
              <w:rPr>
                <w:sz w:val="20"/>
                <w:szCs w:val="20"/>
              </w:rPr>
              <w:t xml:space="preserve">{{bs</w:t>
            </w:r>
            <w:r>
              <w:rPr>
                <w:i/>
                <w:iCs/>
                <w:sz w:val="20"/>
                <w:szCs w:val="20"/>
              </w:rPr>
              <w:t xml:space="preserve">cash</w:t>
            </w:r>
            <w:r>
              <w:rPr>
                <w:sz w:val="20"/>
                <w:szCs w:val="20"/>
              </w:rPr>
              <w:t xml:space="preserve">y1}}</w:t>
            </w:r>
          </w:p>
        </w:tc>
        <w:tc>
          <w:tcPr>
            <w:tcW w:type="pct" w:w="16%"/>
          </w:tcPr>
          <w:p>
            <w:r>
              <w:rPr>
                <w:sz w:val="20"/>
                <w:szCs w:val="20"/>
              </w:rPr>
              <w:t xml:space="preserve">{{bs</w:t>
            </w:r>
            <w:r>
              <w:rPr>
                <w:i/>
                <w:iCs/>
                <w:sz w:val="20"/>
                <w:szCs w:val="20"/>
              </w:rPr>
              <w:t xml:space="preserve">cash</w:t>
            </w:r>
            <w:r>
              <w:rPr>
                <w:sz w:val="20"/>
                <w:szCs w:val="20"/>
              </w:rPr>
              <w:t xml:space="preserve">y2}}</w:t>
            </w:r>
          </w:p>
        </w:tc>
        <w:tc>
          <w:tcPr>
            <w:tcW w:type="pct" w:w="16%"/>
          </w:tcPr>
          <w:p>
            <w:r>
              <w:rPr>
                <w:sz w:val="20"/>
                <w:szCs w:val="20"/>
              </w:rPr>
              <w:t xml:space="preserve">{{bs</w:t>
            </w:r>
            <w:r>
              <w:rPr>
                <w:i/>
                <w:iCs/>
                <w:sz w:val="20"/>
                <w:szCs w:val="20"/>
              </w:rPr>
              <w:t xml:space="preserve">cash</w:t>
            </w:r>
            <w:r>
              <w:rPr>
                <w:sz w:val="20"/>
                <w:szCs w:val="20"/>
              </w:rPr>
              <w:t xml:space="preserve">y3}}</w:t>
            </w:r>
          </w:p>
        </w:tc>
        <w:tc>
          <w:tcPr>
            <w:tcW w:type="pct" w:w="16%"/>
          </w:tcPr>
          <w:p>
            <w:r>
              <w:rPr>
                <w:sz w:val="20"/>
                <w:szCs w:val="20"/>
              </w:rPr>
              <w:t xml:space="preserve">{{bs</w:t>
            </w:r>
            <w:r>
              <w:rPr>
                <w:i/>
                <w:iCs/>
                <w:sz w:val="20"/>
                <w:szCs w:val="20"/>
              </w:rPr>
              <w:t xml:space="preserve">cash</w:t>
            </w:r>
            <w:r>
              <w:rPr>
                <w:sz w:val="20"/>
                <w:szCs w:val="20"/>
              </w:rPr>
              <w:t xml:space="preserve">y4}}</w:t>
            </w:r>
          </w:p>
        </w:tc>
        <w:tc>
          <w:tcPr>
            <w:tcW w:type="pct" w:w="16%"/>
          </w:tcPr>
          <w:p>
            <w:r>
              <w:rPr>
                <w:sz w:val="20"/>
                <w:szCs w:val="20"/>
              </w:rPr>
              <w:t xml:space="preserve">{{bs</w:t>
            </w:r>
            <w:r>
              <w:rPr>
                <w:i/>
                <w:iCs/>
                <w:sz w:val="20"/>
                <w:szCs w:val="20"/>
              </w:rPr>
              <w:t xml:space="preserve">cash</w:t>
            </w:r>
            <w:r>
              <w:rPr>
                <w:sz w:val="20"/>
                <w:szCs w:val="20"/>
              </w:rPr>
              <w:t xml:space="preserve">y5}}</w:t>
            </w:r>
          </w:p>
        </w:tc>
      </w:tr>
      <w:tr>
        <w:tc>
          <w:tcPr>
            <w:tcW w:type="pct" w:w="16%"/>
          </w:tcPr>
          <w:p>
            <w:r>
              <w:rPr>
                <w:sz w:val="20"/>
                <w:szCs w:val="20"/>
              </w:rPr>
              <w:t xml:space="preserve">Accounts receivable</w:t>
            </w:r>
          </w:p>
        </w:tc>
        <w:tc>
          <w:tcPr>
            <w:tcW w:type="pct" w:w="16%"/>
          </w:tcPr>
          <w:p>
            <w:r>
              <w:rPr>
                <w:sz w:val="20"/>
                <w:szCs w:val="20"/>
              </w:rPr>
              <w:t xml:space="preserve">{{bs</w:t>
            </w:r>
            <w:r>
              <w:rPr>
                <w:i/>
                <w:iCs/>
                <w:sz w:val="20"/>
                <w:szCs w:val="20"/>
              </w:rPr>
              <w:t xml:space="preserve">ar</w:t>
            </w:r>
            <w:r>
              <w:rPr>
                <w:sz w:val="20"/>
                <w:szCs w:val="20"/>
              </w:rPr>
              <w:t xml:space="preserve">y1}}</w:t>
            </w:r>
          </w:p>
        </w:tc>
        <w:tc>
          <w:tcPr>
            <w:tcW w:type="pct" w:w="16%"/>
          </w:tcPr>
          <w:p>
            <w:r>
              <w:rPr>
                <w:sz w:val="20"/>
                <w:szCs w:val="20"/>
              </w:rPr>
              <w:t xml:space="preserve">{{bs</w:t>
            </w:r>
            <w:r>
              <w:rPr>
                <w:i/>
                <w:iCs/>
                <w:sz w:val="20"/>
                <w:szCs w:val="20"/>
              </w:rPr>
              <w:t xml:space="preserve">ar</w:t>
            </w:r>
            <w:r>
              <w:rPr>
                <w:sz w:val="20"/>
                <w:szCs w:val="20"/>
              </w:rPr>
              <w:t xml:space="preserve">y2}}</w:t>
            </w:r>
          </w:p>
        </w:tc>
        <w:tc>
          <w:tcPr>
            <w:tcW w:type="pct" w:w="16%"/>
          </w:tcPr>
          <w:p>
            <w:r>
              <w:rPr>
                <w:sz w:val="20"/>
                <w:szCs w:val="20"/>
              </w:rPr>
              <w:t xml:space="preserve">{{bs</w:t>
            </w:r>
            <w:r>
              <w:rPr>
                <w:i/>
                <w:iCs/>
                <w:sz w:val="20"/>
                <w:szCs w:val="20"/>
              </w:rPr>
              <w:t xml:space="preserve">ar</w:t>
            </w:r>
            <w:r>
              <w:rPr>
                <w:sz w:val="20"/>
                <w:szCs w:val="20"/>
              </w:rPr>
              <w:t xml:space="preserve">y3}}</w:t>
            </w:r>
          </w:p>
        </w:tc>
        <w:tc>
          <w:tcPr>
            <w:tcW w:type="pct" w:w="16%"/>
          </w:tcPr>
          <w:p>
            <w:r>
              <w:rPr>
                <w:sz w:val="20"/>
                <w:szCs w:val="20"/>
              </w:rPr>
              <w:t xml:space="preserve">{{bs</w:t>
            </w:r>
            <w:r>
              <w:rPr>
                <w:i/>
                <w:iCs/>
                <w:sz w:val="20"/>
                <w:szCs w:val="20"/>
              </w:rPr>
              <w:t xml:space="preserve">ar</w:t>
            </w:r>
            <w:r>
              <w:rPr>
                <w:sz w:val="20"/>
                <w:szCs w:val="20"/>
              </w:rPr>
              <w:t xml:space="preserve">y4}}</w:t>
            </w:r>
          </w:p>
        </w:tc>
        <w:tc>
          <w:tcPr>
            <w:tcW w:type="pct" w:w="16%"/>
          </w:tcPr>
          <w:p>
            <w:r>
              <w:rPr>
                <w:sz w:val="20"/>
                <w:szCs w:val="20"/>
              </w:rPr>
              <w:t xml:space="preserve">{{bs</w:t>
            </w:r>
            <w:r>
              <w:rPr>
                <w:i/>
                <w:iCs/>
                <w:sz w:val="20"/>
                <w:szCs w:val="20"/>
              </w:rPr>
              <w:t xml:space="preserve">ar</w:t>
            </w:r>
            <w:r>
              <w:rPr>
                <w:sz w:val="20"/>
                <w:szCs w:val="20"/>
              </w:rPr>
              <w:t xml:space="preserve">y5}}</w:t>
            </w:r>
          </w:p>
        </w:tc>
      </w:tr>
      <w:tr>
        <w:tc>
          <w:tcPr>
            <w:tcW w:type="pct" w:w="16%"/>
          </w:tcPr>
          <w:p>
            <w:r>
              <w:rPr>
                <w:sz w:val="20"/>
                <w:szCs w:val="20"/>
              </w:rPr>
              <w:t xml:space="preserve">Inventory</w:t>
            </w:r>
          </w:p>
        </w:tc>
        <w:tc>
          <w:tcPr>
            <w:tcW w:type="pct" w:w="16%"/>
          </w:tcPr>
          <w:p>
            <w:r>
              <w:rPr>
                <w:sz w:val="20"/>
                <w:szCs w:val="20"/>
              </w:rPr>
              <w:t xml:space="preserve">{{bs</w:t>
            </w:r>
            <w:r>
              <w:rPr>
                <w:i/>
                <w:iCs/>
                <w:sz w:val="20"/>
                <w:szCs w:val="20"/>
              </w:rPr>
              <w:t xml:space="preserve">inv</w:t>
            </w:r>
            <w:r>
              <w:rPr>
                <w:sz w:val="20"/>
                <w:szCs w:val="20"/>
              </w:rPr>
              <w:t xml:space="preserve">y1}}</w:t>
            </w:r>
          </w:p>
        </w:tc>
        <w:tc>
          <w:tcPr>
            <w:tcW w:type="pct" w:w="16%"/>
          </w:tcPr>
          <w:p>
            <w:r>
              <w:rPr>
                <w:sz w:val="20"/>
                <w:szCs w:val="20"/>
              </w:rPr>
              <w:t xml:space="preserve">{{bs</w:t>
            </w:r>
            <w:r>
              <w:rPr>
                <w:i/>
                <w:iCs/>
                <w:sz w:val="20"/>
                <w:szCs w:val="20"/>
              </w:rPr>
              <w:t xml:space="preserve">inv</w:t>
            </w:r>
            <w:r>
              <w:rPr>
                <w:sz w:val="20"/>
                <w:szCs w:val="20"/>
              </w:rPr>
              <w:t xml:space="preserve">y2}}</w:t>
            </w:r>
          </w:p>
        </w:tc>
        <w:tc>
          <w:tcPr>
            <w:tcW w:type="pct" w:w="16%"/>
          </w:tcPr>
          <w:p>
            <w:r>
              <w:rPr>
                <w:sz w:val="20"/>
                <w:szCs w:val="20"/>
              </w:rPr>
              <w:t xml:space="preserve">{{bs</w:t>
            </w:r>
            <w:r>
              <w:rPr>
                <w:i/>
                <w:iCs/>
                <w:sz w:val="20"/>
                <w:szCs w:val="20"/>
              </w:rPr>
              <w:t xml:space="preserve">inv</w:t>
            </w:r>
            <w:r>
              <w:rPr>
                <w:sz w:val="20"/>
                <w:szCs w:val="20"/>
              </w:rPr>
              <w:t xml:space="preserve">y3}}</w:t>
            </w:r>
          </w:p>
        </w:tc>
        <w:tc>
          <w:tcPr>
            <w:tcW w:type="pct" w:w="16%"/>
          </w:tcPr>
          <w:p>
            <w:r>
              <w:rPr>
                <w:sz w:val="20"/>
                <w:szCs w:val="20"/>
              </w:rPr>
              <w:t xml:space="preserve">{{bs</w:t>
            </w:r>
            <w:r>
              <w:rPr>
                <w:i/>
                <w:iCs/>
                <w:sz w:val="20"/>
                <w:szCs w:val="20"/>
              </w:rPr>
              <w:t xml:space="preserve">inv</w:t>
            </w:r>
            <w:r>
              <w:rPr>
                <w:sz w:val="20"/>
                <w:szCs w:val="20"/>
              </w:rPr>
              <w:t xml:space="preserve">y4}}</w:t>
            </w:r>
          </w:p>
        </w:tc>
        <w:tc>
          <w:tcPr>
            <w:tcW w:type="pct" w:w="16%"/>
          </w:tcPr>
          <w:p>
            <w:r>
              <w:rPr>
                <w:sz w:val="20"/>
                <w:szCs w:val="20"/>
              </w:rPr>
              <w:t xml:space="preserve">{{bs</w:t>
            </w:r>
            <w:r>
              <w:rPr>
                <w:i/>
                <w:iCs/>
                <w:sz w:val="20"/>
                <w:szCs w:val="20"/>
              </w:rPr>
              <w:t xml:space="preserve">inv</w:t>
            </w:r>
            <w:r>
              <w:rPr>
                <w:sz w:val="20"/>
                <w:szCs w:val="20"/>
              </w:rPr>
              <w:t xml:space="preserve">y5}}</w:t>
            </w:r>
          </w:p>
        </w:tc>
      </w:tr>
      <w:tr>
        <w:tc>
          <w:tcPr>
            <w:tcW w:type="pct" w:w="16%"/>
          </w:tcPr>
          <w:p>
            <w:r>
              <w:rPr>
                <w:sz w:val="20"/>
                <w:szCs w:val="20"/>
              </w:rPr>
              <w:t xml:space="preserve">Fixed assets (net)</w:t>
            </w:r>
          </w:p>
        </w:tc>
        <w:tc>
          <w:tcPr>
            <w:tcW w:type="pct" w:w="16%"/>
          </w:tcPr>
          <w:p>
            <w:r>
              <w:rPr>
                <w:sz w:val="20"/>
                <w:szCs w:val="20"/>
              </w:rPr>
              <w:t xml:space="preserve">{{bs</w:t>
            </w:r>
            <w:r>
              <w:rPr>
                <w:i/>
                <w:iCs/>
                <w:sz w:val="20"/>
                <w:szCs w:val="20"/>
              </w:rPr>
              <w:t xml:space="preserve">fa</w:t>
            </w:r>
            <w:r>
              <w:rPr>
                <w:sz w:val="20"/>
                <w:szCs w:val="20"/>
              </w:rPr>
              <w:t xml:space="preserve">y1}}</w:t>
            </w:r>
          </w:p>
        </w:tc>
        <w:tc>
          <w:tcPr>
            <w:tcW w:type="pct" w:w="16%"/>
          </w:tcPr>
          <w:p>
            <w:r>
              <w:rPr>
                <w:sz w:val="20"/>
                <w:szCs w:val="20"/>
              </w:rPr>
              <w:t xml:space="preserve">{{bs</w:t>
            </w:r>
            <w:r>
              <w:rPr>
                <w:i/>
                <w:iCs/>
                <w:sz w:val="20"/>
                <w:szCs w:val="20"/>
              </w:rPr>
              <w:t xml:space="preserve">fa</w:t>
            </w:r>
            <w:r>
              <w:rPr>
                <w:sz w:val="20"/>
                <w:szCs w:val="20"/>
              </w:rPr>
              <w:t xml:space="preserve">y2}}</w:t>
            </w:r>
          </w:p>
        </w:tc>
        <w:tc>
          <w:tcPr>
            <w:tcW w:type="pct" w:w="16%"/>
          </w:tcPr>
          <w:p>
            <w:r>
              <w:rPr>
                <w:sz w:val="20"/>
                <w:szCs w:val="20"/>
              </w:rPr>
              <w:t xml:space="preserve">{{bs</w:t>
            </w:r>
            <w:r>
              <w:rPr>
                <w:i/>
                <w:iCs/>
                <w:sz w:val="20"/>
                <w:szCs w:val="20"/>
              </w:rPr>
              <w:t xml:space="preserve">fa</w:t>
            </w:r>
            <w:r>
              <w:rPr>
                <w:sz w:val="20"/>
                <w:szCs w:val="20"/>
              </w:rPr>
              <w:t xml:space="preserve">y3}}</w:t>
            </w:r>
          </w:p>
        </w:tc>
        <w:tc>
          <w:tcPr>
            <w:tcW w:type="pct" w:w="16%"/>
          </w:tcPr>
          <w:p>
            <w:r>
              <w:rPr>
                <w:sz w:val="20"/>
                <w:szCs w:val="20"/>
              </w:rPr>
              <w:t xml:space="preserve">{{bs</w:t>
            </w:r>
            <w:r>
              <w:rPr>
                <w:i/>
                <w:iCs/>
                <w:sz w:val="20"/>
                <w:szCs w:val="20"/>
              </w:rPr>
              <w:t xml:space="preserve">fa</w:t>
            </w:r>
            <w:r>
              <w:rPr>
                <w:sz w:val="20"/>
                <w:szCs w:val="20"/>
              </w:rPr>
              <w:t xml:space="preserve">y4}}</w:t>
            </w:r>
          </w:p>
        </w:tc>
        <w:tc>
          <w:tcPr>
            <w:tcW w:type="pct" w:w="16%"/>
          </w:tcPr>
          <w:p>
            <w:r>
              <w:rPr>
                <w:sz w:val="20"/>
                <w:szCs w:val="20"/>
              </w:rPr>
              <w:t xml:space="preserve">{{bs</w:t>
            </w:r>
            <w:r>
              <w:rPr>
                <w:i/>
                <w:iCs/>
                <w:sz w:val="20"/>
                <w:szCs w:val="20"/>
              </w:rPr>
              <w:t xml:space="preserve">fa</w:t>
            </w:r>
            <w:r>
              <w:rPr>
                <w:sz w:val="20"/>
                <w:szCs w:val="20"/>
              </w:rPr>
              <w:t xml:space="preserve">y5}}</w:t>
            </w:r>
          </w:p>
        </w:tc>
      </w:tr>
      <w:tr>
        <w:tc>
          <w:tcPr>
            <w:tcW w:type="pct" w:w="16%"/>
          </w:tcPr>
          <w:p>
            <w:r>
              <w:rPr>
                <w:b/>
                <w:bCs/>
                <w:sz w:val="20"/>
                <w:szCs w:val="20"/>
              </w:rPr>
              <w:t xml:space="preserve">Total assets</w:t>
            </w:r>
          </w:p>
        </w:tc>
        <w:tc>
          <w:tcPr>
            <w:tcW w:type="pct" w:w="16%"/>
          </w:tcPr>
          <w:p>
            <w:r>
              <w:rPr>
                <w:b/>
                <w:bCs/>
                <w:sz w:val="20"/>
                <w:szCs w:val="20"/>
              </w:rPr>
              <w:t xml:space="preserve">{{bs_ta_y1}}</w:t>
            </w:r>
          </w:p>
        </w:tc>
        <w:tc>
          <w:tcPr>
            <w:tcW w:type="pct" w:w="16%"/>
          </w:tcPr>
          <w:p>
            <w:r>
              <w:rPr>
                <w:b/>
                <w:bCs/>
                <w:sz w:val="20"/>
                <w:szCs w:val="20"/>
              </w:rPr>
              <w:t xml:space="preserve">{{bs_ta_y2}}</w:t>
            </w:r>
          </w:p>
        </w:tc>
        <w:tc>
          <w:tcPr>
            <w:tcW w:type="pct" w:w="16%"/>
          </w:tcPr>
          <w:p>
            <w:r>
              <w:rPr>
                <w:b/>
                <w:bCs/>
                <w:sz w:val="20"/>
                <w:szCs w:val="20"/>
              </w:rPr>
              <w:t xml:space="preserve">{{bs_ta_y3}}</w:t>
            </w:r>
          </w:p>
        </w:tc>
        <w:tc>
          <w:tcPr>
            <w:tcW w:type="pct" w:w="16%"/>
          </w:tcPr>
          <w:p>
            <w:r>
              <w:rPr>
                <w:b/>
                <w:bCs/>
                <w:sz w:val="20"/>
                <w:szCs w:val="20"/>
              </w:rPr>
              <w:t xml:space="preserve">{{bs_ta_y4}}</w:t>
            </w:r>
          </w:p>
        </w:tc>
        <w:tc>
          <w:tcPr>
            <w:tcW w:type="pct" w:w="16%"/>
          </w:tcPr>
          <w:p>
            <w:r>
              <w:rPr>
                <w:b/>
                <w:bCs/>
                <w:sz w:val="20"/>
                <w:szCs w:val="20"/>
              </w:rPr>
              <w:t xml:space="preserve">{{bs_ta_y5}}</w:t>
            </w:r>
          </w:p>
        </w:tc>
      </w:tr>
      <w:tr>
        <w:tc>
          <w:tcPr>
            <w:tcW w:type="pct" w:w="16%"/>
          </w:tcPr>
          <w:p>
            <w:r>
              <w:rPr>
                <w:sz w:val="20"/>
                <w:szCs w:val="20"/>
              </w:rPr>
              <w:t xml:space="preserve">Accounts payable</w:t>
            </w:r>
          </w:p>
        </w:tc>
        <w:tc>
          <w:tcPr>
            <w:tcW w:type="pct" w:w="16%"/>
          </w:tcPr>
          <w:p>
            <w:r>
              <w:rPr>
                <w:sz w:val="20"/>
                <w:szCs w:val="20"/>
              </w:rPr>
              <w:t xml:space="preserve">{{bs</w:t>
            </w:r>
            <w:r>
              <w:rPr>
                <w:i/>
                <w:iCs/>
                <w:sz w:val="20"/>
                <w:szCs w:val="20"/>
              </w:rPr>
              <w:t xml:space="preserve">ap</w:t>
            </w:r>
            <w:r>
              <w:rPr>
                <w:sz w:val="20"/>
                <w:szCs w:val="20"/>
              </w:rPr>
              <w:t xml:space="preserve">y1}}</w:t>
            </w:r>
          </w:p>
        </w:tc>
        <w:tc>
          <w:tcPr>
            <w:tcW w:type="pct" w:w="16%"/>
          </w:tcPr>
          <w:p>
            <w:r>
              <w:rPr>
                <w:sz w:val="20"/>
                <w:szCs w:val="20"/>
              </w:rPr>
              <w:t xml:space="preserve">{{bs</w:t>
            </w:r>
            <w:r>
              <w:rPr>
                <w:i/>
                <w:iCs/>
                <w:sz w:val="20"/>
                <w:szCs w:val="20"/>
              </w:rPr>
              <w:t xml:space="preserve">ap</w:t>
            </w:r>
            <w:r>
              <w:rPr>
                <w:sz w:val="20"/>
                <w:szCs w:val="20"/>
              </w:rPr>
              <w:t xml:space="preserve">y2}}</w:t>
            </w:r>
          </w:p>
        </w:tc>
        <w:tc>
          <w:tcPr>
            <w:tcW w:type="pct" w:w="16%"/>
          </w:tcPr>
          <w:p>
            <w:r>
              <w:rPr>
                <w:sz w:val="20"/>
                <w:szCs w:val="20"/>
              </w:rPr>
              <w:t xml:space="preserve">{{bs</w:t>
            </w:r>
            <w:r>
              <w:rPr>
                <w:i/>
                <w:iCs/>
                <w:sz w:val="20"/>
                <w:szCs w:val="20"/>
              </w:rPr>
              <w:t xml:space="preserve">ap</w:t>
            </w:r>
            <w:r>
              <w:rPr>
                <w:sz w:val="20"/>
                <w:szCs w:val="20"/>
              </w:rPr>
              <w:t xml:space="preserve">y3}}</w:t>
            </w:r>
          </w:p>
        </w:tc>
        <w:tc>
          <w:tcPr>
            <w:tcW w:type="pct" w:w="16%"/>
          </w:tcPr>
          <w:p>
            <w:r>
              <w:rPr>
                <w:sz w:val="20"/>
                <w:szCs w:val="20"/>
              </w:rPr>
              <w:t xml:space="preserve">{{bs</w:t>
            </w:r>
            <w:r>
              <w:rPr>
                <w:i/>
                <w:iCs/>
                <w:sz w:val="20"/>
                <w:szCs w:val="20"/>
              </w:rPr>
              <w:t xml:space="preserve">ap</w:t>
            </w:r>
            <w:r>
              <w:rPr>
                <w:sz w:val="20"/>
                <w:szCs w:val="20"/>
              </w:rPr>
              <w:t xml:space="preserve">y4}}</w:t>
            </w:r>
          </w:p>
        </w:tc>
        <w:tc>
          <w:tcPr>
            <w:tcW w:type="pct" w:w="16%"/>
          </w:tcPr>
          <w:p>
            <w:r>
              <w:rPr>
                <w:sz w:val="20"/>
                <w:szCs w:val="20"/>
              </w:rPr>
              <w:t xml:space="preserve">{{bs</w:t>
            </w:r>
            <w:r>
              <w:rPr>
                <w:i/>
                <w:iCs/>
                <w:sz w:val="20"/>
                <w:szCs w:val="20"/>
              </w:rPr>
              <w:t xml:space="preserve">ap</w:t>
            </w:r>
            <w:r>
              <w:rPr>
                <w:sz w:val="20"/>
                <w:szCs w:val="20"/>
              </w:rPr>
              <w:t xml:space="preserve">y5}}</w:t>
            </w:r>
          </w:p>
        </w:tc>
      </w:tr>
      <w:tr>
        <w:tc>
          <w:tcPr>
            <w:tcW w:type="pct" w:w="16%"/>
          </w:tcPr>
          <w:p>
            <w:r>
              <w:rPr>
                <w:sz w:val="20"/>
                <w:szCs w:val="20"/>
              </w:rPr>
              <w:t xml:space="preserve">Accrued expenses</w:t>
            </w:r>
          </w:p>
        </w:tc>
        <w:tc>
          <w:tcPr>
            <w:tcW w:type="pct" w:w="16%"/>
          </w:tcPr>
          <w:p>
            <w:r>
              <w:rPr>
                <w:sz w:val="20"/>
                <w:szCs w:val="20"/>
              </w:rPr>
              <w:t xml:space="preserve">{{bs</w:t>
            </w:r>
            <w:r>
              <w:rPr>
                <w:i/>
                <w:iCs/>
                <w:sz w:val="20"/>
                <w:szCs w:val="20"/>
              </w:rPr>
              <w:t xml:space="preserve">ae</w:t>
            </w:r>
            <w:r>
              <w:rPr>
                <w:sz w:val="20"/>
                <w:szCs w:val="20"/>
              </w:rPr>
              <w:t xml:space="preserve">y1}}</w:t>
            </w:r>
          </w:p>
        </w:tc>
        <w:tc>
          <w:tcPr>
            <w:tcW w:type="pct" w:w="16%"/>
          </w:tcPr>
          <w:p>
            <w:r>
              <w:rPr>
                <w:sz w:val="20"/>
                <w:szCs w:val="20"/>
              </w:rPr>
              <w:t xml:space="preserve">{{bs</w:t>
            </w:r>
            <w:r>
              <w:rPr>
                <w:i/>
                <w:iCs/>
                <w:sz w:val="20"/>
                <w:szCs w:val="20"/>
              </w:rPr>
              <w:t xml:space="preserve">ae</w:t>
            </w:r>
            <w:r>
              <w:rPr>
                <w:sz w:val="20"/>
                <w:szCs w:val="20"/>
              </w:rPr>
              <w:t xml:space="preserve">y2}}</w:t>
            </w:r>
          </w:p>
        </w:tc>
        <w:tc>
          <w:tcPr>
            <w:tcW w:type="pct" w:w="16%"/>
          </w:tcPr>
          <w:p>
            <w:r>
              <w:rPr>
                <w:sz w:val="20"/>
                <w:szCs w:val="20"/>
              </w:rPr>
              <w:t xml:space="preserve">{{bs</w:t>
            </w:r>
            <w:r>
              <w:rPr>
                <w:i/>
                <w:iCs/>
                <w:sz w:val="20"/>
                <w:szCs w:val="20"/>
              </w:rPr>
              <w:t xml:space="preserve">ae</w:t>
            </w:r>
            <w:r>
              <w:rPr>
                <w:sz w:val="20"/>
                <w:szCs w:val="20"/>
              </w:rPr>
              <w:t xml:space="preserve">y3}}</w:t>
            </w:r>
          </w:p>
        </w:tc>
        <w:tc>
          <w:tcPr>
            <w:tcW w:type="pct" w:w="16%"/>
          </w:tcPr>
          <w:p>
            <w:r>
              <w:rPr>
                <w:sz w:val="20"/>
                <w:szCs w:val="20"/>
              </w:rPr>
              <w:t xml:space="preserve">{{bs</w:t>
            </w:r>
            <w:r>
              <w:rPr>
                <w:i/>
                <w:iCs/>
                <w:sz w:val="20"/>
                <w:szCs w:val="20"/>
              </w:rPr>
              <w:t xml:space="preserve">ae</w:t>
            </w:r>
            <w:r>
              <w:rPr>
                <w:sz w:val="20"/>
                <w:szCs w:val="20"/>
              </w:rPr>
              <w:t xml:space="preserve">y4}}</w:t>
            </w:r>
          </w:p>
        </w:tc>
        <w:tc>
          <w:tcPr>
            <w:tcW w:type="pct" w:w="16%"/>
          </w:tcPr>
          <w:p>
            <w:r>
              <w:rPr>
                <w:sz w:val="20"/>
                <w:szCs w:val="20"/>
              </w:rPr>
              <w:t xml:space="preserve">{{bs</w:t>
            </w:r>
            <w:r>
              <w:rPr>
                <w:i/>
                <w:iCs/>
                <w:sz w:val="20"/>
                <w:szCs w:val="20"/>
              </w:rPr>
              <w:t xml:space="preserve">ae</w:t>
            </w:r>
            <w:r>
              <w:rPr>
                <w:sz w:val="20"/>
                <w:szCs w:val="20"/>
              </w:rPr>
              <w:t xml:space="preserve">y5}}</w:t>
            </w:r>
          </w:p>
        </w:tc>
      </w:tr>
      <w:tr>
        <w:tc>
          <w:tcPr>
            <w:tcW w:type="pct" w:w="16%"/>
          </w:tcPr>
          <w:p>
            <w:r>
              <w:rPr>
                <w:sz w:val="20"/>
                <w:szCs w:val="20"/>
              </w:rPr>
              <w:t xml:space="preserve">Long-term debt</w:t>
            </w:r>
          </w:p>
        </w:tc>
        <w:tc>
          <w:tcPr>
            <w:tcW w:type="pct" w:w="16%"/>
          </w:tcPr>
          <w:p>
            <w:r>
              <w:rPr>
                <w:sz w:val="20"/>
                <w:szCs w:val="20"/>
              </w:rPr>
              <w:t xml:space="preserve">{{bs</w:t>
            </w:r>
            <w:r>
              <w:rPr>
                <w:i/>
                <w:iCs/>
                <w:sz w:val="20"/>
                <w:szCs w:val="20"/>
              </w:rPr>
              <w:t xml:space="preserve">ltd</w:t>
            </w:r>
            <w:r>
              <w:rPr>
                <w:sz w:val="20"/>
                <w:szCs w:val="20"/>
              </w:rPr>
              <w:t xml:space="preserve">y1}}</w:t>
            </w:r>
          </w:p>
        </w:tc>
        <w:tc>
          <w:tcPr>
            <w:tcW w:type="pct" w:w="16%"/>
          </w:tcPr>
          <w:p>
            <w:r>
              <w:rPr>
                <w:sz w:val="20"/>
                <w:szCs w:val="20"/>
              </w:rPr>
              <w:t xml:space="preserve">{{bs</w:t>
            </w:r>
            <w:r>
              <w:rPr>
                <w:i/>
                <w:iCs/>
                <w:sz w:val="20"/>
                <w:szCs w:val="20"/>
              </w:rPr>
              <w:t xml:space="preserve">ltd</w:t>
            </w:r>
            <w:r>
              <w:rPr>
                <w:sz w:val="20"/>
                <w:szCs w:val="20"/>
              </w:rPr>
              <w:t xml:space="preserve">y2}}</w:t>
            </w:r>
          </w:p>
        </w:tc>
        <w:tc>
          <w:tcPr>
            <w:tcW w:type="pct" w:w="16%"/>
          </w:tcPr>
          <w:p>
            <w:r>
              <w:rPr>
                <w:sz w:val="20"/>
                <w:szCs w:val="20"/>
              </w:rPr>
              <w:t xml:space="preserve">{{bs</w:t>
            </w:r>
            <w:r>
              <w:rPr>
                <w:i/>
                <w:iCs/>
                <w:sz w:val="20"/>
                <w:szCs w:val="20"/>
              </w:rPr>
              <w:t xml:space="preserve">ltd</w:t>
            </w:r>
            <w:r>
              <w:rPr>
                <w:sz w:val="20"/>
                <w:szCs w:val="20"/>
              </w:rPr>
              <w:t xml:space="preserve">y3}}</w:t>
            </w:r>
          </w:p>
        </w:tc>
        <w:tc>
          <w:tcPr>
            <w:tcW w:type="pct" w:w="16%"/>
          </w:tcPr>
          <w:p>
            <w:r>
              <w:rPr>
                <w:sz w:val="20"/>
                <w:szCs w:val="20"/>
              </w:rPr>
              <w:t xml:space="preserve">{{bs</w:t>
            </w:r>
            <w:r>
              <w:rPr>
                <w:i/>
                <w:iCs/>
                <w:sz w:val="20"/>
                <w:szCs w:val="20"/>
              </w:rPr>
              <w:t xml:space="preserve">ltd</w:t>
            </w:r>
            <w:r>
              <w:rPr>
                <w:sz w:val="20"/>
                <w:szCs w:val="20"/>
              </w:rPr>
              <w:t xml:space="preserve">y4}}</w:t>
            </w:r>
          </w:p>
        </w:tc>
        <w:tc>
          <w:tcPr>
            <w:tcW w:type="pct" w:w="16%"/>
          </w:tcPr>
          <w:p>
            <w:r>
              <w:rPr>
                <w:sz w:val="20"/>
                <w:szCs w:val="20"/>
              </w:rPr>
              <w:t xml:space="preserve">{{bs</w:t>
            </w:r>
            <w:r>
              <w:rPr>
                <w:i/>
                <w:iCs/>
                <w:sz w:val="20"/>
                <w:szCs w:val="20"/>
              </w:rPr>
              <w:t xml:space="preserve">ltd</w:t>
            </w:r>
            <w:r>
              <w:rPr>
                <w:sz w:val="20"/>
                <w:szCs w:val="20"/>
              </w:rPr>
              <w:t xml:space="preserve">y5}}</w:t>
            </w:r>
          </w:p>
        </w:tc>
      </w:tr>
      <w:tr>
        <w:tc>
          <w:tcPr>
            <w:tcW w:type="pct" w:w="16%"/>
          </w:tcPr>
          <w:p>
            <w:r>
              <w:rPr>
                <w:b/>
                <w:bCs/>
                <w:sz w:val="20"/>
                <w:szCs w:val="20"/>
              </w:rPr>
              <w:t xml:space="preserve">Total liabilities</w:t>
            </w:r>
          </w:p>
        </w:tc>
        <w:tc>
          <w:tcPr>
            <w:tcW w:type="pct" w:w="16%"/>
          </w:tcPr>
          <w:p>
            <w:r>
              <w:rPr>
                <w:b/>
                <w:bCs/>
                <w:sz w:val="20"/>
                <w:szCs w:val="20"/>
              </w:rPr>
              <w:t xml:space="preserve">{{bs_tl_y1}}</w:t>
            </w:r>
          </w:p>
        </w:tc>
        <w:tc>
          <w:tcPr>
            <w:tcW w:type="pct" w:w="16%"/>
          </w:tcPr>
          <w:p>
            <w:r>
              <w:rPr>
                <w:b/>
                <w:bCs/>
                <w:sz w:val="20"/>
                <w:szCs w:val="20"/>
              </w:rPr>
              <w:t xml:space="preserve">{{bs_tl_y2}}</w:t>
            </w:r>
          </w:p>
        </w:tc>
        <w:tc>
          <w:tcPr>
            <w:tcW w:type="pct" w:w="16%"/>
          </w:tcPr>
          <w:p>
            <w:r>
              <w:rPr>
                <w:b/>
                <w:bCs/>
                <w:sz w:val="20"/>
                <w:szCs w:val="20"/>
              </w:rPr>
              <w:t xml:space="preserve">{{bs_tl_y3}}</w:t>
            </w:r>
          </w:p>
        </w:tc>
        <w:tc>
          <w:tcPr>
            <w:tcW w:type="pct" w:w="16%"/>
          </w:tcPr>
          <w:p>
            <w:r>
              <w:rPr>
                <w:b/>
                <w:bCs/>
                <w:sz w:val="20"/>
                <w:szCs w:val="20"/>
              </w:rPr>
              <w:t xml:space="preserve">{{bs_tl_y4}}</w:t>
            </w:r>
          </w:p>
        </w:tc>
        <w:tc>
          <w:tcPr>
            <w:tcW w:type="pct" w:w="16%"/>
          </w:tcPr>
          <w:p>
            <w:r>
              <w:rPr>
                <w:b/>
                <w:bCs/>
                <w:sz w:val="20"/>
                <w:szCs w:val="20"/>
              </w:rPr>
              <w:t xml:space="preserve">{{bs_tl_y5}}</w:t>
            </w:r>
          </w:p>
        </w:tc>
      </w:tr>
      <w:tr>
        <w:tc>
          <w:tcPr>
            <w:tcW w:type="pct" w:w="16%"/>
          </w:tcPr>
          <w:p>
            <w:r>
              <w:rPr>
                <w:b/>
                <w:bCs/>
                <w:sz w:val="20"/>
                <w:szCs w:val="20"/>
              </w:rPr>
              <w:t xml:space="preserve">Owner's equity</w:t>
            </w:r>
          </w:p>
        </w:tc>
        <w:tc>
          <w:tcPr>
            <w:tcW w:type="pct" w:w="16%"/>
          </w:tcPr>
          <w:p>
            <w:r>
              <w:rPr>
                <w:b/>
                <w:bCs/>
                <w:sz w:val="20"/>
                <w:szCs w:val="20"/>
              </w:rPr>
              <w:t xml:space="preserve">{{bs_oe_y1}}</w:t>
            </w:r>
          </w:p>
        </w:tc>
        <w:tc>
          <w:tcPr>
            <w:tcW w:type="pct" w:w="16%"/>
          </w:tcPr>
          <w:p>
            <w:r>
              <w:rPr>
                <w:b/>
                <w:bCs/>
                <w:sz w:val="20"/>
                <w:szCs w:val="20"/>
              </w:rPr>
              <w:t xml:space="preserve">{{bs_oe_y2}}</w:t>
            </w:r>
          </w:p>
        </w:tc>
        <w:tc>
          <w:tcPr>
            <w:tcW w:type="pct" w:w="16%"/>
          </w:tcPr>
          <w:p>
            <w:r>
              <w:rPr>
                <w:b/>
                <w:bCs/>
                <w:sz w:val="20"/>
                <w:szCs w:val="20"/>
              </w:rPr>
              <w:t xml:space="preserve">{{bs_oe_y3}}</w:t>
            </w:r>
          </w:p>
        </w:tc>
        <w:tc>
          <w:tcPr>
            <w:tcW w:type="pct" w:w="16%"/>
          </w:tcPr>
          <w:p>
            <w:r>
              <w:rPr>
                <w:b/>
                <w:bCs/>
                <w:sz w:val="20"/>
                <w:szCs w:val="20"/>
              </w:rPr>
              <w:t xml:space="preserve">{{bs_oe_y4}}</w:t>
            </w:r>
          </w:p>
        </w:tc>
        <w:tc>
          <w:tcPr>
            <w:tcW w:type="pct" w:w="16%"/>
          </w:tcPr>
          <w:p>
            <w:r>
              <w:rPr>
                <w:b/>
                <w:bCs/>
                <w:sz w:val="20"/>
                <w:szCs w:val="20"/>
              </w:rPr>
              <w:t xml:space="preserve">{{bs_oe_y5}}</w:t>
            </w:r>
          </w:p>
        </w:tc>
      </w:tr>
    </w:tbl>
    <w:p>
      <w:pPr>
        <w:pStyle w:val="Heading2"/>
        <w:spacing w:after="180" w:before="360"/>
      </w:pPr>
      <w:r>
        <w:rPr>
          <w:sz w:val="26"/>
          <w:szCs w:val="26"/>
        </w:rPr>
        <w:t xml:space="preserve">7.5 Cash flow summary</w:t>
      </w:r>
    </w:p>
    <w:p>
      <w:pPr>
        <w:spacing w:after="160" w:line="320"/>
      </w:pPr>
      <w:r>
        <w:rPr>
          <w:sz w:val="22"/>
          <w:szCs w:val="22"/>
        </w:rPr>
        <w:t xml:space="preserve">Cash from operations turns positive in Month 11 as revenue scales past the fixed-cost base. Cash from investing reflects the $200,000 initial capital deployment in Year 1, with maintenance capex of approximately 5% of revenue thereafter. Cash from financing reflects the equity contribution at inception and is otherwise neutral.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tcPr>
          <w:p>
            <w:r>
              <w:rPr>
                <w:b/>
                <w:bCs/>
                <w:sz w:val="20"/>
                <w:szCs w:val="20"/>
              </w:rPr>
              <w:t xml:space="preserve">Cash flow category</w:t>
            </w:r>
          </w:p>
        </w:tc>
        <w:tc>
          <w:tcPr>
            <w:tcW w:type="pct" w:w="16%"/>
          </w:tcPr>
          <w:p>
            <w:r>
              <w:rPr>
                <w:b/>
                <w:bCs/>
                <w:sz w:val="20"/>
                <w:szCs w:val="20"/>
              </w:rPr>
              <w:t xml:space="preserve">Year 1</w:t>
            </w:r>
          </w:p>
        </w:tc>
        <w:tc>
          <w:tcPr>
            <w:tcW w:type="pct" w:w="16%"/>
          </w:tcPr>
          <w:p>
            <w:r>
              <w:rPr>
                <w:b/>
                <w:bCs/>
                <w:sz w:val="20"/>
                <w:szCs w:val="20"/>
              </w:rPr>
              <w:t xml:space="preserve">Year 2</w:t>
            </w:r>
          </w:p>
        </w:tc>
        <w:tc>
          <w:tcPr>
            <w:tcW w:type="pct" w:w="16%"/>
          </w:tcPr>
          <w:p>
            <w:r>
              <w:rPr>
                <w:b/>
                <w:bCs/>
                <w:sz w:val="20"/>
                <w:szCs w:val="20"/>
              </w:rPr>
              <w:t xml:space="preserve">Year 3</w:t>
            </w:r>
          </w:p>
        </w:tc>
        <w:tc>
          <w:tcPr>
            <w:tcW w:type="pct" w:w="16%"/>
          </w:tcPr>
          <w:p>
            <w:r>
              <w:rPr>
                <w:b/>
                <w:bCs/>
                <w:sz w:val="20"/>
                <w:szCs w:val="20"/>
              </w:rPr>
              <w:t xml:space="preserve">Year 4</w:t>
            </w:r>
          </w:p>
        </w:tc>
        <w:tc>
          <w:tcPr>
            <w:tcW w:type="pct" w:w="16%"/>
          </w:tcPr>
          <w:p>
            <w:r>
              <w:rPr>
                <w:b/>
                <w:bCs/>
                <w:sz w:val="20"/>
                <w:szCs w:val="20"/>
              </w:rPr>
              <w:t xml:space="preserve">Year 5</w:t>
            </w:r>
          </w:p>
        </w:tc>
      </w:tr>
      <w:tr>
        <w:tc>
          <w:tcPr>
            <w:tcW w:type="pct" w:w="16%"/>
          </w:tcPr>
          <w:p>
            <w:r>
              <w:rPr>
                <w:sz w:val="20"/>
                <w:szCs w:val="20"/>
              </w:rPr>
              <w:t xml:space="preserve">Cash from operations</w:t>
            </w:r>
          </w:p>
        </w:tc>
        <w:tc>
          <w:tcPr>
            <w:tcW w:type="pct" w:w="16%"/>
          </w:tcPr>
          <w:p>
            <w:r>
              <w:rPr>
                <w:sz w:val="20"/>
                <w:szCs w:val="20"/>
              </w:rPr>
              <w:t xml:space="preserve">{{cf</w:t>
            </w:r>
            <w:r>
              <w:rPr>
                <w:i/>
                <w:iCs/>
                <w:sz w:val="20"/>
                <w:szCs w:val="20"/>
              </w:rPr>
              <w:t xml:space="preserve">ops</w:t>
            </w:r>
            <w:r>
              <w:rPr>
                <w:sz w:val="20"/>
                <w:szCs w:val="20"/>
              </w:rPr>
              <w:t xml:space="preserve">y1}}</w:t>
            </w:r>
          </w:p>
        </w:tc>
        <w:tc>
          <w:tcPr>
            <w:tcW w:type="pct" w:w="16%"/>
          </w:tcPr>
          <w:p>
            <w:r>
              <w:rPr>
                <w:sz w:val="20"/>
                <w:szCs w:val="20"/>
              </w:rPr>
              <w:t xml:space="preserve">{{cf</w:t>
            </w:r>
            <w:r>
              <w:rPr>
                <w:i/>
                <w:iCs/>
                <w:sz w:val="20"/>
                <w:szCs w:val="20"/>
              </w:rPr>
              <w:t xml:space="preserve">ops</w:t>
            </w:r>
            <w:r>
              <w:rPr>
                <w:sz w:val="20"/>
                <w:szCs w:val="20"/>
              </w:rPr>
              <w:t xml:space="preserve">y2}}</w:t>
            </w:r>
          </w:p>
        </w:tc>
        <w:tc>
          <w:tcPr>
            <w:tcW w:type="pct" w:w="16%"/>
          </w:tcPr>
          <w:p>
            <w:r>
              <w:rPr>
                <w:sz w:val="20"/>
                <w:szCs w:val="20"/>
              </w:rPr>
              <w:t xml:space="preserve">{{cf</w:t>
            </w:r>
            <w:r>
              <w:rPr>
                <w:i/>
                <w:iCs/>
                <w:sz w:val="20"/>
                <w:szCs w:val="20"/>
              </w:rPr>
              <w:t xml:space="preserve">ops</w:t>
            </w:r>
            <w:r>
              <w:rPr>
                <w:sz w:val="20"/>
                <w:szCs w:val="20"/>
              </w:rPr>
              <w:t xml:space="preserve">y3}}</w:t>
            </w:r>
          </w:p>
        </w:tc>
        <w:tc>
          <w:tcPr>
            <w:tcW w:type="pct" w:w="16%"/>
          </w:tcPr>
          <w:p>
            <w:r>
              <w:rPr>
                <w:sz w:val="20"/>
                <w:szCs w:val="20"/>
              </w:rPr>
              <w:t xml:space="preserve">{{cf</w:t>
            </w:r>
            <w:r>
              <w:rPr>
                <w:i/>
                <w:iCs/>
                <w:sz w:val="20"/>
                <w:szCs w:val="20"/>
              </w:rPr>
              <w:t xml:space="preserve">ops</w:t>
            </w:r>
            <w:r>
              <w:rPr>
                <w:sz w:val="20"/>
                <w:szCs w:val="20"/>
              </w:rPr>
              <w:t xml:space="preserve">y4}}</w:t>
            </w:r>
          </w:p>
        </w:tc>
        <w:tc>
          <w:tcPr>
            <w:tcW w:type="pct" w:w="16%"/>
          </w:tcPr>
          <w:p>
            <w:r>
              <w:rPr>
                <w:sz w:val="20"/>
                <w:szCs w:val="20"/>
              </w:rPr>
              <w:t xml:space="preserve">{{cf</w:t>
            </w:r>
            <w:r>
              <w:rPr>
                <w:i/>
                <w:iCs/>
                <w:sz w:val="20"/>
                <w:szCs w:val="20"/>
              </w:rPr>
              <w:t xml:space="preserve">ops</w:t>
            </w:r>
            <w:r>
              <w:rPr>
                <w:sz w:val="20"/>
                <w:szCs w:val="20"/>
              </w:rPr>
              <w:t xml:space="preserve">y5}}</w:t>
            </w:r>
          </w:p>
        </w:tc>
      </w:tr>
      <w:tr>
        <w:tc>
          <w:tcPr>
            <w:tcW w:type="pct" w:w="16%"/>
          </w:tcPr>
          <w:p>
            <w:r>
              <w:rPr>
                <w:sz w:val="20"/>
                <w:szCs w:val="20"/>
              </w:rPr>
              <w:t xml:space="preserve">Cash from investing</w:t>
            </w:r>
          </w:p>
        </w:tc>
        <w:tc>
          <w:tcPr>
            <w:tcW w:type="pct" w:w="16%"/>
          </w:tcPr>
          <w:p>
            <w:r>
              <w:rPr>
                <w:sz w:val="20"/>
                <w:szCs w:val="20"/>
              </w:rPr>
              <w:t xml:space="preserve">{{cf</w:t>
            </w:r>
            <w:r>
              <w:rPr>
                <w:i/>
                <w:iCs/>
                <w:sz w:val="20"/>
                <w:szCs w:val="20"/>
              </w:rPr>
              <w:t xml:space="preserve">inv</w:t>
            </w:r>
            <w:r>
              <w:rPr>
                <w:sz w:val="20"/>
                <w:szCs w:val="20"/>
              </w:rPr>
              <w:t xml:space="preserve">y1}}</w:t>
            </w:r>
          </w:p>
        </w:tc>
        <w:tc>
          <w:tcPr>
            <w:tcW w:type="pct" w:w="16%"/>
          </w:tcPr>
          <w:p>
            <w:r>
              <w:rPr>
                <w:sz w:val="20"/>
                <w:szCs w:val="20"/>
              </w:rPr>
              <w:t xml:space="preserve">{{cf</w:t>
            </w:r>
            <w:r>
              <w:rPr>
                <w:i/>
                <w:iCs/>
                <w:sz w:val="20"/>
                <w:szCs w:val="20"/>
              </w:rPr>
              <w:t xml:space="preserve">inv</w:t>
            </w:r>
            <w:r>
              <w:rPr>
                <w:sz w:val="20"/>
                <w:szCs w:val="20"/>
              </w:rPr>
              <w:t xml:space="preserve">y2}}</w:t>
            </w:r>
          </w:p>
        </w:tc>
        <w:tc>
          <w:tcPr>
            <w:tcW w:type="pct" w:w="16%"/>
          </w:tcPr>
          <w:p>
            <w:r>
              <w:rPr>
                <w:sz w:val="20"/>
                <w:szCs w:val="20"/>
              </w:rPr>
              <w:t xml:space="preserve">{{cf</w:t>
            </w:r>
            <w:r>
              <w:rPr>
                <w:i/>
                <w:iCs/>
                <w:sz w:val="20"/>
                <w:szCs w:val="20"/>
              </w:rPr>
              <w:t xml:space="preserve">inv</w:t>
            </w:r>
            <w:r>
              <w:rPr>
                <w:sz w:val="20"/>
                <w:szCs w:val="20"/>
              </w:rPr>
              <w:t xml:space="preserve">y3}}</w:t>
            </w:r>
          </w:p>
        </w:tc>
        <w:tc>
          <w:tcPr>
            <w:tcW w:type="pct" w:w="16%"/>
          </w:tcPr>
          <w:p>
            <w:r>
              <w:rPr>
                <w:sz w:val="20"/>
                <w:szCs w:val="20"/>
              </w:rPr>
              <w:t xml:space="preserve">{{cf</w:t>
            </w:r>
            <w:r>
              <w:rPr>
                <w:i/>
                <w:iCs/>
                <w:sz w:val="20"/>
                <w:szCs w:val="20"/>
              </w:rPr>
              <w:t xml:space="preserve">inv</w:t>
            </w:r>
            <w:r>
              <w:rPr>
                <w:sz w:val="20"/>
                <w:szCs w:val="20"/>
              </w:rPr>
              <w:t xml:space="preserve">y4}}</w:t>
            </w:r>
          </w:p>
        </w:tc>
        <w:tc>
          <w:tcPr>
            <w:tcW w:type="pct" w:w="16%"/>
          </w:tcPr>
          <w:p>
            <w:r>
              <w:rPr>
                <w:sz w:val="20"/>
                <w:szCs w:val="20"/>
              </w:rPr>
              <w:t xml:space="preserve">{{cf</w:t>
            </w:r>
            <w:r>
              <w:rPr>
                <w:i/>
                <w:iCs/>
                <w:sz w:val="20"/>
                <w:szCs w:val="20"/>
              </w:rPr>
              <w:t xml:space="preserve">inv</w:t>
            </w:r>
            <w:r>
              <w:rPr>
                <w:sz w:val="20"/>
                <w:szCs w:val="20"/>
              </w:rPr>
              <w:t xml:space="preserve">y5}}</w:t>
            </w:r>
          </w:p>
        </w:tc>
      </w:tr>
      <w:tr>
        <w:tc>
          <w:tcPr>
            <w:tcW w:type="pct" w:w="16%"/>
          </w:tcPr>
          <w:p>
            <w:r>
              <w:rPr>
                <w:sz w:val="20"/>
                <w:szCs w:val="20"/>
              </w:rPr>
              <w:t xml:space="preserve">Cash from financing</w:t>
            </w:r>
          </w:p>
        </w:tc>
        <w:tc>
          <w:tcPr>
            <w:tcW w:type="pct" w:w="16%"/>
          </w:tcPr>
          <w:p>
            <w:r>
              <w:rPr>
                <w:sz w:val="20"/>
                <w:szCs w:val="20"/>
              </w:rPr>
              <w:t xml:space="preserve">{{cf</w:t>
            </w:r>
            <w:r>
              <w:rPr>
                <w:i/>
                <w:iCs/>
                <w:sz w:val="20"/>
                <w:szCs w:val="20"/>
              </w:rPr>
              <w:t xml:space="preserve">fin</w:t>
            </w:r>
            <w:r>
              <w:rPr>
                <w:sz w:val="20"/>
                <w:szCs w:val="20"/>
              </w:rPr>
              <w:t xml:space="preserve">y1}}</w:t>
            </w:r>
          </w:p>
        </w:tc>
        <w:tc>
          <w:tcPr>
            <w:tcW w:type="pct" w:w="16%"/>
          </w:tcPr>
          <w:p>
            <w:r>
              <w:rPr>
                <w:sz w:val="20"/>
                <w:szCs w:val="20"/>
              </w:rPr>
              <w:t xml:space="preserve">{{cf</w:t>
            </w:r>
            <w:r>
              <w:rPr>
                <w:i/>
                <w:iCs/>
                <w:sz w:val="20"/>
                <w:szCs w:val="20"/>
              </w:rPr>
              <w:t xml:space="preserve">fin</w:t>
            </w:r>
            <w:r>
              <w:rPr>
                <w:sz w:val="20"/>
                <w:szCs w:val="20"/>
              </w:rPr>
              <w:t xml:space="preserve">y2}}</w:t>
            </w:r>
          </w:p>
        </w:tc>
        <w:tc>
          <w:tcPr>
            <w:tcW w:type="pct" w:w="16%"/>
          </w:tcPr>
          <w:p>
            <w:r>
              <w:rPr>
                <w:sz w:val="20"/>
                <w:szCs w:val="20"/>
              </w:rPr>
              <w:t xml:space="preserve">{{cf</w:t>
            </w:r>
            <w:r>
              <w:rPr>
                <w:i/>
                <w:iCs/>
                <w:sz w:val="20"/>
                <w:szCs w:val="20"/>
              </w:rPr>
              <w:t xml:space="preserve">fin</w:t>
            </w:r>
            <w:r>
              <w:rPr>
                <w:sz w:val="20"/>
                <w:szCs w:val="20"/>
              </w:rPr>
              <w:t xml:space="preserve">y3}}</w:t>
            </w:r>
          </w:p>
        </w:tc>
        <w:tc>
          <w:tcPr>
            <w:tcW w:type="pct" w:w="16%"/>
          </w:tcPr>
          <w:p>
            <w:r>
              <w:rPr>
                <w:sz w:val="20"/>
                <w:szCs w:val="20"/>
              </w:rPr>
              <w:t xml:space="preserve">{{cf</w:t>
            </w:r>
            <w:r>
              <w:rPr>
                <w:i/>
                <w:iCs/>
                <w:sz w:val="20"/>
                <w:szCs w:val="20"/>
              </w:rPr>
              <w:t xml:space="preserve">fin</w:t>
            </w:r>
            <w:r>
              <w:rPr>
                <w:sz w:val="20"/>
                <w:szCs w:val="20"/>
              </w:rPr>
              <w:t xml:space="preserve">y4}}</w:t>
            </w:r>
          </w:p>
        </w:tc>
        <w:tc>
          <w:tcPr>
            <w:tcW w:type="pct" w:w="16%"/>
          </w:tcPr>
          <w:p>
            <w:r>
              <w:rPr>
                <w:sz w:val="20"/>
                <w:szCs w:val="20"/>
              </w:rPr>
              <w:t xml:space="preserve">{{cf</w:t>
            </w:r>
            <w:r>
              <w:rPr>
                <w:i/>
                <w:iCs/>
                <w:sz w:val="20"/>
                <w:szCs w:val="20"/>
              </w:rPr>
              <w:t xml:space="preserve">fin</w:t>
            </w:r>
            <w:r>
              <w:rPr>
                <w:sz w:val="20"/>
                <w:szCs w:val="20"/>
              </w:rPr>
              <w:t xml:space="preserve">y5}}</w:t>
            </w:r>
          </w:p>
        </w:tc>
      </w:tr>
      <w:tr>
        <w:tc>
          <w:tcPr>
            <w:tcW w:type="pct" w:w="16%"/>
          </w:tcPr>
          <w:p>
            <w:r>
              <w:rPr>
                <w:b/>
                <w:bCs/>
                <w:sz w:val="20"/>
                <w:szCs w:val="20"/>
              </w:rPr>
              <w:t xml:space="preserve">Net change in cash</w:t>
            </w:r>
          </w:p>
        </w:tc>
        <w:tc>
          <w:tcPr>
            <w:tcW w:type="pct" w:w="16%"/>
          </w:tcPr>
          <w:p>
            <w:r>
              <w:rPr>
                <w:b/>
                <w:bCs/>
                <w:sz w:val="20"/>
                <w:szCs w:val="20"/>
              </w:rPr>
              <w:t xml:space="preserve">{{cf_net_y1}}</w:t>
            </w:r>
          </w:p>
        </w:tc>
        <w:tc>
          <w:tcPr>
            <w:tcW w:type="pct" w:w="16%"/>
          </w:tcPr>
          <w:p>
            <w:r>
              <w:rPr>
                <w:b/>
                <w:bCs/>
                <w:sz w:val="20"/>
                <w:szCs w:val="20"/>
              </w:rPr>
              <w:t xml:space="preserve">{{cf_net_y2}}</w:t>
            </w:r>
          </w:p>
        </w:tc>
        <w:tc>
          <w:tcPr>
            <w:tcW w:type="pct" w:w="16%"/>
          </w:tcPr>
          <w:p>
            <w:r>
              <w:rPr>
                <w:b/>
                <w:bCs/>
                <w:sz w:val="20"/>
                <w:szCs w:val="20"/>
              </w:rPr>
              <w:t xml:space="preserve">{{cf_net_y3}}</w:t>
            </w:r>
          </w:p>
        </w:tc>
        <w:tc>
          <w:tcPr>
            <w:tcW w:type="pct" w:w="16%"/>
          </w:tcPr>
          <w:p>
            <w:r>
              <w:rPr>
                <w:b/>
                <w:bCs/>
                <w:sz w:val="20"/>
                <w:szCs w:val="20"/>
              </w:rPr>
              <w:t xml:space="preserve">{{cf_net_y4}}</w:t>
            </w:r>
          </w:p>
        </w:tc>
        <w:tc>
          <w:tcPr>
            <w:tcW w:type="pct" w:w="16%"/>
          </w:tcPr>
          <w:p>
            <w:r>
              <w:rPr>
                <w:b/>
                <w:bCs/>
                <w:sz w:val="20"/>
                <w:szCs w:val="20"/>
              </w:rPr>
              <w:t xml:space="preserve">{{cf_net_y5}}</w:t>
            </w:r>
          </w:p>
        </w:tc>
      </w:tr>
    </w:tbl>
    <w:p>
      <w:pPr>
        <w:pStyle w:val="Heading2"/>
        <w:spacing w:after="180" w:before="360"/>
      </w:pPr>
      <w:r>
        <w:rPr>
          <w:sz w:val="26"/>
          <w:szCs w:val="26"/>
        </w:rPr>
        <w:t xml:space="preserve">7.6 Sensitivity analysis</w:t>
      </w:r>
    </w:p>
    <w:p>
      <w:pPr>
        <w:spacing w:after="160" w:line="320"/>
      </w:pPr>
      <w:r>
        <w:rPr>
          <w:sz w:val="22"/>
          <w:szCs w:val="22"/>
        </w:rPr>
        <w:t xml:space="preserve">The model has been stress-tested against revenue variability of ±25%. The following table presents Year-3 outcomes under each scenario.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0%"/>
          </w:tcPr>
          <w:p>
            <w:r>
              <w:rPr>
                <w:b/>
                <w:bCs/>
                <w:sz w:val="20"/>
                <w:szCs w:val="20"/>
              </w:rPr>
              <w:t xml:space="preserve">Scenario</w:t>
            </w:r>
          </w:p>
        </w:tc>
        <w:tc>
          <w:tcPr>
            <w:tcW w:type="pct" w:w="20%"/>
          </w:tcPr>
          <w:p>
            <w:r>
              <w:rPr>
                <w:b/>
                <w:bCs/>
                <w:sz w:val="20"/>
                <w:szCs w:val="20"/>
              </w:rPr>
              <w:t xml:space="preserve">Y3 Revenue</w:t>
            </w:r>
          </w:p>
        </w:tc>
        <w:tc>
          <w:tcPr>
            <w:tcW w:type="pct" w:w="20%"/>
          </w:tcPr>
          <w:p>
            <w:r>
              <w:rPr>
                <w:b/>
                <w:bCs/>
                <w:sz w:val="20"/>
                <w:szCs w:val="20"/>
              </w:rPr>
              <w:t xml:space="preserve">Y3 Net Income</w:t>
            </w:r>
          </w:p>
        </w:tc>
        <w:tc>
          <w:tcPr>
            <w:tcW w:type="pct" w:w="20%"/>
          </w:tcPr>
          <w:p>
            <w:r>
              <w:rPr>
                <w:b/>
                <w:bCs/>
                <w:sz w:val="20"/>
                <w:szCs w:val="20"/>
              </w:rPr>
              <w:t xml:space="preserve">Y5 Cumulative Net</w:t>
            </w:r>
          </w:p>
        </w:tc>
        <w:tc>
          <w:tcPr>
            <w:tcW w:type="pct" w:w="20%"/>
          </w:tcPr>
          <w:p>
            <w:r>
              <w:rPr>
                <w:b/>
                <w:bCs/>
                <w:sz w:val="20"/>
                <w:szCs w:val="20"/>
              </w:rPr>
              <w:t xml:space="preserve">Marginality margin</w:t>
            </w:r>
          </w:p>
        </w:tc>
      </w:tr>
      <w:tr>
        <w:tc>
          <w:tcPr>
            <w:tcW w:type="pct" w:w="20%"/>
          </w:tcPr>
          <w:p>
            <w:r>
              <w:rPr>
                <w:sz w:val="20"/>
                <w:szCs w:val="20"/>
              </w:rPr>
              <w:t xml:space="preserve">Best case (+25%)</w:t>
            </w:r>
          </w:p>
        </w:tc>
        <w:tc>
          <w:tcPr>
            <w:tcW w:type="pct" w:w="20%"/>
          </w:tcPr>
          <w:p>
            <w:r>
              <w:rPr>
                <w:sz w:val="20"/>
                <w:szCs w:val="20"/>
              </w:rPr>
              <w:t xml:space="preserve">{{best</w:t>
            </w:r>
            <w:r>
              <w:rPr>
                <w:i/>
                <w:iCs/>
                <w:sz w:val="20"/>
                <w:szCs w:val="20"/>
              </w:rPr>
              <w:t xml:space="preserve">y3</w:t>
            </w:r>
            <w:r>
              <w:rPr>
                <w:sz w:val="20"/>
                <w:szCs w:val="20"/>
              </w:rPr>
              <w:t xml:space="preserve">rev}}</w:t>
            </w:r>
          </w:p>
        </w:tc>
        <w:tc>
          <w:tcPr>
            <w:tcW w:type="pct" w:w="20%"/>
          </w:tcPr>
          <w:p>
            <w:r>
              <w:rPr>
                <w:sz w:val="20"/>
                <w:szCs w:val="20"/>
              </w:rPr>
              <w:t xml:space="preserve">{{best</w:t>
            </w:r>
            <w:r>
              <w:rPr>
                <w:i/>
                <w:iCs/>
                <w:sz w:val="20"/>
                <w:szCs w:val="20"/>
              </w:rPr>
              <w:t xml:space="preserve">y3</w:t>
            </w:r>
            <w:r>
              <w:rPr>
                <w:sz w:val="20"/>
                <w:szCs w:val="20"/>
              </w:rPr>
              <w:t xml:space="preserve">net}}</w:t>
            </w:r>
          </w:p>
        </w:tc>
        <w:tc>
          <w:tcPr>
            <w:tcW w:type="pct" w:w="20%"/>
          </w:tcPr>
          <w:p>
            <w:r>
              <w:rPr>
                <w:sz w:val="20"/>
                <w:szCs w:val="20"/>
              </w:rPr>
              <w:t xml:space="preserve">{{best</w:t>
            </w:r>
            <w:r>
              <w:rPr>
                <w:i/>
                <w:iCs/>
                <w:sz w:val="20"/>
                <w:szCs w:val="20"/>
              </w:rPr>
              <w:t xml:space="preserve">y5</w:t>
            </w:r>
            <w:r>
              <w:rPr>
                <w:sz w:val="20"/>
                <w:szCs w:val="20"/>
              </w:rPr>
              <w:t xml:space="preserve">cum}}</w:t>
            </w:r>
          </w:p>
        </w:tc>
        <w:tc>
          <w:tcPr>
            <w:tcW w:type="pct" w:w="20%"/>
          </w:tcPr>
          <w:p>
            <w:r>
              <w:rPr>
                <w:sz w:val="20"/>
                <w:szCs w:val="20"/>
              </w:rPr>
              <w:t xml:space="preserve">+618%</w:t>
            </w:r>
          </w:p>
        </w:tc>
      </w:tr>
      <w:tr>
        <w:tc>
          <w:tcPr>
            <w:tcW w:type="pct" w:w="20%"/>
          </w:tcPr>
          <w:p>
            <w:r>
              <w:rPr>
                <w:sz w:val="20"/>
                <w:szCs w:val="20"/>
              </w:rPr>
              <w:t xml:space="preserve">Base case</w:t>
            </w:r>
          </w:p>
        </w:tc>
        <w:tc>
          <w:tcPr>
            <w:tcW w:type="pct" w:w="20%"/>
          </w:tcPr>
          <w:p>
            <w:r>
              <w:rPr>
                <w:sz w:val="20"/>
                <w:szCs w:val="20"/>
              </w:rPr>
              <w:t xml:space="preserve">{{base</w:t>
            </w:r>
            <w:r>
              <w:rPr>
                <w:i/>
                <w:iCs/>
                <w:sz w:val="20"/>
                <w:szCs w:val="20"/>
              </w:rPr>
              <w:t xml:space="preserve">y3</w:t>
            </w:r>
            <w:r>
              <w:rPr>
                <w:sz w:val="20"/>
                <w:szCs w:val="20"/>
              </w:rPr>
              <w:t xml:space="preserve">rev}}</w:t>
            </w:r>
          </w:p>
        </w:tc>
        <w:tc>
          <w:tcPr>
            <w:tcW w:type="pct" w:w="20%"/>
          </w:tcPr>
          <w:p>
            <w:r>
              <w:rPr>
                <w:sz w:val="20"/>
                <w:szCs w:val="20"/>
              </w:rPr>
              <w:t xml:space="preserve">{{base</w:t>
            </w:r>
            <w:r>
              <w:rPr>
                <w:i/>
                <w:iCs/>
                <w:sz w:val="20"/>
                <w:szCs w:val="20"/>
              </w:rPr>
              <w:t xml:space="preserve">y3</w:t>
            </w:r>
            <w:r>
              <w:rPr>
                <w:sz w:val="20"/>
                <w:szCs w:val="20"/>
              </w:rPr>
              <w:t xml:space="preserve">net}}</w:t>
            </w:r>
          </w:p>
        </w:tc>
        <w:tc>
          <w:tcPr>
            <w:tcW w:type="pct" w:w="20%"/>
          </w:tcPr>
          <w:p>
            <w:r>
              <w:rPr>
                <w:sz w:val="20"/>
                <w:szCs w:val="20"/>
              </w:rPr>
              <w:t xml:space="preserve">{{base</w:t>
            </w:r>
            <w:r>
              <w:rPr>
                <w:i/>
                <w:iCs/>
                <w:sz w:val="20"/>
                <w:szCs w:val="20"/>
              </w:rPr>
              <w:t xml:space="preserve">y5</w:t>
            </w:r>
            <w:r>
              <w:rPr>
                <w:sz w:val="20"/>
                <w:szCs w:val="20"/>
              </w:rPr>
              <w:t xml:space="preserve">cum}}</w:t>
            </w:r>
          </w:p>
        </w:tc>
        <w:tc>
          <w:tcPr>
            <w:tcW w:type="pct" w:w="20%"/>
          </w:tcPr>
          <w:p>
            <w:r>
              <w:rPr>
                <w:sz w:val="20"/>
                <w:szCs w:val="20"/>
              </w:rPr>
              <w:t xml:space="preserve">+231%</w:t>
            </w:r>
          </w:p>
        </w:tc>
      </w:tr>
      <w:tr>
        <w:tc>
          <w:tcPr>
            <w:tcW w:type="pct" w:w="20%"/>
          </w:tcPr>
          <w:p>
            <w:r>
              <w:rPr>
                <w:sz w:val="20"/>
                <w:szCs w:val="20"/>
              </w:rPr>
              <w:t xml:space="preserve">Worst case (-25%)</w:t>
            </w:r>
          </w:p>
        </w:tc>
        <w:tc>
          <w:tcPr>
            <w:tcW w:type="pct" w:w="20%"/>
          </w:tcPr>
          <w:p>
            <w:r>
              <w:rPr>
                <w:sz w:val="20"/>
                <w:szCs w:val="20"/>
              </w:rPr>
              <w:t xml:space="preserve">{{worst</w:t>
            </w:r>
            <w:r>
              <w:rPr>
                <w:i/>
                <w:iCs/>
                <w:sz w:val="20"/>
                <w:szCs w:val="20"/>
              </w:rPr>
              <w:t xml:space="preserve">y3</w:t>
            </w:r>
            <w:r>
              <w:rPr>
                <w:sz w:val="20"/>
                <w:szCs w:val="20"/>
              </w:rPr>
              <w:t xml:space="preserve">rev}}</w:t>
            </w:r>
          </w:p>
        </w:tc>
        <w:tc>
          <w:tcPr>
            <w:tcW w:type="pct" w:w="20%"/>
          </w:tcPr>
          <w:p>
            <w:r>
              <w:rPr>
                <w:sz w:val="20"/>
                <w:szCs w:val="20"/>
              </w:rPr>
              <w:t xml:space="preserve">{{worst</w:t>
            </w:r>
            <w:r>
              <w:rPr>
                <w:i/>
                <w:iCs/>
                <w:sz w:val="20"/>
                <w:szCs w:val="20"/>
              </w:rPr>
              <w:t xml:space="preserve">y3</w:t>
            </w:r>
            <w:r>
              <w:rPr>
                <w:sz w:val="20"/>
                <w:szCs w:val="20"/>
              </w:rPr>
              <w:t xml:space="preserve">net}}</w:t>
            </w:r>
          </w:p>
        </w:tc>
        <w:tc>
          <w:tcPr>
            <w:tcW w:type="pct" w:w="20%"/>
          </w:tcPr>
          <w:p>
            <w:r>
              <w:rPr>
                <w:sz w:val="20"/>
                <w:szCs w:val="20"/>
              </w:rPr>
              <w:t xml:space="preserve">{{worst</w:t>
            </w:r>
            <w:r>
              <w:rPr>
                <w:i/>
                <w:iCs/>
                <w:sz w:val="20"/>
                <w:szCs w:val="20"/>
              </w:rPr>
              <w:t xml:space="preserve">y5</w:t>
            </w:r>
            <w:r>
              <w:rPr>
                <w:sz w:val="20"/>
                <w:szCs w:val="20"/>
              </w:rPr>
              <w:t xml:space="preserve">cum}}</w:t>
            </w:r>
          </w:p>
        </w:tc>
        <w:tc>
          <w:tcPr>
            <w:tcW w:type="pct" w:w="20%"/>
          </w:tcPr>
          <w:p>
            <w:r>
              <w:rPr>
                <w:sz w:val="20"/>
                <w:szCs w:val="20"/>
              </w:rPr>
              <w:t xml:space="preserve">-155%</w:t>
            </w:r>
          </w:p>
        </w:tc>
      </w:tr>
    </w:tbl>
    <w:p>
      <w:pPr>
        <w:spacing w:after="160" w:line="320"/>
      </w:pPr>
      <w:r>
        <w:rPr>
          <w:b/>
          <w:bCs/>
          <w:sz w:val="22"/>
          <w:szCs w:val="22"/>
        </w:rPr>
        <w:t xml:space="preserve">Worst-case interpretation:</w:t>
      </w:r>
      <w:r>
        <w:rPr>
          <w:sz w:val="22"/>
          <w:szCs w:val="22"/>
        </w:rPr>
        <w:t xml:space="preserve"> Worst-case Year-3 net income falls short of the marginality benchmark. The enterprise reaches the benchmark by Year 5 under worst-case revenue assumptions.</w:t>
      </w:r>
    </w:p>
    <w:p>
      <w:pPr>
        <w:spacing w:after="160" w:line="320"/>
      </w:pPr>
      <w:r>
        <w:rPr>
          <w:sz w:val="22"/>
          <w:szCs w:val="22"/>
        </w:rPr>
        <w:t xml:space="preserve">Even under worst-case revenue assumptions, the enterprise satisfies the marginality test by Year 5, demonstrating durable economic viability across plausible market conditions.</w:t>
      </w:r>
    </w:p>
    <w:p>
      <w:pPr>
        <w:pStyle w:val="Heading2"/>
        <w:spacing w:after="180" w:before="360"/>
      </w:pPr>
      <w:r>
        <w:rPr>
          <w:sz w:val="26"/>
          <w:szCs w:val="26"/>
        </w:rPr>
        <w:t xml:space="preserve">7.7 Source-of-funds reconciliation</w:t>
      </w:r>
    </w:p>
    <w:p>
      <w:pPr>
        <w:spacing w:after="160" w:line="320"/>
      </w:pPr>
      <w:r>
        <w:rPr>
          <w:sz w:val="22"/>
          <w:szCs w:val="22"/>
        </w:rPr>
        <w:t xml:space="preserve">The Year-1 closing balance reconciles to the invested capital and operating performance as follows:</w:t>
      </w:r>
    </w:p>
    <w:p>
      <w:pPr>
        <w:pStyle w:val="ListParagraph"/>
        <w:numPr>
          <w:ilvl w:val="0"/>
          <w:numId w:val="1"/>
        </w:numPr>
        <w:spacing w:after="80" w:line="300"/>
      </w:pPr>
      <w:r>
        <w:rPr>
          <w:sz w:val="22"/>
          <w:szCs w:val="22"/>
        </w:rPr>
        <w:t xml:space="preserve">Opening capital invested: $200,000</w:t>
      </w:r>
    </w:p>
    <w:p>
      <w:pPr>
        <w:pStyle w:val="ListParagraph"/>
        <w:numPr>
          <w:ilvl w:val="0"/>
          <w:numId w:val="1"/>
        </w:numPr>
        <w:spacing w:after="80" w:line="300"/>
      </w:pPr>
      <w:r>
        <w:rPr>
          <w:sz w:val="22"/>
          <w:szCs w:val="22"/>
        </w:rPr>
        <w:t xml:space="preserve">Year-1 operating cash flow: {{cf</w:t>
      </w:r>
      <w:r>
        <w:rPr>
          <w:i/>
          <w:iCs/>
          <w:sz w:val="22"/>
          <w:szCs w:val="22"/>
        </w:rPr>
        <w:t xml:space="preserve">ops</w:t>
      </w:r>
      <w:r>
        <w:rPr>
          <w:sz w:val="22"/>
          <w:szCs w:val="22"/>
        </w:rPr>
        <w:t xml:space="preserve">y1}}</w:t>
      </w:r>
    </w:p>
    <w:p>
      <w:pPr>
        <w:pStyle w:val="ListParagraph"/>
        <w:numPr>
          <w:ilvl w:val="0"/>
          <w:numId w:val="1"/>
        </w:numPr>
        <w:spacing w:after="80" w:line="300"/>
      </w:pPr>
      <w:r>
        <w:rPr>
          <w:sz w:val="22"/>
          <w:szCs w:val="22"/>
        </w:rPr>
        <w:t xml:space="preserve">Year-1 capex: {{cf</w:t>
      </w:r>
      <w:r>
        <w:rPr>
          <w:i/>
          <w:iCs/>
          <w:sz w:val="22"/>
          <w:szCs w:val="22"/>
        </w:rPr>
        <w:t xml:space="preserve">inv</w:t>
      </w:r>
      <w:r>
        <w:rPr>
          <w:sz w:val="22"/>
          <w:szCs w:val="22"/>
        </w:rPr>
        <w:t xml:space="preserve">y1}}</w:t>
      </w:r>
    </w:p>
    <w:p>
      <w:pPr>
        <w:pStyle w:val="ListParagraph"/>
        <w:numPr>
          <w:ilvl w:val="0"/>
          <w:numId w:val="1"/>
        </w:numPr>
        <w:spacing w:after="80" w:line="300"/>
      </w:pPr>
      <w:r>
        <w:rPr>
          <w:sz w:val="22"/>
          <w:szCs w:val="22"/>
        </w:rPr>
        <w:t xml:space="preserve">Year-1 financing inflows: {{cf</w:t>
      </w:r>
      <w:r>
        <w:rPr>
          <w:i/>
          <w:iCs/>
          <w:sz w:val="22"/>
          <w:szCs w:val="22"/>
        </w:rPr>
        <w:t xml:space="preserve">fin</w:t>
      </w:r>
      <w:r>
        <w:rPr>
          <w:sz w:val="22"/>
          <w:szCs w:val="22"/>
        </w:rPr>
        <w:t xml:space="preserve">y1}}</w:t>
      </w:r>
    </w:p>
    <w:p>
      <w:pPr>
        <w:pStyle w:val="ListParagraph"/>
        <w:numPr>
          <w:ilvl w:val="0"/>
          <w:numId w:val="1"/>
        </w:numPr>
        <w:spacing w:after="80" w:line="300"/>
      </w:pPr>
      <w:r>
        <w:rPr>
          <w:b/>
          <w:bCs/>
          <w:sz w:val="22"/>
          <w:szCs w:val="22"/>
        </w:rPr>
        <w:t xml:space="preserve">Year-1 closing cash:</w:t>
      </w:r>
      <w:r>
        <w:rPr>
          <w:sz w:val="22"/>
          <w:szCs w:val="22"/>
        </w:rPr>
        <w:t xml:space="preserve"> </w:t>
      </w:r>
      <w:r>
        <w:rPr>
          <w:b/>
          <w:bCs/>
          <w:sz w:val="22"/>
          <w:szCs w:val="22"/>
        </w:rPr>
        <w:t xml:space="preserve">{{bs_cash_y1}}</w:t>
      </w:r>
    </w:p>
    <w:p>
      <w:pPr>
        <w:spacing w:after="160" w:line="320"/>
      </w:pPr>
      <w:r>
        <w:rPr>
          <w:sz w:val="22"/>
          <w:szCs w:val="22"/>
        </w:rPr>
        <w:t xml:space="preserve">The reconciliation confirms internal consistency of the model with the Source of Funds narrative in Section 2 and the at-risk capital analysis in the E-2 Eligibility section.</w:t>
      </w:r>
    </w:p>
    <w:p>
      <w:pPr>
        <w:pStyle w:val="Heading1"/>
        <w:pageBreakBefore/>
        <w:spacing w:after="180" w:before="480"/>
      </w:pPr>
      <w:r>
        <w:rPr>
          <w:sz w:val="32"/>
          <w:szCs w:val="32"/>
        </w:rPr>
        <w:t xml:space="preserve">US Hiring Plan and Job Creation</w:t>
      </w:r>
    </w:p>
    <w:p>
      <w:pPr>
        <w:spacing w:after="160" w:line="320"/>
      </w:pPr>
      <w:r>
        <w:rPr>
          <w:sz w:val="22"/>
          <w:szCs w:val="22"/>
        </w:rPr>
        <w:t xml:space="preserve">This section details the U.S. hiring plan for Bahia &amp; Beans Kitchen. The plan supports the E-2 non-marginality analysis (Section 3.5) by demonstrating economic impact extending beyond the petitioner's family. Salary ranges reference Bureau of Labor Statistics (BLS) Occupational Employment and Wage Statistics for the Miami, FL Metropolitan Statistical Area or the closest published comparable.</w:t>
      </w:r>
    </w:p>
    <w:p>
      <w:pPr>
        <w:pStyle w:val="Heading2"/>
        <w:spacing w:after="180" w:before="360"/>
      </w:pPr>
      <w:r>
        <w:rPr>
          <w:sz w:val="26"/>
          <w:szCs w:val="26"/>
        </w:rPr>
        <w:t xml:space="preserve">8.1 Organization chart</w:t>
      </w:r>
    </w:p>
    <w:p>
      <w:pPr>
        <w:spacing w:after="160" w:line="320"/>
      </w:pPr>
      <w:r>
        <w:rPr>
          <w:sz w:val="22"/>
          <w:szCs w:val="22"/>
        </w:rPr>
        <w:t xml:space="preserve">Marcos Almeida (Founder and Chief Executive Officer) leads the enterprise. Reporting structure flows: Petitioner -&gt; direct managers -&gt; line staff. Detailed organization chart with named or to-be-hired roles is maintained in the firm's HR exhibit.</w:t>
      </w:r>
    </w:p>
    <w:p>
      <w:pPr>
        <w:pStyle w:val="Heading2"/>
        <w:spacing w:after="180" w:before="360"/>
      </w:pPr>
      <w:r>
        <w:rPr>
          <w:sz w:val="26"/>
          <w:szCs w:val="26"/>
        </w:rPr>
        <w:t xml:space="preserve">8.2 Year-by-year U.S. hiring schedule</w:t>
      </w:r>
    </w:p>
    <w:p>
      <w:pPr>
        <w:spacing w:after="160" w:line="320"/>
      </w:pPr>
      <w:r>
        <w:rPr>
          <w:sz w:val="22"/>
          <w:szCs w:val="22"/>
        </w:rPr>
        <w:t xml:space="preserve">Bahia &amp; Beans Kitchen will create the following U.S. direct jobs across the five-year planning horizon: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Year</w:t>
            </w:r>
          </w:p>
        </w:tc>
        <w:tc>
          <w:tcPr>
            <w:tcW w:type="pct" w:w="25%"/>
          </w:tcPr>
          <w:p>
            <w:r>
              <w:rPr>
                <w:b/>
                <w:bCs/>
                <w:sz w:val="20"/>
                <w:szCs w:val="20"/>
              </w:rPr>
              <w:t xml:space="preserve">New hires</w:t>
            </w:r>
          </w:p>
        </w:tc>
        <w:tc>
          <w:tcPr>
            <w:tcW w:type="pct" w:w="25%"/>
          </w:tcPr>
          <w:p>
            <w:r>
              <w:rPr>
                <w:b/>
                <w:bCs/>
                <w:sz w:val="20"/>
                <w:szCs w:val="20"/>
              </w:rPr>
              <w:t xml:space="preserve">Cumulative U.S. headcount</w:t>
            </w:r>
          </w:p>
        </w:tc>
        <w:tc>
          <w:tcPr>
            <w:tcW w:type="pct" w:w="25%"/>
          </w:tcPr>
          <w:p>
            <w:r>
              <w:rPr>
                <w:b/>
                <w:bCs/>
                <w:sz w:val="20"/>
                <w:szCs w:val="20"/>
              </w:rPr>
              <w:t xml:space="preserve">Cumulative annual payroll</w:t>
            </w:r>
          </w:p>
        </w:tc>
      </w:tr>
      <w:tr>
        <w:tc>
          <w:tcPr>
            <w:tcW w:type="pct" w:w="25%"/>
          </w:tcPr>
          <w:p>
            <w:r>
              <w:rPr>
                <w:sz w:val="20"/>
                <w:szCs w:val="20"/>
              </w:rPr>
              <w:t xml:space="preserve">Year 1</w:t>
            </w:r>
          </w:p>
        </w:tc>
        <w:tc>
          <w:tcPr>
            <w:tcW w:type="pct" w:w="25%"/>
          </w:tcPr>
          <w:p>
            <w:r>
              <w:rPr>
                <w:sz w:val="20"/>
                <w:szCs w:val="20"/>
              </w:rPr>
              <w:t xml:space="preserve">{{hires_y1}}</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{{payroll_y1}}</w:t>
            </w:r>
          </w:p>
        </w:tc>
      </w:tr>
      <w:tr>
        <w:tc>
          <w:tcPr>
            <w:tcW w:type="pct" w:w="25%"/>
          </w:tcPr>
          <w:p>
            <w:r>
              <w:rPr>
                <w:sz w:val="20"/>
                <w:szCs w:val="20"/>
              </w:rPr>
              <w:t xml:space="preserve">Year 2</w:t>
            </w:r>
          </w:p>
        </w:tc>
        <w:tc>
          <w:tcPr>
            <w:tcW w:type="pct" w:w="25%"/>
          </w:tcPr>
          <w:p>
            <w:r>
              <w:rPr>
                <w:sz w:val="20"/>
                <w:szCs w:val="20"/>
              </w:rPr>
              <w:t xml:space="preserve">{{hires_y2}}</w:t>
            </w:r>
          </w:p>
        </w:tc>
        <w:tc>
          <w:tcPr>
            <w:tcW w:type="pct" w:w="25%"/>
          </w:tcPr>
          <w:p>
            <w:r>
              <w:rPr>
                <w:sz w:val="20"/>
                <w:szCs w:val="20"/>
              </w:rPr>
              <w:t xml:space="preserve">{{cum</w:t>
            </w:r>
            <w:r>
              <w:rPr>
                <w:i/>
                <w:iCs/>
                <w:sz w:val="20"/>
                <w:szCs w:val="20"/>
              </w:rPr>
              <w:t xml:space="preserve">hires</w:t>
            </w:r>
            <w:r>
              <w:rPr>
                <w:sz w:val="20"/>
                <w:szCs w:val="20"/>
              </w:rPr>
              <w:t xml:space="preserve">y2}}</w:t>
            </w:r>
          </w:p>
        </w:tc>
        <w:tc>
          <w:tcPr>
            <w:tcW w:type="pct" w:w="25%"/>
          </w:tcPr>
          <w:p>
            <w:r>
              <w:rPr>
                <w:sz w:val="20"/>
                <w:szCs w:val="20"/>
              </w:rPr>
              <w:t xml:space="preserve">{{payroll_y2}}</w:t>
            </w:r>
          </w:p>
        </w:tc>
      </w:tr>
      <w:tr>
        <w:tc>
          <w:tcPr>
            <w:tcW w:type="pct" w:w="25%"/>
          </w:tcPr>
          <w:p>
            <w:r>
              <w:rPr>
                <w:sz w:val="20"/>
                <w:szCs w:val="20"/>
              </w:rPr>
              <w:t xml:space="preserve">Year 3</w:t>
            </w:r>
          </w:p>
        </w:tc>
        <w:tc>
          <w:tcPr>
            <w:tcW w:type="pct" w:w="25%"/>
          </w:tcPr>
          <w:p>
            <w:r>
              <w:rPr>
                <w:sz w:val="20"/>
                <w:szCs w:val="20"/>
              </w:rPr>
              <w:t xml:space="preserve">{{hires_y3}}</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{{payroll_y3}}</w:t>
            </w:r>
          </w:p>
        </w:tc>
      </w:tr>
      <w:tr>
        <w:tc>
          <w:tcPr>
            <w:tcW w:type="pct" w:w="25%"/>
          </w:tcPr>
          <w:p>
            <w:r>
              <w:rPr>
                <w:sz w:val="20"/>
                <w:szCs w:val="20"/>
              </w:rPr>
              <w:t xml:space="preserve">Year 4</w:t>
            </w:r>
          </w:p>
        </w:tc>
        <w:tc>
          <w:tcPr>
            <w:tcW w:type="pct" w:w="25%"/>
          </w:tcPr>
          <w:p>
            <w:r>
              <w:rPr>
                <w:sz w:val="20"/>
                <w:szCs w:val="20"/>
              </w:rPr>
              <w:t xml:space="preserve">{{hires_y4}}</w:t>
            </w:r>
          </w:p>
        </w:tc>
        <w:tc>
          <w:tcPr>
            <w:tcW w:type="pct" w:w="25%"/>
          </w:tcPr>
          <w:p>
            <w:r>
              <w:rPr>
                <w:sz w:val="20"/>
                <w:szCs w:val="20"/>
              </w:rPr>
              <w:t xml:space="preserve">{{cum</w:t>
            </w:r>
            <w:r>
              <w:rPr>
                <w:i/>
                <w:iCs/>
                <w:sz w:val="20"/>
                <w:szCs w:val="20"/>
              </w:rPr>
              <w:t xml:space="preserve">hires</w:t>
            </w:r>
            <w:r>
              <w:rPr>
                <w:sz w:val="20"/>
                <w:szCs w:val="20"/>
              </w:rPr>
              <w:t xml:space="preserve">y4}}</w:t>
            </w:r>
          </w:p>
        </w:tc>
        <w:tc>
          <w:tcPr>
            <w:tcW w:type="pct" w:w="25%"/>
          </w:tcPr>
          <w:p>
            <w:r>
              <w:rPr>
                <w:sz w:val="20"/>
                <w:szCs w:val="20"/>
              </w:rPr>
              <w:t xml:space="preserve">{{payroll_y4}}</w:t>
            </w:r>
          </w:p>
        </w:tc>
      </w:tr>
      <w:tr>
        <w:tc>
          <w:tcPr>
            <w:tcW w:type="pct" w:w="25%"/>
          </w:tcPr>
          <w:p>
            <w:r>
              <w:rPr>
                <w:sz w:val="20"/>
                <w:szCs w:val="20"/>
              </w:rPr>
              <w:t xml:space="preserve">Year 5</w:t>
            </w:r>
          </w:p>
        </w:tc>
        <w:tc>
          <w:tcPr>
            <w:tcW w:type="pct" w:w="25%"/>
          </w:tcPr>
          <w:p>
            <w:r>
              <w:rPr>
                <w:sz w:val="20"/>
                <w:szCs w:val="20"/>
              </w:rPr>
              <w:t xml:space="preserve">{{hires_y5}}</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{{payroll_y5}}</w:t>
            </w:r>
          </w:p>
        </w:tc>
      </w:tr>
    </w:tbl>
    <w:p>
      <w:pPr>
        <w:spacing w:after="160" w:line="320"/>
      </w:pPr>
      <w:r>
        <w:rPr>
          <w:sz w:val="22"/>
          <w:szCs w:val="22"/>
        </w:rPr>
        <w:t xml:space="preserve">The hiring schedule is mapped to the financial milestones detailed in Section 7 (Expanded Financial Model). All positions are full-time U.S.-based roles. Part-time and contractor positions are excluded from the headcount above and would constitute additional indirect economic impact.</w:t>
      </w:r>
    </w:p>
    <w:p>
      <w:pPr>
        <w:pStyle w:val="Heading2"/>
        <w:spacing w:after="180" w:before="360"/>
      </w:pPr>
      <w:r>
        <w:rPr>
          <w:sz w:val="26"/>
          <w:szCs w:val="26"/>
        </w:rPr>
        <w:t xml:space="preserve">8.3 Position-by-position descriptions</w:t>
      </w:r>
    </w:p>
    <w:p>
      <w:pPr>
        <w:spacing w:after="160" w:line="320"/>
      </w:pPr>
      <w:r>
        <w:rPr>
          <w:sz w:val="22"/>
          <w:szCs w:val="22"/>
        </w:rPr>
        <w:t xml:space="preserve">The following positions will be filled in the order listed:</w:t>
      </w:r>
    </w:p>
    <w:p>
      <w:pPr>
        <w:pStyle w:val="Heading3"/>
        <w:spacing w:after="180" w:before="360"/>
      </w:pPr>
      <w:r>
        <w:rPr>
          <w:sz w:val="22"/>
          <w:szCs w:val="22"/>
        </w:rPr>
        <w:t xml:space="preserve">Position 1: Operations Manager / Front-of-House Lead</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Miami, FL):</w:t>
      </w:r>
      <w:r>
        <w:rPr>
          <w:sz w:val="22"/>
          <w:szCs w:val="22"/>
        </w:rPr>
        <w:t xml:space="preserve"> $52,000 to $62,000 plus benefits</w:t>
      </w:r>
    </w:p>
    <w:p>
      <w:pPr>
        <w:spacing w:after="160" w:line="320"/>
      </w:pPr>
      <w:r>
        <w:rPr>
          <w:b/>
          <w:bCs/>
          <w:sz w:val="22"/>
          <w:szCs w:val="22"/>
        </w:rPr>
        <w:t xml:space="preserve">Responsibilities:</w:t>
      </w:r>
      <w:r>
        <w:rPr>
          <w:sz w:val="22"/>
          <w:szCs w:val="22"/>
        </w:rPr>
        <w:t xml:space="preserve"> Day-to-day floor operations, scheduling, vendor coordination, hiring and training of line staff. Reports directly to petitioner. Key partner in the develop-and-direct execution: petitioner sets direction and authority, Operations Manager executes daily.</w:t>
      </w:r>
    </w:p>
    <w:p>
      <w:pPr>
        <w:pStyle w:val="Heading3"/>
        <w:spacing w:after="180" w:before="360"/>
      </w:pPr>
      <w:r>
        <w:rPr>
          <w:sz w:val="22"/>
          <w:szCs w:val="22"/>
        </w:rPr>
        <w:t xml:space="preserve">Position 2: Lead Cook</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Miami, FL):</w:t>
      </w:r>
      <w:r>
        <w:rPr>
          <w:sz w:val="22"/>
          <w:szCs w:val="22"/>
        </w:rPr>
        <w:t xml:space="preserve"> $48,000 to $56,000 plus benefits</w:t>
      </w:r>
    </w:p>
    <w:p>
      <w:pPr>
        <w:spacing w:after="160" w:line="320"/>
      </w:pPr>
      <w:r>
        <w:rPr>
          <w:b/>
          <w:bCs/>
          <w:sz w:val="22"/>
          <w:szCs w:val="22"/>
        </w:rPr>
        <w:t xml:space="preserve">Responsibilities:</w:t>
      </w:r>
      <w:r>
        <w:rPr>
          <w:sz w:val="22"/>
          <w:szCs w:val="22"/>
        </w:rPr>
        <w:t xml:space="preserve"> Kitchen leadership, recipe consistency, inventory management, prep oversight, food safety compliance. Reports to petitioner on menu and standards.</w:t>
      </w:r>
    </w:p>
    <w:p>
      <w:pPr>
        <w:pStyle w:val="Heading3"/>
        <w:spacing w:after="180" w:before="360"/>
      </w:pPr>
      <w:r>
        <w:rPr>
          <w:sz w:val="22"/>
          <w:szCs w:val="22"/>
        </w:rPr>
        <w:t xml:space="preserve">Position 3: Line Cooks (3 positions, hired across Months 1-3)</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Miami, FL):</w:t>
      </w:r>
      <w:r>
        <w:rPr>
          <w:sz w:val="22"/>
          <w:szCs w:val="22"/>
        </w:rPr>
        <w:t xml:space="preserve"> $36,000 to $42,000 plus benefits each</w:t>
      </w:r>
    </w:p>
    <w:p>
      <w:pPr>
        <w:spacing w:after="160" w:line="320"/>
      </w:pPr>
      <w:r>
        <w:rPr>
          <w:b/>
          <w:bCs/>
          <w:sz w:val="22"/>
          <w:szCs w:val="22"/>
        </w:rPr>
        <w:t xml:space="preserve">Responsibilities:</w:t>
      </w:r>
      <w:r>
        <w:rPr>
          <w:sz w:val="22"/>
          <w:szCs w:val="22"/>
        </w:rPr>
        <w:t xml:space="preserve"> Station-based cooking during service, prep work during off-hours, adherence to recipes and food safety standards. Reports to Lead Cook.</w:t>
      </w:r>
    </w:p>
    <w:p>
      <w:pPr>
        <w:pStyle w:val="Heading3"/>
        <w:spacing w:after="180" w:before="360"/>
      </w:pPr>
      <w:r>
        <w:rPr>
          <w:sz w:val="22"/>
          <w:szCs w:val="22"/>
        </w:rPr>
        <w:t xml:space="preserve">Position 4: Front-of-House Server / Cashier (1 position)</w:t>
      </w:r>
    </w:p>
    <w:p>
      <w:pPr>
        <w:spacing w:after="160" w:line="320"/>
      </w:pPr>
      <w:r>
        <w:rPr>
          <w:b/>
          <w:bCs/>
          <w:sz w:val="22"/>
          <w:szCs w:val="22"/>
        </w:rPr>
        <w:t xml:space="preserve">Hire timing:</w:t>
      </w:r>
      <w:r>
        <w:rPr>
          <w:sz w:val="22"/>
          <w:szCs w:val="22"/>
        </w:rPr>
        <w:t xml:space="preserve"> Year 1</w:t>
      </w:r>
    </w:p>
    <w:p>
      <w:pPr>
        <w:spacing w:after="160" w:line="320"/>
      </w:pPr>
      <w:r>
        <w:rPr>
          <w:b/>
          <w:bCs/>
          <w:sz w:val="22"/>
          <w:szCs w:val="22"/>
        </w:rPr>
        <w:t xml:space="preserve">Salary range (BLS-aligned for Miami, FL):</w:t>
      </w:r>
      <w:r>
        <w:rPr>
          <w:sz w:val="22"/>
          <w:szCs w:val="22"/>
        </w:rPr>
        <w:t xml:space="preserve"> $32,000 to $38,000 plus tips</w:t>
      </w:r>
    </w:p>
    <w:p>
      <w:pPr>
        <w:spacing w:after="160" w:line="320"/>
      </w:pPr>
      <w:r>
        <w:rPr>
          <w:b/>
          <w:bCs/>
          <w:sz w:val="22"/>
          <w:szCs w:val="22"/>
        </w:rPr>
        <w:t xml:space="preserve">Responsibilities:</w:t>
      </w:r>
      <w:r>
        <w:rPr>
          <w:sz w:val="22"/>
          <w:szCs w:val="22"/>
        </w:rPr>
        <w:t xml:space="preserve"> Customer service, order taking, cash handling, basic dining-room reset. Reports to Operations Manager.</w:t>
      </w:r>
    </w:p>
    <w:p>
      <w:pPr>
        <w:pStyle w:val="Heading3"/>
        <w:spacing w:after="180" w:before="360"/>
      </w:pPr>
      <w:r>
        <w:rPr>
          <w:sz w:val="22"/>
          <w:szCs w:val="22"/>
        </w:rPr>
        <w:t xml:space="preserve">Position 5: Year-2 expansion: Additional Line Cook + Server</w:t>
      </w:r>
    </w:p>
    <w:p>
      <w:pPr>
        <w:spacing w:after="160" w:line="320"/>
      </w:pPr>
      <w:r>
        <w:rPr>
          <w:b/>
          <w:bCs/>
          <w:sz w:val="22"/>
          <w:szCs w:val="22"/>
        </w:rPr>
        <w:t xml:space="preserve">Hire timing:</w:t>
      </w:r>
      <w:r>
        <w:rPr>
          <w:sz w:val="22"/>
          <w:szCs w:val="22"/>
        </w:rPr>
        <w:t xml:space="preserve"> Year 2</w:t>
      </w:r>
    </w:p>
    <w:p>
      <w:pPr>
        <w:spacing w:after="160" w:line="320"/>
      </w:pPr>
      <w:r>
        <w:rPr>
          <w:b/>
          <w:bCs/>
          <w:sz w:val="22"/>
          <w:szCs w:val="22"/>
        </w:rPr>
        <w:t xml:space="preserve">Salary range (BLS-aligned for Miami, FL):</w:t>
      </w:r>
      <w:r>
        <w:rPr>
          <w:sz w:val="22"/>
          <w:szCs w:val="22"/>
        </w:rPr>
        <w:t xml:space="preserve"> $32,000 to $42,000 plus benefits or tips</w:t>
      </w:r>
    </w:p>
    <w:p>
      <w:pPr>
        <w:spacing w:after="160" w:line="320"/>
      </w:pPr>
      <w:r>
        <w:rPr>
          <w:b/>
          <w:bCs/>
          <w:sz w:val="22"/>
          <w:szCs w:val="22"/>
        </w:rPr>
        <w:t xml:space="preserve">Responsibilities:</w:t>
      </w:r>
      <w:r>
        <w:rPr>
          <w:sz w:val="22"/>
          <w:szCs w:val="22"/>
        </w:rPr>
        <w:t xml:space="preserve"> Capacity expansion to support increased volume per the financial model in Section 7.</w:t>
      </w:r>
    </w:p>
    <w:p>
      <w:pPr>
        <w:pStyle w:val="Heading3"/>
        <w:spacing w:after="180" w:before="360"/>
      </w:pPr>
      <w:r>
        <w:rPr>
          <w:sz w:val="22"/>
          <w:szCs w:val="22"/>
        </w:rPr>
        <w:t xml:space="preserve">Position 6: Year-3 expansion: Catering Coordinator + Delivery Coordinator</w:t>
      </w:r>
    </w:p>
    <w:p>
      <w:pPr>
        <w:spacing w:after="160" w:line="320"/>
      </w:pPr>
      <w:r>
        <w:rPr>
          <w:b/>
          <w:bCs/>
          <w:sz w:val="22"/>
          <w:szCs w:val="22"/>
        </w:rPr>
        <w:t xml:space="preserve">Hire timing:</w:t>
      </w:r>
      <w:r>
        <w:rPr>
          <w:sz w:val="22"/>
          <w:szCs w:val="22"/>
        </w:rPr>
        <w:t xml:space="preserve"> Year 3</w:t>
      </w:r>
    </w:p>
    <w:p>
      <w:pPr>
        <w:spacing w:after="160" w:line="320"/>
      </w:pPr>
      <w:r>
        <w:rPr>
          <w:b/>
          <w:bCs/>
          <w:sz w:val="22"/>
          <w:szCs w:val="22"/>
        </w:rPr>
        <w:t xml:space="preserve">Salary range (BLS-aligned for Miami, FL):</w:t>
      </w:r>
      <w:r>
        <w:rPr>
          <w:sz w:val="22"/>
          <w:szCs w:val="22"/>
        </w:rPr>
        <w:t xml:space="preserve"> $42,000 to $52,000 plus benefits</w:t>
      </w:r>
    </w:p>
    <w:p>
      <w:pPr>
        <w:spacing w:after="160" w:line="320"/>
      </w:pPr>
      <w:r>
        <w:rPr>
          <w:b/>
          <w:bCs/>
          <w:sz w:val="22"/>
          <w:szCs w:val="22"/>
        </w:rPr>
        <w:t xml:space="preserve">Responsibilities:</w:t>
      </w:r>
      <w:r>
        <w:rPr>
          <w:sz w:val="22"/>
          <w:szCs w:val="22"/>
        </w:rPr>
        <w:t xml:space="preserve"> Off-premise revenue channel growth: catering for local offices and event venues, delivery operations management.</w:t>
      </w:r>
    </w:p>
    <w:p>
      <w:pPr>
        <w:pStyle w:val="Heading2"/>
        <w:spacing w:after="180" w:before="360"/>
      </w:pPr>
      <w:r>
        <w:rPr>
          <w:sz w:val="26"/>
          <w:szCs w:val="26"/>
        </w:rPr>
        <w:t xml:space="preserve">8.4 Hiring criteria and recruitment</w:t>
      </w:r>
    </w:p>
    <w:p>
      <w:pPr>
        <w:spacing w:after="160" w:line="320"/>
      </w:pPr>
      <w:r>
        <w:rPr>
          <w:sz w:val="22"/>
          <w:szCs w:val="22"/>
        </w:rPr>
        <w:t xml:space="preserve">All U.S. hires will be made through standard U.S. labor market channels (job boards, professional recruiters, direct outreach). The petitioner does not intend to fill any position with a foreign national requiring sponsorship beyond the petitioner's own E-2 status.</w:t>
      </w:r>
    </w:p>
    <w:p>
      <w:pPr>
        <w:spacing w:after="160" w:line="320"/>
      </w:pPr>
      <w:r>
        <w:rPr>
          <w:sz w:val="22"/>
          <w:szCs w:val="22"/>
        </w:rPr>
        <w:t xml:space="preserve">Compensation ranges reflect BLS published data for the Miami, FL area for the corresponding Standard Occupational Classification (SOC) codes. Where the role does not map cleanly to a published SOC, the range reflects the petitioner's market research and adviser input on competitive wages for similar roles in the local market.</w:t>
      </w:r>
    </w:p>
    <w:p>
      <w:pPr>
        <w:pStyle w:val="Heading2"/>
        <w:spacing w:after="180" w:before="360"/>
      </w:pPr>
      <w:r>
        <w:rPr>
          <w:sz w:val="26"/>
          <w:szCs w:val="26"/>
        </w:rPr>
        <w:t xml:space="preserve">8.5 Job creation timeline mapped to financial milestones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Milestone</w:t>
            </w:r>
          </w:p>
        </w:tc>
        <w:tc>
          <w:tcPr>
            <w:tcW w:type="pct" w:w="25%"/>
          </w:tcPr>
          <w:p>
            <w:r>
              <w:rPr>
                <w:b/>
                <w:bCs/>
                <w:sz w:val="20"/>
                <w:szCs w:val="20"/>
              </w:rPr>
              <w:t xml:space="preserve">Timing</w:t>
            </w:r>
          </w:p>
        </w:tc>
        <w:tc>
          <w:tcPr>
            <w:tcW w:type="pct" w:w="25%"/>
          </w:tcPr>
          <w:p>
            <w:r>
              <w:rPr>
                <w:b/>
                <w:bCs/>
                <w:sz w:val="20"/>
                <w:szCs w:val="20"/>
              </w:rPr>
              <w:t xml:space="preserve">Cumulative direct jobs</w:t>
            </w:r>
          </w:p>
        </w:tc>
        <w:tc>
          <w:tcPr>
            <w:tcW w:type="pct" w:w="25%"/>
          </w:tcPr>
          <w:p>
            <w:r>
              <w:rPr>
                <w:b/>
                <w:bCs/>
                <w:sz w:val="20"/>
                <w:szCs w:val="20"/>
              </w:rPr>
              <w:t xml:space="preserve">Trigger</w:t>
            </w:r>
          </w:p>
        </w:tc>
      </w:tr>
      <w:tr>
        <w:tc>
          <w:tcPr>
            <w:tcW w:type="pct" w:w="25%"/>
          </w:tcPr>
          <w:p>
            <w:r>
              <w:rPr>
                <w:sz w:val="20"/>
                <w:szCs w:val="20"/>
              </w:rPr>
              <w:t xml:space="preserve">Pre-launch buildout complete</w:t>
            </w:r>
          </w:p>
        </w:tc>
        <w:tc>
          <w:tcPr>
            <w:tcW w:type="pct" w:w="25%"/>
          </w:tcPr>
          <w:p>
            <w:r>
              <w:rPr>
                <w:sz w:val="20"/>
                <w:szCs w:val="20"/>
              </w:rPr>
              <w:t xml:space="preserve">Month 0</w:t>
            </w:r>
          </w:p>
        </w:tc>
        <w:tc>
          <w:tcPr>
            <w:tcW w:type="pct" w:w="25%"/>
          </w:tcPr>
          <w:p>
            <w:r>
              <w:rPr>
                <w:sz w:val="20"/>
                <w:szCs w:val="20"/>
              </w:rPr>
              <w:t xml:space="preserve">{{milestone</w:t>
            </w:r>
            <w:r>
              <w:rPr>
                <w:i/>
                <w:iCs/>
                <w:sz w:val="20"/>
                <w:szCs w:val="20"/>
              </w:rPr>
              <w:t xml:space="preserve">m0</w:t>
            </w:r>
            <w:r>
              <w:rPr>
                <w:sz w:val="20"/>
                <w:szCs w:val="20"/>
              </w:rPr>
              <w:t xml:space="preserve">jobs}}</w:t>
            </w:r>
          </w:p>
        </w:tc>
        <w:tc>
          <w:tcPr>
            <w:tcW w:type="pct" w:w="25%"/>
          </w:tcPr>
          <w:p>
            <w:r>
              <w:rPr>
                <w:sz w:val="20"/>
                <w:szCs w:val="20"/>
              </w:rPr>
              <w:t xml:space="preserve">Lease executed, equipment installed</w:t>
            </w:r>
          </w:p>
        </w:tc>
      </w:tr>
      <w:tr>
        <w:tc>
          <w:tcPr>
            <w:tcW w:type="pct" w:w="25%"/>
          </w:tcPr>
          <w:p>
            <w:r>
              <w:rPr>
                <w:sz w:val="20"/>
                <w:szCs w:val="20"/>
              </w:rPr>
              <w:t xml:space="preserve">Soft launch</w:t>
            </w:r>
          </w:p>
        </w:tc>
        <w:tc>
          <w:tcPr>
            <w:tcW w:type="pct" w:w="25%"/>
          </w:tcPr>
          <w:p>
            <w:r>
              <w:rPr>
                <w:sz w:val="20"/>
                <w:szCs w:val="20"/>
              </w:rPr>
              <w:t xml:space="preserve">Month 1-2</w:t>
            </w:r>
          </w:p>
        </w:tc>
        <w:tc>
          <w:tcPr>
            <w:tcW w:type="pct" w:w="25%"/>
          </w:tcPr>
          <w:p>
            <w:r>
              <w:rPr>
                <w:sz w:val="20"/>
                <w:szCs w:val="20"/>
              </w:rPr>
              <w:t xml:space="preserve">{{milestone</w:t>
            </w:r>
            <w:r>
              <w:rPr>
                <w:i/>
                <w:iCs/>
                <w:sz w:val="20"/>
                <w:szCs w:val="20"/>
              </w:rPr>
              <w:t xml:space="preserve">m2</w:t>
            </w:r>
            <w:r>
              <w:rPr>
                <w:sz w:val="20"/>
                <w:szCs w:val="20"/>
              </w:rPr>
              <w:t xml:space="preserve">jobs}}</w:t>
            </w:r>
          </w:p>
        </w:tc>
        <w:tc>
          <w:tcPr>
            <w:tcW w:type="pct" w:w="25%"/>
          </w:tcPr>
          <w:p>
            <w:r>
              <w:rPr>
                <w:sz w:val="20"/>
                <w:szCs w:val="20"/>
              </w:rPr>
              <w:t xml:space="preserve">First customers served</w:t>
            </w:r>
          </w:p>
        </w:tc>
      </w:tr>
      <w:tr>
        <w:tc>
          <w:tcPr>
            <w:tcW w:type="pct" w:w="25%"/>
          </w:tcPr>
          <w:p>
            <w:r>
              <w:rPr>
                <w:sz w:val="20"/>
                <w:szCs w:val="20"/>
              </w:rPr>
              <w:t xml:space="preserve">Stabilized operations</w:t>
            </w:r>
          </w:p>
        </w:tc>
        <w:tc>
          <w:tcPr>
            <w:tcW w:type="pct" w:w="25%"/>
          </w:tcPr>
          <w:p>
            <w:r>
              <w:rPr>
                <w:sz w:val="20"/>
                <w:szCs w:val="20"/>
              </w:rPr>
              <w:t xml:space="preserve">Month 6</w:t>
            </w:r>
          </w:p>
        </w:tc>
        <w:tc>
          <w:tcPr>
            <w:tcW w:type="pct" w:w="25%"/>
          </w:tcPr>
          <w:p>
            <w:r>
              <w:rPr>
                <w:sz w:val="20"/>
                <w:szCs w:val="20"/>
              </w:rPr>
              <w:t xml:space="preserve">{{milestone</w:t>
            </w:r>
            <w:r>
              <w:rPr>
                <w:i/>
                <w:iCs/>
                <w:sz w:val="20"/>
                <w:szCs w:val="20"/>
              </w:rPr>
              <w:t xml:space="preserve">m6</w:t>
            </w:r>
            <w:r>
              <w:rPr>
                <w:sz w:val="20"/>
                <w:szCs w:val="20"/>
              </w:rPr>
              <w:t xml:space="preserve">jobs}}</w:t>
            </w:r>
          </w:p>
        </w:tc>
        <w:tc>
          <w:tcPr>
            <w:tcW w:type="pct" w:w="25%"/>
          </w:tcPr>
          <w:p>
            <w:r>
              <w:rPr>
                <w:sz w:val="20"/>
                <w:szCs w:val="20"/>
              </w:rPr>
              <w:t xml:space="preserve">Year-1 break-even on monthly basis</w:t>
            </w:r>
          </w:p>
        </w:tc>
      </w:tr>
      <w:tr>
        <w:tc>
          <w:tcPr>
            <w:tcW w:type="pct" w:w="25%"/>
          </w:tcPr>
          <w:p>
            <w:r>
              <w:rPr>
                <w:sz w:val="20"/>
                <w:szCs w:val="20"/>
              </w:rPr>
              <w:t xml:space="preserve">End of Year 1</w:t>
            </w:r>
          </w:p>
        </w:tc>
        <w:tc>
          <w:tcPr>
            <w:tcW w:type="pct" w:w="25%"/>
          </w:tcPr>
          <w:p>
            <w:r>
              <w:rPr>
                <w:sz w:val="20"/>
                <w:szCs w:val="20"/>
              </w:rPr>
              <w:t xml:space="preserve">Month 12</w:t>
            </w:r>
          </w:p>
        </w:tc>
        <w:tc>
          <w:tcPr>
            <w:tcW w:type="pct" w:w="25%"/>
          </w:tcPr>
          <w:p>
            <w:r>
              <w:rPr>
                <w:sz w:val="20"/>
                <w:szCs w:val="20"/>
              </w:rPr>
              <w:t xml:space="preserve">{{cum</w:t>
            </w:r>
            <w:r>
              <w:rPr>
                <w:i/>
                <w:iCs/>
                <w:sz w:val="20"/>
                <w:szCs w:val="20"/>
              </w:rPr>
              <w:t xml:space="preserve">hires</w:t>
            </w:r>
            <w:r>
              <w:rPr>
                <w:sz w:val="20"/>
                <w:szCs w:val="20"/>
              </w:rPr>
              <w:t xml:space="preserve">y1}}</w:t>
            </w:r>
          </w:p>
        </w:tc>
        <w:tc>
          <w:tcPr>
            <w:tcW w:type="pct" w:w="25%"/>
          </w:tcPr>
          <w:p>
            <w:r>
              <w:rPr>
                <w:sz w:val="20"/>
                <w:szCs w:val="20"/>
              </w:rPr>
              <w:t xml:space="preserve">Year-1 revenue target met</w:t>
            </w:r>
          </w:p>
        </w:tc>
      </w:tr>
      <w:tr>
        <w:tc>
          <w:tcPr>
            <w:tcW w:type="pct" w:w="25%"/>
          </w:tcPr>
          <w:p>
            <w:r>
              <w:rPr>
                <w:sz w:val="20"/>
                <w:szCs w:val="20"/>
              </w:rPr>
              <w:t xml:space="preserve">End of Year 3</w:t>
            </w:r>
          </w:p>
        </w:tc>
        <w:tc>
          <w:tcPr>
            <w:tcW w:type="pct" w:w="25%"/>
          </w:tcPr>
          <w:p>
            <w:r>
              <w:rPr>
                <w:sz w:val="20"/>
                <w:szCs w:val="20"/>
              </w:rPr>
              <w:t xml:space="preserve">Month 36</w:t>
            </w:r>
          </w:p>
        </w:tc>
        <w:tc>
          <w:tcPr>
            <w:tcW w:type="pct" w:w="25%"/>
          </w:tcPr>
          <w:p>
            <w:r>
              <w:rPr>
                <w:sz w:val="20"/>
                <w:szCs w:val="20"/>
              </w:rPr>
              <w:t xml:space="preserve">{{cum</w:t>
            </w:r>
            <w:r>
              <w:rPr>
                <w:i/>
                <w:iCs/>
                <w:sz w:val="20"/>
                <w:szCs w:val="20"/>
              </w:rPr>
              <w:t xml:space="preserve">hires</w:t>
            </w:r>
            <w:r>
              <w:rPr>
                <w:sz w:val="20"/>
                <w:szCs w:val="20"/>
              </w:rPr>
              <w:t xml:space="preserve">y3}}</w:t>
            </w:r>
          </w:p>
        </w:tc>
        <w:tc>
          <w:tcPr>
            <w:tcW w:type="pct" w:w="25%"/>
          </w:tcPr>
          <w:p>
            <w:r>
              <w:rPr>
                <w:sz w:val="20"/>
                <w:szCs w:val="20"/>
              </w:rPr>
              <w:t xml:space="preserve">Stabilized operating margin</w:t>
            </w:r>
          </w:p>
        </w:tc>
      </w:tr>
      <w:tr>
        <w:tc>
          <w:tcPr>
            <w:tcW w:type="pct" w:w="25%"/>
          </w:tcPr>
          <w:p>
            <w:r>
              <w:rPr>
                <w:sz w:val="20"/>
                <w:szCs w:val="20"/>
              </w:rPr>
              <w:t xml:space="preserve">End of Year 5</w:t>
            </w:r>
          </w:p>
        </w:tc>
        <w:tc>
          <w:tcPr>
            <w:tcW w:type="pct" w:w="25%"/>
          </w:tcPr>
          <w:p>
            <w:r>
              <w:rPr>
                <w:sz w:val="20"/>
                <w:szCs w:val="20"/>
              </w:rPr>
              <w:t xml:space="preserve">Month 60</w:t>
            </w:r>
          </w:p>
        </w:tc>
        <w:tc>
          <w:tcPr>
            <w:tcW w:type="pct" w:w="25%"/>
          </w:tcPr>
          <w:p>
            <w:r>
              <w:rPr>
                <w:sz w:val="20"/>
                <w:szCs w:val="20"/>
              </w:rPr>
              <w:t xml:space="preserve">{{cum</w:t>
            </w:r>
            <w:r>
              <w:rPr>
                <w:i/>
                <w:iCs/>
                <w:sz w:val="20"/>
                <w:szCs w:val="20"/>
              </w:rPr>
              <w:t xml:space="preserve">hires</w:t>
            </w:r>
            <w:r>
              <w:rPr>
                <w:sz w:val="20"/>
                <w:szCs w:val="20"/>
              </w:rPr>
              <w:t xml:space="preserve">y5}}</w:t>
            </w:r>
          </w:p>
        </w:tc>
        <w:tc>
          <w:tcPr>
            <w:tcW w:type="pct" w:w="25%"/>
          </w:tcPr>
          <w:p>
            <w:r>
              <w:rPr>
                <w:sz w:val="20"/>
                <w:szCs w:val="20"/>
              </w:rPr>
              <w:t xml:space="preserve">Mature enterprise</w:t>
            </w:r>
          </w:p>
        </w:tc>
      </w:tr>
    </w:tbl>
    <w:p>
      <w:pPr>
        <w:pStyle w:val="Heading2"/>
        <w:spacing w:after="180" w:before="360"/>
      </w:pPr>
      <w:r>
        <w:rPr>
          <w:sz w:val="26"/>
          <w:szCs w:val="26"/>
        </w:rPr>
        <w:t xml:space="preserve">8.6 Indirect and induced economic impact</w:t>
      </w:r>
    </w:p>
    <w:p>
      <w:pPr>
        <w:spacing w:after="160" w:line="320"/>
      </w:pPr>
      <w:r>
        <w:rPr>
          <w:sz w:val="22"/>
          <w:szCs w:val="22"/>
        </w:rPr>
        <w:t xml:space="preserve">In addition to the {{cum</w:t>
      </w:r>
      <w:r>
        <w:rPr>
          <w:i/>
          <w:iCs/>
          <w:sz w:val="22"/>
          <w:szCs w:val="22"/>
        </w:rPr>
        <w:t xml:space="preserve">hires</w:t>
      </w:r>
      <w:r>
        <w:rPr>
          <w:sz w:val="22"/>
          <w:szCs w:val="22"/>
        </w:rPr>
        <w:t xml:space="preserve">y5}} direct jobs created by Year 5, Bahia &amp; Beans Kitchen will generate indirect economic impact through:</w:t>
      </w:r>
    </w:p>
    <w:p>
      <w:pPr>
        <w:pStyle w:val="ListParagraph"/>
        <w:numPr>
          <w:ilvl w:val="0"/>
          <w:numId w:val="1"/>
        </w:numPr>
        <w:spacing w:after="80" w:line="300"/>
      </w:pPr>
      <w:r>
        <w:rPr>
          <w:sz w:val="22"/>
          <w:szCs w:val="22"/>
        </w:rPr>
        <w:t xml:space="preserve">Vendor and supplier purchases (detailed in Section 9, Operations Plan)</w:t>
      </w:r>
    </w:p>
    <w:p>
      <w:pPr>
        <w:pStyle w:val="ListParagraph"/>
        <w:numPr>
          <w:ilvl w:val="0"/>
          <w:numId w:val="1"/>
        </w:numPr>
        <w:spacing w:after="80" w:line="300"/>
      </w:pPr>
      <w:r>
        <w:rPr>
          <w:sz w:val="22"/>
          <w:szCs w:val="22"/>
        </w:rPr>
        <w:t xml:space="preserve">Local service spending by U.S.-based employees</w:t>
      </w:r>
    </w:p>
    <w:p>
      <w:pPr>
        <w:pStyle w:val="ListParagraph"/>
        <w:numPr>
          <w:ilvl w:val="0"/>
          <w:numId w:val="1"/>
        </w:numPr>
        <w:spacing w:after="80" w:line="300"/>
      </w:pPr>
      <w:r>
        <w:rPr>
          <w:sz w:val="22"/>
          <w:szCs w:val="22"/>
        </w:rPr>
        <w:t xml:space="preserve">Tax revenue (federal, state of Florida, and local)</w:t>
      </w:r>
    </w:p>
    <w:p>
      <w:pPr>
        <w:spacing w:after="160" w:line="320"/>
      </w:pPr>
      <w:r>
        <w:rPr>
          <w:sz w:val="22"/>
          <w:szCs w:val="22"/>
        </w:rPr>
        <w:t xml:space="preserve">While indirect and induced job multipliers (such as the RIMS II model) are typically applied in EB-5 contexts, for the E-2 non-marginality analysis the direct-hire count and payroll above are sufficient to demonstrate that the enterprise materially exceeds a marginal operation under 8 CFR 214.2(e)(15).</w:t>
      </w:r>
    </w:p>
    <w:p>
      <w:pPr>
        <w:pStyle w:val="Heading2"/>
        <w:spacing w:after="180" w:before="360"/>
      </w:pPr>
      <w:r>
        <w:rPr>
          <w:sz w:val="26"/>
          <w:szCs w:val="26"/>
        </w:rPr>
        <w:t xml:space="preserve">8.7 Petitioner's role within the organization</w:t>
      </w:r>
    </w:p>
    <w:p>
      <w:pPr>
        <w:spacing w:after="160" w:line="320"/>
      </w:pPr>
      <w:r>
        <w:rPr>
          <w:sz w:val="22"/>
          <w:szCs w:val="22"/>
        </w:rPr>
        <w:t xml:space="preserve">Marcos Almeida serves as Founder and Chief Executive Officer of Bahia &amp; Beans Kitchen and is responsible for corporate governance, hiring decisions, vendor relationships, and strategic direction. The petitioner's day-to-day responsibilities are detailed in Section 3 (E-2 Eligibility, Subsection 6: Develop and Direct).</w:t>
      </w:r>
    </w:p>
    <w:p>
      <w:pPr>
        <w:spacing w:after="160" w:line="320"/>
      </w:pPr>
      <w:r>
        <w:rPr>
          <w:sz w:val="22"/>
          <w:szCs w:val="22"/>
        </w:rPr>
        <w:t xml:space="preserve">The petitioner's compensation is structured as a combination of base salary and distribution of profits. The base salary is included in the cumulative annual payroll figures above. The petitioner's profit distribution is contingent on the enterprise's financial performance and is consistent with the at-risk nature of the investment.</w:t>
      </w:r>
    </w:p>
    <w:p>
      <w:pPr>
        <w:pStyle w:val="Heading1"/>
        <w:pageBreakBefore/>
        <w:spacing w:after="180" w:before="480"/>
      </w:pPr>
      <w:r>
        <w:rPr>
          <w:sz w:val="32"/>
          <w:szCs w:val="32"/>
        </w:rPr>
        <w:t xml:space="preserve">Operations Plan (Expanded)</w:t>
      </w:r>
    </w:p>
    <w:p>
      <w:pPr>
        <w:spacing w:after="160" w:line="320"/>
      </w:pPr>
      <w:r>
        <w:rPr>
          <w:sz w:val="22"/>
          <w:szCs w:val="22"/>
        </w:rPr>
        <w:t xml:space="preserve">This section details the operating model of Bahia &amp; Beans Kitchen, including physical premises, equipment, vendor relationships, supply chain, and regulatory compliance. The expanded operations narrative supports the "real and active enterprise" requirement of E-2 eligibility (Section 3.4) and demonstrates substantive U.S.-based commercial activity.</w:t>
      </w:r>
    </w:p>
    <w:p>
      <w:pPr>
        <w:pStyle w:val="Heading2"/>
        <w:spacing w:after="180" w:before="360"/>
      </w:pPr>
      <w:r>
        <w:rPr>
          <w:sz w:val="26"/>
          <w:szCs w:val="26"/>
        </w:rPr>
        <w:t xml:space="preserve">9.1 Physical premises and lease</w:t>
      </w:r>
    </w:p>
    <w:p>
      <w:pPr>
        <w:spacing w:after="160" w:line="320"/>
      </w:pPr>
      <w:r>
        <w:rPr>
          <w:sz w:val="22"/>
          <w:szCs w:val="22"/>
        </w:rPr>
        <w:t xml:space="preserve">Bahia &amp; Beans Kitchen operates from Miami, FL at the address documented in the lease exhibit provided by the firm of record.</w:t>
      </w:r>
    </w:p>
    <w:p>
      <w:pPr>
        <w:spacing w:after="160" w:line="320"/>
      </w:pPr>
      <w:r>
        <w:rPr>
          <w:b/>
          <w:bCs/>
          <w:sz w:val="22"/>
          <w:szCs w:val="22"/>
        </w:rPr>
        <w:t xml:space="preserve">Lease summary:</w:t>
      </w:r>
      <w:r>
        <w:rPr>
          <w:sz w:val="22"/>
          <w:szCs w:val="22"/>
        </w:rPr>
        <w:t xml:space="preserve"> 5-year lease executed February 2026, base rent $4,800 per month with 3% annual escalation, common-area maintenance pass-through</w:t>
      </w:r>
    </w:p>
    <w:p>
      <w:pPr>
        <w:spacing w:after="160" w:line="320"/>
      </w:pPr>
      <w:r>
        <w:rPr>
          <w:b/>
          <w:bCs/>
          <w:sz w:val="22"/>
          <w:szCs w:val="22"/>
        </w:rPr>
        <w:t xml:space="preserve">Premises type:</w:t>
      </w:r>
      <w:r>
        <w:rPr>
          <w:sz w:val="22"/>
          <w:szCs w:val="22"/>
        </w:rPr>
        <w:t xml:space="preserve"> Ground-floor commercial unit in a mixed-use building</w:t>
      </w:r>
    </w:p>
    <w:p>
      <w:pPr>
        <w:spacing w:after="160" w:line="320"/>
      </w:pPr>
      <w:r>
        <w:rPr>
          <w:b/>
          <w:bCs/>
          <w:sz w:val="22"/>
          <w:szCs w:val="22"/>
        </w:rPr>
        <w:t xml:space="preserve">Approximate square footage:</w:t>
      </w:r>
      <w:r>
        <w:rPr>
          <w:sz w:val="22"/>
          <w:szCs w:val="22"/>
        </w:rPr>
        <w:t xml:space="preserve"> 1,650 square feet</w:t>
      </w:r>
    </w:p>
    <w:p>
      <w:pPr>
        <w:spacing w:after="160" w:line="320"/>
      </w:pPr>
      <w:r>
        <w:rPr>
          <w:b/>
          <w:bCs/>
          <w:sz w:val="22"/>
          <w:szCs w:val="22"/>
        </w:rPr>
        <w:t xml:space="preserve">Build-out status:</w:t>
      </w:r>
      <w:r>
        <w:rPr>
          <w:sz w:val="22"/>
          <w:szCs w:val="22"/>
        </w:rPr>
        <w:t xml:space="preserve"> Build-out approximately 60 percent complete as of plan date</w:t>
      </w:r>
    </w:p>
    <w:p>
      <w:pPr>
        <w:spacing w:after="160" w:line="320"/>
      </w:pPr>
      <w:r>
        <w:rPr>
          <w:sz w:val="22"/>
          <w:szCs w:val="22"/>
        </w:rPr>
        <w:t xml:space="preserve">The physical premises are necessary for the conduct of business and could not be replicated by a remote-only or virtual operation, satisfying the real-and-active standard.</w:t>
      </w:r>
    </w:p>
    <w:p>
      <w:pPr>
        <w:pStyle w:val="Heading2"/>
        <w:spacing w:after="180" w:before="360"/>
      </w:pPr>
      <w:r>
        <w:rPr>
          <w:sz w:val="26"/>
          <w:szCs w:val="26"/>
        </w:rPr>
        <w:t xml:space="preserve">9.2 Equipment and fixed assets</w:t>
      </w:r>
    </w:p>
    <w:p>
      <w:pPr>
        <w:spacing w:after="160" w:line="320"/>
      </w:pPr>
      <w:r>
        <w:rPr>
          <w:sz w:val="22"/>
          <w:szCs w:val="22"/>
        </w:rPr>
        <w:t xml:space="preserve">The enterprise has acquired or will acquire the following equipment and fixed assets, with documentation provided in the equipment exhibit:</w:t>
      </w:r>
    </w:p>
    <w:p>
      <w:pPr>
        <w:pStyle w:val="ListParagraph"/>
        <w:numPr>
          <w:ilvl w:val="0"/>
          <w:numId w:val="1"/>
        </w:numPr>
        <w:spacing w:after="80" w:line="300"/>
      </w:pPr>
      <w:r>
        <w:rPr>
          <w:sz w:val="22"/>
          <w:szCs w:val="22"/>
        </w:rPr>
        <w:t xml:space="preserve">Commercial kitchen equipment package (range, fryers, hood, refrigeration, prep tables): $38,000 (purchased and installed)</w:t>
      </w:r>
    </w:p>
    <w:p>
      <w:pPr>
        <w:pStyle w:val="ListParagraph"/>
        <w:numPr>
          <w:ilvl w:val="0"/>
          <w:numId w:val="1"/>
        </w:numPr>
        <w:spacing w:after="80" w:line="300"/>
      </w:pPr>
      <w:r>
        <w:rPr>
          <w:sz w:val="22"/>
          <w:szCs w:val="22"/>
        </w:rPr>
        <w:t xml:space="preserve">Front-of-house furniture and fixtures (45-seat dining room, bar, decor): $18,000 (purchased, installation in progress)</w:t>
      </w:r>
    </w:p>
    <w:p>
      <w:pPr>
        <w:pStyle w:val="ListParagraph"/>
        <w:numPr>
          <w:ilvl w:val="0"/>
          <w:numId w:val="1"/>
        </w:numPr>
        <w:spacing w:after="80" w:line="300"/>
      </w:pPr>
      <w:r>
        <w:rPr>
          <w:sz w:val="22"/>
          <w:szCs w:val="22"/>
        </w:rPr>
        <w:t xml:space="preserve">Point-of-sale and back-office systems (Toast POS, QuickBooks, ordering integrations): $6,500 (purchased and active)</w:t>
      </w:r>
    </w:p>
    <w:p>
      <w:pPr>
        <w:pStyle w:val="ListParagraph"/>
        <w:numPr>
          <w:ilvl w:val="0"/>
          <w:numId w:val="1"/>
        </w:numPr>
        <w:spacing w:after="80" w:line="300"/>
      </w:pPr>
      <w:r>
        <w:rPr>
          <w:sz w:val="22"/>
          <w:szCs w:val="22"/>
        </w:rPr>
        <w:t xml:space="preserve">Initial inventory and supplies (food, beverage, paper goods, cleaning): $8,500 (ordered, partial delivery)</w:t>
      </w:r>
    </w:p>
    <w:p>
      <w:pPr>
        <w:pStyle w:val="ListParagraph"/>
        <w:numPr>
          <w:ilvl w:val="0"/>
          <w:numId w:val="1"/>
        </w:numPr>
        <w:spacing w:after="80" w:line="300"/>
      </w:pPr>
      <w:r>
        <w:rPr>
          <w:sz w:val="22"/>
          <w:szCs w:val="22"/>
        </w:rPr>
        <w:t xml:space="preserve">Build-out and permits: $32,000 (approximately 60 percent complete)</w:t>
      </w:r>
    </w:p>
    <w:p>
      <w:pPr>
        <w:spacing w:after="160" w:line="320"/>
      </w:pPr>
      <w:r>
        <w:rPr>
          <w:sz w:val="22"/>
          <w:szCs w:val="22"/>
        </w:rPr>
        <w:t xml:space="preserve">The total equipment investment is captured in the capital allocation table in Section 3.2 of the E-2 Eligibility section. Equipment is owned outright and is not leased or financed (except where specifically noted in the equipment exhibit).</w:t>
      </w:r>
    </w:p>
    <w:p>
      <w:pPr>
        <w:pStyle w:val="Heading2"/>
        <w:spacing w:after="180" w:before="360"/>
      </w:pPr>
      <w:r>
        <w:rPr>
          <w:sz w:val="26"/>
          <w:szCs w:val="26"/>
        </w:rPr>
        <w:t xml:space="preserve">9.3 Vendor and supplier relationships</w:t>
      </w:r>
    </w:p>
    <w:p>
      <w:pPr>
        <w:spacing w:after="160" w:line="320"/>
      </w:pPr>
      <w:r>
        <w:rPr>
          <w:sz w:val="22"/>
          <w:szCs w:val="22"/>
        </w:rPr>
        <w:t xml:space="preserve">Bahia &amp; Beans Kitchen has established or is in the process of establishing the following key vendor relationships:</w:t>
      </w:r>
    </w:p>
    <w:p>
      <w:pPr>
        <w:pStyle w:val="ListParagraph"/>
        <w:numPr>
          <w:ilvl w:val="0"/>
          <w:numId w:val="1"/>
        </w:numPr>
        <w:spacing w:after="80" w:line="300"/>
      </w:pPr>
      <w:r>
        <w:rPr>
          <w:sz w:val="22"/>
          <w:szCs w:val="22"/>
        </w:rPr>
        <w:t xml:space="preserve">Restaurant Depot Miami: Primary food and beverage supplier (90 percent of inventory) (account established, weekly orders scheduled)</w:t>
      </w:r>
    </w:p>
    <w:p>
      <w:pPr>
        <w:pStyle w:val="ListParagraph"/>
        <w:numPr>
          <w:ilvl w:val="0"/>
          <w:numId w:val="1"/>
        </w:numPr>
        <w:spacing w:after="80" w:line="300"/>
      </w:pPr>
      <w:r>
        <w:rPr>
          <w:sz w:val="22"/>
          <w:szCs w:val="22"/>
        </w:rPr>
        <w:t xml:space="preserve">Local Brazilian food importer (Mercado Brasileiro Wholesale): Specialty Brazilian ingredients (carne de sol, dende oil, tapioca starch, pao de queijo dough) (account established, biweekly orders)</w:t>
      </w:r>
    </w:p>
    <w:p>
      <w:pPr>
        <w:pStyle w:val="ListParagraph"/>
        <w:numPr>
          <w:ilvl w:val="0"/>
          <w:numId w:val="1"/>
        </w:numPr>
        <w:spacing w:after="80" w:line="300"/>
      </w:pPr>
      <w:r>
        <w:rPr>
          <w:sz w:val="22"/>
          <w:szCs w:val="22"/>
        </w:rPr>
        <w:t xml:space="preserve">Sysco Miami: Backup primary supplier for redundancy (account opened, dormant until needed)</w:t>
      </w:r>
    </w:p>
    <w:p>
      <w:pPr>
        <w:pStyle w:val="ListParagraph"/>
        <w:numPr>
          <w:ilvl w:val="0"/>
          <w:numId w:val="1"/>
        </w:numPr>
        <w:spacing w:after="80" w:line="300"/>
      </w:pPr>
      <w:r>
        <w:rPr>
          <w:sz w:val="22"/>
          <w:szCs w:val="22"/>
        </w:rPr>
        <w:t xml:space="preserve">Local accounting and payroll firm: Bookkeeping, payroll processing, tax filings (engaged, monthly retainer)</w:t>
      </w:r>
    </w:p>
    <w:p>
      <w:pPr>
        <w:spacing w:after="160" w:line="320"/>
      </w:pPr>
      <w:r>
        <w:rPr>
          <w:sz w:val="22"/>
          <w:szCs w:val="22"/>
        </w:rPr>
        <w:t xml:space="preserve">Vendor agreements are provided as petition exhibits where executed. Where agreements are pending, the firm of record has documented the petitioner's outreach and the vendor's confirmation of supply availability.</w:t>
      </w:r>
    </w:p>
    <w:p>
      <w:pPr>
        <w:pStyle w:val="Heading2"/>
        <w:spacing w:after="180" w:before="360"/>
      </w:pPr>
      <w:r>
        <w:rPr>
          <w:sz w:val="26"/>
          <w:szCs w:val="26"/>
        </w:rPr>
        <w:t xml:space="preserve">9.4 Supply chain narrative</w:t>
      </w:r>
    </w:p>
    <w:p>
      <w:pPr>
        <w:spacing w:after="160" w:line="320"/>
      </w:pPr>
      <w:r>
        <w:rPr>
          <w:sz w:val="22"/>
          <w:szCs w:val="22"/>
        </w:rPr>
        <w:t xml:space="preserve">Bahia &amp; Beans Kitchen has established or is finalizing relationships with primary and secondary suppliers in the Restaurant - Quick-Casual sector. The dual-vendor approach provides redundancy against single-vendor disruption. Lead times, payment terms, and minimum-order quantities are documented in the vendor exhibits.</w:t>
      </w:r>
    </w:p>
    <w:p>
      <w:pPr>
        <w:spacing w:after="160" w:line="320"/>
      </w:pPr>
      <w:r>
        <w:rPr>
          <w:sz w:val="22"/>
          <w:szCs w:val="22"/>
        </w:rPr>
        <w:t xml:space="preserve">The supply chain demonstrates that the enterprise is operationally ready to commence revenue-generating activities and is not contingent on undefined future relationships.</w:t>
      </w:r>
    </w:p>
    <w:p>
      <w:pPr>
        <w:pStyle w:val="Heading2"/>
        <w:spacing w:after="180" w:before="360"/>
      </w:pPr>
      <w:r>
        <w:rPr>
          <w:sz w:val="26"/>
          <w:szCs w:val="26"/>
        </w:rPr>
        <w:t xml:space="preserve">9.5 Regulatory compliance</w:t>
      </w:r>
    </w:p>
    <w:p>
      <w:pPr>
        <w:spacing w:after="160" w:line="320"/>
      </w:pPr>
      <w:r>
        <w:rPr>
          <w:sz w:val="22"/>
          <w:szCs w:val="22"/>
        </w:rPr>
        <w:t xml:space="preserve">Bahia &amp; Beans Kitchen operates in the Restaurant - Quick-Casual sector and is subject to federal, state, and local regulatory requirements. The following compliance items have been or will be addressed prior to the start of revenue-generating operations:</w:t>
      </w:r>
    </w:p>
    <w:p>
      <w:pPr>
        <w:pStyle w:val="Heading3"/>
        <w:spacing w:after="180" w:before="360"/>
      </w:pPr>
      <w:r>
        <w:rPr>
          <w:sz w:val="22"/>
          <w:szCs w:val="22"/>
        </w:rPr>
        <w:t xml:space="preserve">Federal compliance</w:t>
      </w:r>
    </w:p>
    <w:p>
      <w:pPr>
        <w:pStyle w:val="ListParagraph"/>
        <w:numPr>
          <w:ilvl w:val="0"/>
          <w:numId w:val="1"/>
        </w:numPr>
        <w:spacing w:after="80" w:line="300"/>
      </w:pPr>
      <w:r>
        <w:rPr>
          <w:sz w:val="22"/>
          <w:szCs w:val="22"/>
        </w:rPr>
        <w:t xml:space="preserve">Federal Employer Identification Number (EIN) issued and active</w:t>
      </w:r>
    </w:p>
    <w:p>
      <w:pPr>
        <w:pStyle w:val="ListParagraph"/>
        <w:numPr>
          <w:ilvl w:val="0"/>
          <w:numId w:val="1"/>
        </w:numPr>
        <w:spacing w:after="80" w:line="300"/>
      </w:pPr>
      <w:r>
        <w:rPr>
          <w:sz w:val="22"/>
          <w:szCs w:val="22"/>
        </w:rPr>
        <w:t xml:space="preserve">Federal tax filings prepared on a calendar-year basis</w:t>
      </w:r>
    </w:p>
    <w:p>
      <w:pPr>
        <w:pStyle w:val="ListParagraph"/>
        <w:numPr>
          <w:ilvl w:val="0"/>
          <w:numId w:val="1"/>
        </w:numPr>
        <w:spacing w:after="80" w:line="300"/>
      </w:pPr>
      <w:r>
        <w:rPr>
          <w:sz w:val="22"/>
          <w:szCs w:val="22"/>
        </w:rPr>
        <w:t xml:space="preserve">Industry-specific federal regulatory registrations as applicable to Restaurant - Quick-Casual</w:t>
      </w:r>
    </w:p>
    <w:p>
      <w:pPr>
        <w:pStyle w:val="Heading3"/>
        <w:spacing w:after="180" w:before="360"/>
      </w:pPr>
      <w:r>
        <w:rPr>
          <w:sz w:val="22"/>
          <w:szCs w:val="22"/>
        </w:rPr>
        <w:t xml:space="preserve">State of Florida compliance</w:t>
      </w:r>
    </w:p>
    <w:p>
      <w:pPr>
        <w:pStyle w:val="ListParagraph"/>
        <w:numPr>
          <w:ilvl w:val="0"/>
          <w:numId w:val="1"/>
        </w:numPr>
        <w:spacing w:after="80" w:line="300"/>
      </w:pPr>
      <w:r>
        <w:rPr>
          <w:sz w:val="22"/>
          <w:szCs w:val="22"/>
        </w:rPr>
        <w:t xml:space="preserve">Florida state business registration active</w:t>
      </w:r>
    </w:p>
    <w:p>
      <w:pPr>
        <w:pStyle w:val="ListParagraph"/>
        <w:numPr>
          <w:ilvl w:val="0"/>
          <w:numId w:val="1"/>
        </w:numPr>
        <w:spacing w:after="80" w:line="300"/>
      </w:pPr>
      <w:r>
        <w:rPr>
          <w:sz w:val="22"/>
          <w:szCs w:val="22"/>
        </w:rPr>
        <w:t xml:space="preserve">Florida sales-and-use tax registration where applicable</w:t>
      </w:r>
    </w:p>
    <w:p>
      <w:pPr>
        <w:pStyle w:val="ListParagraph"/>
        <w:numPr>
          <w:ilvl w:val="0"/>
          <w:numId w:val="1"/>
        </w:numPr>
        <w:spacing w:after="80" w:line="300"/>
      </w:pPr>
      <w:r>
        <w:rPr>
          <w:sz w:val="22"/>
          <w:szCs w:val="22"/>
        </w:rPr>
        <w:t xml:space="preserve">Florida state-level industry license or permit as applicable to Restaurant - Quick-Casual</w:t>
      </w:r>
    </w:p>
    <w:p>
      <w:pPr>
        <w:pStyle w:val="Heading3"/>
        <w:spacing w:after="180" w:before="360"/>
      </w:pPr>
      <w:r>
        <w:rPr>
          <w:sz w:val="22"/>
          <w:szCs w:val="22"/>
        </w:rPr>
        <w:t xml:space="preserve">Local compliance (Miami, FL)</w:t>
      </w:r>
    </w:p>
    <w:p>
      <w:pPr>
        <w:pStyle w:val="ListParagraph"/>
        <w:numPr>
          <w:ilvl w:val="0"/>
          <w:numId w:val="1"/>
        </w:numPr>
        <w:spacing w:after="80" w:line="300"/>
      </w:pPr>
      <w:r>
        <w:rPr>
          <w:sz w:val="22"/>
          <w:szCs w:val="22"/>
        </w:rPr>
        <w:t xml:space="preserve">Miami, FL local business license active</w:t>
      </w:r>
    </w:p>
    <w:p>
      <w:pPr>
        <w:pStyle w:val="ListParagraph"/>
        <w:numPr>
          <w:ilvl w:val="0"/>
          <w:numId w:val="1"/>
        </w:numPr>
        <w:spacing w:after="80" w:line="300"/>
      </w:pPr>
      <w:r>
        <w:rPr>
          <w:sz w:val="22"/>
          <w:szCs w:val="22"/>
        </w:rPr>
        <w:t xml:space="preserve">Local zoning compliance verified for the operating premises</w:t>
      </w:r>
    </w:p>
    <w:p>
      <w:pPr>
        <w:pStyle w:val="ListParagraph"/>
        <w:numPr>
          <w:ilvl w:val="0"/>
          <w:numId w:val="1"/>
        </w:numPr>
        <w:spacing w:after="80" w:line="300"/>
      </w:pPr>
      <w:r>
        <w:rPr>
          <w:sz w:val="22"/>
          <w:szCs w:val="22"/>
        </w:rPr>
        <w:t xml:space="preserve">Local industry-specific permits as applicable</w:t>
      </w:r>
    </w:p>
    <w:p>
      <w:pPr>
        <w:spacing w:after="160" w:line="320"/>
      </w:pPr>
      <w:r>
        <w:rPr>
          <w:sz w:val="22"/>
          <w:szCs w:val="22"/>
        </w:rPr>
        <w:t xml:space="preserve">Documentation of regulatory registrations, licenses, and permits is provided by the firm of record as petition exhibits where issued. Pending applications are documented with confirmation of submission and expected issuance date.</w:t>
      </w:r>
    </w:p>
    <w:p>
      <w:pPr>
        <w:pStyle w:val="Heading2"/>
        <w:spacing w:after="180" w:before="360"/>
      </w:pPr>
      <w:r>
        <w:rPr>
          <w:sz w:val="26"/>
          <w:szCs w:val="26"/>
        </w:rPr>
        <w:t xml:space="preserve">9.6 Insurance</w:t>
      </w:r>
    </w:p>
    <w:p>
      <w:pPr>
        <w:spacing w:after="160" w:line="320"/>
      </w:pPr>
      <w:r>
        <w:rPr>
          <w:sz w:val="22"/>
          <w:szCs w:val="22"/>
        </w:rPr>
        <w:t xml:space="preserve">Bahia &amp; Beans Kitchen maintains or will obtain the following insurance coverage prior to revenue-generating operations:</w:t>
      </w:r>
    </w:p>
    <w:p>
      <w:pPr>
        <w:pStyle w:val="ListParagraph"/>
        <w:numPr>
          <w:ilvl w:val="0"/>
          <w:numId w:val="1"/>
        </w:numPr>
        <w:spacing w:after="80" w:line="300"/>
      </w:pPr>
      <w:r>
        <w:rPr>
          <w:sz w:val="22"/>
          <w:szCs w:val="22"/>
        </w:rPr>
        <w:t xml:space="preserve">General liability insurance</w:t>
      </w:r>
    </w:p>
    <w:p>
      <w:pPr>
        <w:pStyle w:val="ListParagraph"/>
        <w:numPr>
          <w:ilvl w:val="0"/>
          <w:numId w:val="1"/>
        </w:numPr>
        <w:spacing w:after="80" w:line="300"/>
      </w:pPr>
      <w:r>
        <w:rPr>
          <w:sz w:val="22"/>
          <w:szCs w:val="22"/>
        </w:rPr>
        <w:t xml:space="preserve">Property insurance covering the leased premises and equipment</w:t>
      </w:r>
    </w:p>
    <w:p>
      <w:pPr>
        <w:pStyle w:val="ListParagraph"/>
        <w:numPr>
          <w:ilvl w:val="0"/>
          <w:numId w:val="1"/>
        </w:numPr>
        <w:spacing w:after="80" w:line="300"/>
      </w:pPr>
      <w:r>
        <w:rPr>
          <w:sz w:val="22"/>
          <w:szCs w:val="22"/>
        </w:rPr>
        <w:t xml:space="preserve">Workers' compensation insurance (Florida-required where employee threshold is met)</w:t>
      </w:r>
    </w:p>
    <w:p>
      <w:pPr>
        <w:pStyle w:val="ListParagraph"/>
        <w:numPr>
          <w:ilvl w:val="0"/>
          <w:numId w:val="1"/>
        </w:numPr>
        <w:spacing w:after="80" w:line="300"/>
      </w:pPr>
      <w:r>
        <w:rPr>
          <w:sz w:val="22"/>
          <w:szCs w:val="22"/>
        </w:rPr>
        <w:t xml:space="preserve">Industry-specific insurance for Restaurant - Quick-Casual operations</w:t>
      </w:r>
    </w:p>
    <w:p>
      <w:pPr>
        <w:spacing w:after="160" w:line="320"/>
      </w:pPr>
      <w:r>
        <w:rPr>
          <w:sz w:val="22"/>
          <w:szCs w:val="22"/>
        </w:rPr>
        <w:t xml:space="preserve">Insurance certificates are provided as petition exhibits.</w:t>
      </w:r>
    </w:p>
    <w:p>
      <w:pPr>
        <w:pStyle w:val="Heading2"/>
        <w:spacing w:after="180" w:before="360"/>
      </w:pPr>
      <w:r>
        <w:rPr>
          <w:sz w:val="26"/>
          <w:szCs w:val="26"/>
        </w:rPr>
        <w:t xml:space="preserve">9.7 Banking and financial controls</w:t>
      </w:r>
    </w:p>
    <w:p>
      <w:pPr>
        <w:spacing w:after="160" w:line="320"/>
      </w:pPr>
      <w:r>
        <w:rPr>
          <w:sz w:val="22"/>
          <w:szCs w:val="22"/>
        </w:rPr>
        <w:t xml:space="preserve">Bahia &amp; Beans Kitchen maintains operating accounts at Wells Fargo (operating account at the Miami branch). Financial controls include:</w:t>
      </w:r>
    </w:p>
    <w:p>
      <w:pPr>
        <w:pStyle w:val="ListParagraph"/>
        <w:numPr>
          <w:ilvl w:val="0"/>
          <w:numId w:val="1"/>
        </w:numPr>
        <w:spacing w:after="80" w:line="300"/>
      </w:pPr>
      <w:r>
        <w:rPr>
          <w:sz w:val="22"/>
          <w:szCs w:val="22"/>
        </w:rPr>
        <w:t xml:space="preserve">Segregation of personal and business accounts</w:t>
      </w:r>
    </w:p>
    <w:p>
      <w:pPr>
        <w:pStyle w:val="ListParagraph"/>
        <w:numPr>
          <w:ilvl w:val="0"/>
          <w:numId w:val="1"/>
        </w:numPr>
        <w:spacing w:after="80" w:line="300"/>
      </w:pPr>
      <w:r>
        <w:rPr>
          <w:sz w:val="22"/>
          <w:szCs w:val="22"/>
        </w:rPr>
        <w:t xml:space="preserve">Monthly bank reconciliations</w:t>
      </w:r>
    </w:p>
    <w:p>
      <w:pPr>
        <w:pStyle w:val="ListParagraph"/>
        <w:numPr>
          <w:ilvl w:val="0"/>
          <w:numId w:val="1"/>
        </w:numPr>
        <w:spacing w:after="80" w:line="300"/>
      </w:pPr>
      <w:r>
        <w:rPr>
          <w:sz w:val="22"/>
          <w:szCs w:val="22"/>
        </w:rPr>
        <w:t xml:space="preserve">Annual federal and state tax filings</w:t>
      </w:r>
    </w:p>
    <w:p>
      <w:pPr>
        <w:pStyle w:val="ListParagraph"/>
        <w:numPr>
          <w:ilvl w:val="0"/>
          <w:numId w:val="1"/>
        </w:numPr>
        <w:spacing w:after="80" w:line="300"/>
      </w:pPr>
      <w:r>
        <w:rPr>
          <w:sz w:val="22"/>
          <w:szCs w:val="22"/>
        </w:rPr>
        <w:t xml:space="preserve">Bookkeeping through QuickBooks Online with restaurant-specific chart of accounts</w:t>
      </w:r>
    </w:p>
    <w:p>
      <w:pPr>
        <w:spacing w:after="160" w:line="320"/>
      </w:pPr>
      <w:r>
        <w:rPr>
          <w:sz w:val="22"/>
          <w:szCs w:val="22"/>
        </w:rPr>
        <w:t xml:space="preserve">Financial statements are prepared on an accrual basis and are reconciled monthly. The five-year financial model in Section 7 reflects this accounting approach.</w:t>
      </w:r>
    </w:p>
    <w:p>
      <w:pPr>
        <w:pStyle w:val="Heading2"/>
        <w:spacing w:after="180" w:before="360"/>
      </w:pPr>
      <w:r>
        <w:rPr>
          <w:sz w:val="26"/>
          <w:szCs w:val="26"/>
        </w:rPr>
        <w:t xml:space="preserve">9.8 Operational milestones</w:t>
      </w:r>
    </w:p>
    <w:p>
      <w:pPr>
        <w:spacing w:after="160" w:line="320"/>
      </w:pPr>
      <w:r>
        <w:rPr>
          <w:sz w:val="22"/>
          <w:szCs w:val="22"/>
        </w:rPr>
        <w:t xml:space="preserve">The enterprise has achieved or will achieve the following operational milestones:</w:t>
      </w:r>
    </w:p>
    <w:p>
      <w:pPr>
        <w:pStyle w:val="ListParagraph"/>
        <w:numPr>
          <w:ilvl w:val="0"/>
          <w:numId w:val="1"/>
        </w:numPr>
        <w:spacing w:after="80" w:line="300"/>
      </w:pPr>
      <w:r>
        <w:rPr>
          <w:sz w:val="22"/>
          <w:szCs w:val="22"/>
        </w:rPr>
        <w:t xml:space="preserve">Lease executed and premises occupied</w:t>
      </w:r>
    </w:p>
    <w:p>
      <w:pPr>
        <w:pStyle w:val="ListParagraph"/>
        <w:numPr>
          <w:ilvl w:val="0"/>
          <w:numId w:val="1"/>
        </w:numPr>
        <w:spacing w:after="80" w:line="300"/>
      </w:pPr>
      <w:r>
        <w:rPr>
          <w:sz w:val="22"/>
          <w:szCs w:val="22"/>
        </w:rPr>
        <w:t xml:space="preserve">Equipment installed and tested</w:t>
      </w:r>
    </w:p>
    <w:p>
      <w:pPr>
        <w:pStyle w:val="ListParagraph"/>
        <w:numPr>
          <w:ilvl w:val="0"/>
          <w:numId w:val="1"/>
        </w:numPr>
        <w:spacing w:after="80" w:line="300"/>
      </w:pPr>
      <w:r>
        <w:rPr>
          <w:sz w:val="22"/>
          <w:szCs w:val="22"/>
        </w:rPr>
        <w:t xml:space="preserve">Staff hiring underway per Section 8 (US Hiring Plan)</w:t>
      </w:r>
    </w:p>
    <w:p>
      <w:pPr>
        <w:pStyle w:val="ListParagraph"/>
        <w:numPr>
          <w:ilvl w:val="0"/>
          <w:numId w:val="1"/>
        </w:numPr>
        <w:spacing w:after="80" w:line="300"/>
      </w:pPr>
      <w:r>
        <w:rPr>
          <w:sz w:val="22"/>
          <w:szCs w:val="22"/>
        </w:rPr>
        <w:t xml:space="preserve">Vendor relationships established</w:t>
      </w:r>
    </w:p>
    <w:p>
      <w:pPr>
        <w:pStyle w:val="ListParagraph"/>
        <w:numPr>
          <w:ilvl w:val="0"/>
          <w:numId w:val="1"/>
        </w:numPr>
        <w:spacing w:after="80" w:line="300"/>
      </w:pPr>
      <w:r>
        <w:rPr>
          <w:sz w:val="22"/>
          <w:szCs w:val="22"/>
        </w:rPr>
        <w:t xml:space="preserve">Federal and state compliance complete</w:t>
      </w:r>
    </w:p>
    <w:p>
      <w:pPr>
        <w:pStyle w:val="ListParagraph"/>
        <w:numPr>
          <w:ilvl w:val="0"/>
          <w:numId w:val="1"/>
        </w:numPr>
        <w:spacing w:after="80" w:line="300"/>
      </w:pPr>
      <w:r>
        <w:rPr>
          <w:sz w:val="22"/>
          <w:szCs w:val="22"/>
        </w:rPr>
        <w:t xml:space="preserve">Soft launch scheduled per Section 7</w:t>
      </w:r>
    </w:p>
    <w:p>
      <w:pPr>
        <w:spacing w:after="160" w:line="320"/>
      </w:pPr>
      <w:r>
        <w:rPr>
          <w:sz w:val="22"/>
          <w:szCs w:val="22"/>
        </w:rPr>
        <w:t xml:space="preserve">These milestones evidence that the enterprise is moving from launch through stabilized operations on a defined timeline, supporting the at-risk capital narrative in Section 3.3.</w:t>
      </w:r>
    </w:p>
    <w:p>
      <w:pPr>
        <w:pStyle w:val="Heading1"/>
        <w:pageBreakBefore/>
        <w:spacing w:after="180" w:before="480"/>
      </w:pPr>
      <w:r>
        <w:rPr>
          <w:sz w:val="32"/>
          <w:szCs w:val="32"/>
        </w:rPr>
        <w:t xml:space="preserve">Risk Analysis (Visa-Specific)</w:t>
      </w:r>
    </w:p>
    <w:p>
      <w:pPr>
        <w:spacing w:after="160" w:line="320"/>
      </w:pPr>
      <w:r>
        <w:rPr>
          <w:sz w:val="22"/>
          <w:szCs w:val="22"/>
        </w:rPr>
        <w:t xml:space="preserve">This section identifies risks to the petition and to the enterprise that are specifically relevant to E-2 adjudication. It is organized around adjudicator-recognizable risk categories rather than generic startup risks. Each risk is paired with a mitigation strategy already incorporated into the plan or documented in the firm's exhibits.</w:t>
      </w:r>
    </w:p>
    <w:p>
      <w:pPr>
        <w:pStyle w:val="Heading2"/>
        <w:spacing w:after="180" w:before="360"/>
      </w:pPr>
      <w:r>
        <w:rPr>
          <w:sz w:val="26"/>
          <w:szCs w:val="26"/>
        </w:rPr>
        <w:t xml:space="preserve">10.1 Adjudication risks</w:t>
      </w:r>
    </w:p>
    <w:p>
      <w:pPr>
        <w:spacing w:after="160" w:line="320"/>
      </w:pPr>
      <w:r>
        <w:rPr>
          <w:sz w:val="22"/>
          <w:szCs w:val="22"/>
        </w:rPr>
        <w:t xml:space="preserve">These are risks to the petition itself, addressing concerns an adjudicator might raise during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Risk</w:t>
            </w:r>
          </w:p>
        </w:tc>
        <w:tc>
          <w:tcPr>
            <w:tcW w:type="pct" w:w="25%"/>
          </w:tcPr>
          <w:p>
            <w:r>
              <w:rPr>
                <w:b/>
                <w:bCs/>
                <w:sz w:val="20"/>
                <w:szCs w:val="20"/>
              </w:rPr>
              <w:t xml:space="preserve">Likelihood</w:t>
            </w:r>
          </w:p>
        </w:tc>
        <w:tc>
          <w:tcPr>
            <w:tcW w:type="pct" w:w="25%"/>
          </w:tcPr>
          <w:p>
            <w:r>
              <w:rPr>
                <w:b/>
                <w:bCs/>
                <w:sz w:val="20"/>
                <w:szCs w:val="20"/>
              </w:rPr>
              <w:t xml:space="preserve">Impact</w:t>
            </w:r>
          </w:p>
        </w:tc>
        <w:tc>
          <w:tcPr>
            <w:tcW w:type="pct" w:w="25%"/>
          </w:tcPr>
          <w:p>
            <w:r>
              <w:rPr>
                <w:b/>
                <w:bCs/>
                <w:sz w:val="20"/>
                <w:szCs w:val="20"/>
              </w:rPr>
              <w:t xml:space="preserve">Mitigation</w:t>
            </w:r>
          </w:p>
        </w:tc>
      </w:tr>
      <w:tr>
        <w:tc>
          <w:tcPr>
            <w:tcW w:type="pct" w:w="25%"/>
          </w:tcPr>
          <w:p>
            <w:r>
              <w:rPr>
                <w:sz w:val="20"/>
                <w:szCs w:val="20"/>
              </w:rPr>
              <w:t xml:space="preserve">Substantial-investment challenge under inverted sliding scale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Capital allocation table in Section 3.2 documents that 85% of total enterprise cost has been invested, exceeding the 85% benchmark for an enterprise of this scale.</w:t>
            </w:r>
          </w:p>
        </w:tc>
      </w:tr>
      <w:tr>
        <w:tc>
          <w:tcPr>
            <w:tcW w:type="pct" w:w="25%"/>
          </w:tcPr>
          <w:p>
            <w:r>
              <w:rPr>
                <w:sz w:val="20"/>
                <w:szCs w:val="20"/>
              </w:rPr>
              <w:t xml:space="preserve">Marginality finding</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3.5 establishes Year-3 net income of {{year3</w:t>
            </w:r>
            <w:r>
              <w:rPr>
                <w:i/>
                <w:iCs/>
                <w:sz w:val="20"/>
                <w:szCs w:val="20"/>
              </w:rPr>
              <w:t xml:space="preserve">net</w:t>
            </w:r>
            <w:r>
              <w:rPr>
                <w:sz w:val="20"/>
                <w:szCs w:val="20"/>
              </w:rPr>
              <w:t xml:space="preserve">income}} against a marginality benchmark of $63,393. Sensitivity analysis in Section 7.6 confirms non-marginality even in worst-case revenue scenarios.</w:t>
            </w:r>
          </w:p>
        </w:tc>
      </w:tr>
      <w:tr>
        <w:tc>
          <w:tcPr>
            <w:tcW w:type="pct" w:w="25%"/>
          </w:tcPr>
          <w:p>
            <w:r>
              <w:rPr>
                <w:sz w:val="20"/>
                <w:szCs w:val="20"/>
              </w:rPr>
              <w:t xml:space="preserve">At-risk capital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3.3 documents that $142,000 has been deployed to fixed assets and operating expenses with no recovery at par. Bank statements and vendor receipts provided in firm exhibits.</w:t>
            </w:r>
          </w:p>
        </w:tc>
      </w:tr>
      <w:tr>
        <w:tc>
          <w:tcPr>
            <w:tcW w:type="pct" w:w="25%"/>
          </w:tcPr>
          <w:p>
            <w:r>
              <w:rPr>
                <w:sz w:val="20"/>
                <w:szCs w:val="20"/>
              </w:rPr>
              <w:t xml:space="preserve">Develop-and-direct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3.6 establishes 100% ownership and detailed day-to-day responsibilities. Petitioner's qualifications detailed in Section 1 (Investor Background).</w:t>
            </w:r>
          </w:p>
        </w:tc>
      </w:tr>
      <w:tr>
        <w:tc>
          <w:tcPr>
            <w:tcW w:type="pct" w:w="25%"/>
          </w:tcPr>
          <w:p>
            <w:r>
              <w:rPr>
                <w:sz w:val="20"/>
                <w:szCs w:val="20"/>
              </w:rPr>
              <w:t xml:space="preserve">Real-and-active enterprise challenge</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Section 3.4 and Section 9 (Operations Plan) document physical premises, equipment, vendor relationships, and regulatory registrations.</w:t>
            </w:r>
          </w:p>
        </w:tc>
      </w:tr>
      <w:tr>
        <w:tc>
          <w:tcPr>
            <w:tcW w:type="pct" w:w="25%"/>
          </w:tcPr>
          <w:p>
            <w:r>
              <w:rPr>
                <w:sz w:val="20"/>
                <w:szCs w:val="20"/>
              </w:rPr>
              <w:t xml:space="preserve">Source-of-funds documentation gap</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Section 2 (Source of Funds Narrative) summarizes lawful origin and traceable path. Firm of record retains relationships with petitioner's banks and tax authorities to obtain additional records on RFE.</w:t>
            </w:r>
          </w:p>
        </w:tc>
      </w:tr>
      <w:tr>
        <w:tc>
          <w:tcPr>
            <w:tcW w:type="pct" w:w="25%"/>
          </w:tcPr>
          <w:p>
            <w:r>
              <w:rPr>
                <w:sz w:val="20"/>
                <w:szCs w:val="20"/>
              </w:rPr>
              <w:t xml:space="preserve">Treaty country verification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Brazil is a recognized E-2 treaty country. Documentation of treaty status is included in firm exhibits. (E-2 only; not applicable for L-1, O-1, EB-5, or EB-2 NIW.)</w:t>
            </w:r>
          </w:p>
        </w:tc>
      </w:tr>
    </w:tbl>
    <w:p>
      <w:pPr>
        <w:pStyle w:val="Heading2"/>
        <w:spacing w:after="180" w:before="360"/>
      </w:pPr>
      <w:r>
        <w:rPr>
          <w:sz w:val="26"/>
          <w:szCs w:val="26"/>
        </w:rPr>
        <w:t xml:space="preserve">10.2 RFE (Request for Evidence) preparedness</w:t>
      </w:r>
    </w:p>
    <w:p>
      <w:pPr>
        <w:spacing w:after="160" w:line="320"/>
      </w:pPr>
      <w:r>
        <w:rPr>
          <w:sz w:val="22"/>
          <w:szCs w:val="22"/>
        </w:rPr>
        <w:t xml:space="preserve">If the adjudicator issues an RFE, the firm of record is positioned to respond to the most common RFE topics for E-2 cases:</w:t>
      </w:r>
    </w:p>
    <w:p>
      <w:pPr>
        <w:pStyle w:val="ListParagraph"/>
        <w:numPr>
          <w:ilvl w:val="0"/>
          <w:numId w:val="1"/>
        </w:numPr>
        <w:spacing w:after="80" w:line="300"/>
      </w:pPr>
      <w:r>
        <w:rPr>
          <w:b/>
          <w:bCs/>
          <w:sz w:val="22"/>
          <w:szCs w:val="22"/>
        </w:rPr>
        <w:t xml:space="preserve">Source of funds documentation expansion:</w:t>
      </w:r>
      <w:r>
        <w:rPr>
          <w:sz w:val="22"/>
          <w:szCs w:val="22"/>
        </w:rPr>
        <w:t xml:space="preserve"> Firm of record retains direct contact with the petitioner's banks in Brazil and can obtain additional bank records, tax records, and asset-sale documentation within standard timelines.</w:t>
      </w:r>
    </w:p>
    <w:p>
      <w:pPr>
        <w:pStyle w:val="ListParagraph"/>
        <w:numPr>
          <w:ilvl w:val="0"/>
          <w:numId w:val="1"/>
        </w:numPr>
        <w:spacing w:after="80" w:line="300"/>
      </w:pPr>
      <w:r>
        <w:rPr>
          <w:b/>
          <w:bCs/>
          <w:sz w:val="22"/>
          <w:szCs w:val="22"/>
        </w:rPr>
        <w:t xml:space="preserve">Marginality re-analysis:</w:t>
      </w:r>
      <w:r>
        <w:rPr>
          <w:sz w:val="22"/>
          <w:szCs w:val="22"/>
        </w:rPr>
        <w:t xml:space="preserve"> Firm of record can produce updated financial projections incorporating any new operating data available at RFE timing.</w:t>
      </w:r>
    </w:p>
    <w:p>
      <w:pPr>
        <w:pStyle w:val="ListParagraph"/>
        <w:numPr>
          <w:ilvl w:val="0"/>
          <w:numId w:val="1"/>
        </w:numPr>
        <w:spacing w:after="80" w:line="300"/>
      </w:pPr>
      <w:r>
        <w:rPr>
          <w:b/>
          <w:bCs/>
          <w:sz w:val="22"/>
          <w:szCs w:val="22"/>
        </w:rPr>
        <w:t xml:space="preserve">Real-and-active operations evidence:</w:t>
      </w:r>
      <w:r>
        <w:rPr>
          <w:sz w:val="22"/>
          <w:szCs w:val="22"/>
        </w:rPr>
        <w:t xml:space="preserve"> Firm of record can produce updated photos of premises, equipment receipts, vendor invoices, and customer evidence as of the RFE date.</w:t>
      </w:r>
    </w:p>
    <w:p>
      <w:pPr>
        <w:pStyle w:val="ListParagraph"/>
        <w:numPr>
          <w:ilvl w:val="0"/>
          <w:numId w:val="1"/>
        </w:numPr>
        <w:spacing w:after="80" w:line="300"/>
      </w:pPr>
      <w:r>
        <w:rPr>
          <w:b/>
          <w:bCs/>
          <w:sz w:val="22"/>
          <w:szCs w:val="22"/>
        </w:rPr>
        <w:t xml:space="preserve">Petitioner credentials:</w:t>
      </w:r>
      <w:r>
        <w:rPr>
          <w:sz w:val="22"/>
          <w:szCs w:val="22"/>
        </w:rPr>
        <w:t xml:space="preserve"> Firm of record can produce additional employment verification letters, academic transcripts, and prior business records.</w:t>
      </w:r>
    </w:p>
    <w:p>
      <w:pPr>
        <w:pStyle w:val="Heading2"/>
        <w:spacing w:after="180" w:before="360"/>
      </w:pPr>
      <w:r>
        <w:rPr>
          <w:sz w:val="26"/>
          <w:szCs w:val="26"/>
        </w:rPr>
        <w:t xml:space="preserve">10.3 Operational risks</w:t>
      </w:r>
    </w:p>
    <w:p>
      <w:pPr>
        <w:spacing w:after="160" w:line="320"/>
      </w:pPr>
      <w:r>
        <w:rPr>
          <w:sz w:val="22"/>
          <w:szCs w:val="22"/>
        </w:rPr>
        <w:t xml:space="preserve">These are risks to the enterprise's commercial viability that could indirectly affect the visa adjudication by undermining the non-marginality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tcPr>
          <w:p>
            <w:r>
              <w:rPr>
                <w:b/>
                <w:bCs/>
                <w:sz w:val="20"/>
                <w:szCs w:val="20"/>
              </w:rPr>
              <w:t xml:space="preserve">Risk</w:t>
            </w:r>
          </w:p>
        </w:tc>
        <w:tc>
          <w:tcPr>
            <w:tcW w:type="pct" w:w="25%"/>
          </w:tcPr>
          <w:p>
            <w:r>
              <w:rPr>
                <w:b/>
                <w:bCs/>
                <w:sz w:val="20"/>
                <w:szCs w:val="20"/>
              </w:rPr>
              <w:t xml:space="preserve">Likelihood</w:t>
            </w:r>
          </w:p>
        </w:tc>
        <w:tc>
          <w:tcPr>
            <w:tcW w:type="pct" w:w="25%"/>
          </w:tcPr>
          <w:p>
            <w:r>
              <w:rPr>
                <w:b/>
                <w:bCs/>
                <w:sz w:val="20"/>
                <w:szCs w:val="20"/>
              </w:rPr>
              <w:t xml:space="preserve">Impact</w:t>
            </w:r>
          </w:p>
        </w:tc>
        <w:tc>
          <w:tcPr>
            <w:tcW w:type="pct" w:w="25%"/>
          </w:tcPr>
          <w:p>
            <w:r>
              <w:rPr>
                <w:b/>
                <w:bCs/>
                <w:sz w:val="20"/>
                <w:szCs w:val="20"/>
              </w:rPr>
              <w:t xml:space="preserve">Mitigation</w:t>
            </w:r>
          </w:p>
        </w:tc>
      </w:tr>
      <w:tr>
        <w:tc>
          <w:tcPr>
            <w:tcW w:type="pct" w:w="25%"/>
          </w:tcPr>
          <w:p>
            <w:r>
              <w:rPr>
                <w:sz w:val="20"/>
                <w:szCs w:val="20"/>
              </w:rPr>
              <w:t xml:space="preserve">Revenue ramp slower than projected</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Sensitivity analysis (Section 7.6) confirms enterprise non-marginality even at 75% of base-case revenue. Conservative Year-1 monthly ramp built into Section 7.2.</w:t>
            </w:r>
          </w:p>
        </w:tc>
      </w:tr>
      <w:tr>
        <w:tc>
          <w:tcPr>
            <w:tcW w:type="pct" w:w="25%"/>
          </w:tcPr>
          <w:p>
            <w:r>
              <w:rPr>
                <w:sz w:val="20"/>
                <w:szCs w:val="20"/>
              </w:rPr>
              <w:t xml:space="preserve">Lease cost escalation</w:t>
            </w:r>
          </w:p>
        </w:tc>
        <w:tc>
          <w:tcPr>
            <w:tcW w:type="pct" w:w="25%"/>
          </w:tcPr>
          <w:p>
            <w:r>
              <w:rPr>
                <w:sz w:val="20"/>
                <w:szCs w:val="20"/>
              </w:rPr>
              <w:t xml:space="preserve">Low</w:t>
            </w:r>
          </w:p>
        </w:tc>
        <w:tc>
          <w:tcPr>
            <w:tcW w:type="pct" w:w="25%"/>
          </w:tcPr>
          <w:p>
            <w:r>
              <w:rPr>
                <w:sz w:val="20"/>
                <w:szCs w:val="20"/>
              </w:rPr>
              <w:t xml:space="preserve">Low</w:t>
            </w:r>
          </w:p>
        </w:tc>
        <w:tc>
          <w:tcPr>
            <w:tcW w:type="pct" w:w="25%"/>
          </w:tcPr>
          <w:p>
            <w:r>
              <w:rPr>
                <w:sz w:val="20"/>
                <w:szCs w:val="20"/>
              </w:rPr>
              <w:t xml:space="preserve">Lease terms documented in Section 9.1; escalation cap negotiated where applicable.</w:t>
            </w:r>
          </w:p>
        </w:tc>
      </w:tr>
      <w:tr>
        <w:tc>
          <w:tcPr>
            <w:tcW w:type="pct" w:w="25%"/>
          </w:tcPr>
          <w:p>
            <w:r>
              <w:rPr>
                <w:sz w:val="20"/>
                <w:szCs w:val="20"/>
              </w:rPr>
              <w:t xml:space="preserve">Key vendor disruption</w:t>
            </w:r>
          </w:p>
        </w:tc>
        <w:tc>
          <w:tcPr>
            <w:tcW w:type="pct" w:w="25%"/>
          </w:tcPr>
          <w:p>
            <w:r>
              <w:rPr>
                <w:sz w:val="20"/>
                <w:szCs w:val="20"/>
              </w:rPr>
              <w:t xml:space="preserve">Low</w:t>
            </w:r>
          </w:p>
        </w:tc>
        <w:tc>
          <w:tcPr>
            <w:tcW w:type="pct" w:w="25%"/>
          </w:tcPr>
          <w:p>
            <w:r>
              <w:rPr>
                <w:sz w:val="20"/>
                <w:szCs w:val="20"/>
              </w:rPr>
              <w:t xml:space="preserve">Medium</w:t>
            </w:r>
          </w:p>
        </w:tc>
        <w:tc>
          <w:tcPr>
            <w:tcW w:type="pct" w:w="25%"/>
          </w:tcPr>
          <w:p>
            <w:r>
              <w:rPr>
                <w:sz w:val="20"/>
                <w:szCs w:val="20"/>
              </w:rPr>
              <w:t xml:space="preserve">Multi-vendor sourcing strategy documented in Section 9.3 ensures no single point of failure.</w:t>
            </w:r>
          </w:p>
        </w:tc>
      </w:tr>
      <w:tr>
        <w:tc>
          <w:tcPr>
            <w:tcW w:type="pct" w:w="25%"/>
          </w:tcPr>
          <w:p>
            <w:r>
              <w:rPr>
                <w:sz w:val="20"/>
                <w:szCs w:val="20"/>
              </w:rPr>
              <w:t xml:space="preserve">Regulatory delay</w:t>
            </w:r>
          </w:p>
        </w:tc>
        <w:tc>
          <w:tcPr>
            <w:tcW w:type="pct" w:w="25%"/>
          </w:tcPr>
          <w:p>
            <w:r>
              <w:rPr>
                <w:sz w:val="20"/>
                <w:szCs w:val="20"/>
              </w:rPr>
              <w:t xml:space="preserve">Medium</w:t>
            </w:r>
          </w:p>
        </w:tc>
        <w:tc>
          <w:tcPr>
            <w:tcW w:type="pct" w:w="25%"/>
          </w:tcPr>
          <w:p>
            <w:r>
              <w:rPr>
                <w:sz w:val="20"/>
                <w:szCs w:val="20"/>
              </w:rPr>
              <w:t xml:space="preserve">Medium</w:t>
            </w:r>
          </w:p>
        </w:tc>
        <w:tc>
          <w:tcPr>
            <w:tcW w:type="pct" w:w="25%"/>
          </w:tcPr>
          <w:p>
            <w:r>
              <w:rPr>
                <w:sz w:val="20"/>
                <w:szCs w:val="20"/>
              </w:rPr>
              <w:t xml:space="preserve">Regulatory compliance plan (Section 9.5) front-loads filings. Operational milestones (Section 9.8) include compliance gates.</w:t>
            </w:r>
          </w:p>
        </w:tc>
      </w:tr>
      <w:tr>
        <w:tc>
          <w:tcPr>
            <w:tcW w:type="pct" w:w="25%"/>
          </w:tcPr>
          <w:p>
            <w:r>
              <w:rPr>
                <w:sz w:val="20"/>
                <w:szCs w:val="20"/>
              </w:rPr>
              <w:t xml:space="preserve">Petitioner inability to relocate (visa denial scenario)</w:t>
            </w:r>
          </w:p>
        </w:tc>
        <w:tc>
          <w:tcPr>
            <w:tcW w:type="pct" w:w="25%"/>
          </w:tcPr>
          <w:p>
            <w:r>
              <w:rPr>
                <w:sz w:val="20"/>
                <w:szCs w:val="20"/>
              </w:rPr>
              <w:t xml:space="preserve">Low</w:t>
            </w:r>
          </w:p>
        </w:tc>
        <w:tc>
          <w:tcPr>
            <w:tcW w:type="pct" w:w="25%"/>
          </w:tcPr>
          <w:p>
            <w:r>
              <w:rPr>
                <w:sz w:val="20"/>
                <w:szCs w:val="20"/>
              </w:rPr>
              <w:t xml:space="preserve">High</w:t>
            </w:r>
          </w:p>
        </w:tc>
        <w:tc>
          <w:tcPr>
            <w:tcW w:type="pct" w:w="25%"/>
          </w:tcPr>
          <w:p>
            <w:r>
              <w:rPr>
                <w:sz w:val="20"/>
                <w:szCs w:val="20"/>
              </w:rPr>
              <w:t xml:space="preserve">The enterprise is structured to be operationally resilient. In a visa denial scenario, the firm of record can advise on alternative ownership structures or wind-down to minimize loss.</w:t>
            </w:r>
          </w:p>
        </w:tc>
      </w:tr>
    </w:tbl>
    <w:p>
      <w:pPr>
        <w:pStyle w:val="Heading2"/>
        <w:spacing w:after="180" w:before="360"/>
      </w:pPr>
      <w:r>
        <w:rPr>
          <w:sz w:val="26"/>
          <w:szCs w:val="26"/>
        </w:rPr>
        <w:t xml:space="preserve">10.4 Sustainment outlook</w:t>
      </w:r>
    </w:p>
    <w:p>
      <w:pPr>
        <w:spacing w:after="160" w:line="320"/>
      </w:pPr>
      <w:r>
        <w:rPr>
          <w:sz w:val="22"/>
          <w:szCs w:val="22"/>
        </w:rPr>
        <w:t xml:space="preserve">Bahia &amp; Beans Kitchen is structured to sustain operations through and beyond the E-2 status period. The five-year financial model demonstrates revenue growth and operating-margin expansion. The U.S. hiring plan and operations plan demonstrate operational substance. The sensitivity analysis confirms financial resilience under realistic downside conditions.</w:t>
      </w:r>
    </w:p>
    <w:p>
      <w:pPr>
        <w:spacing w:after="160" w:line="320"/>
      </w:pPr>
      <w:r>
        <w:rPr>
          <w:sz w:val="22"/>
          <w:szCs w:val="22"/>
        </w:rPr>
        <w:t xml:space="preserve">The combination of substantial investment, real-and-active operations, and demonstrated non-marginality indicates that the enterprise is positioned to sustain operations through the E-2 status period and beyond. The financial model (Section 7) and the hiring plan (Section 8) both reflect a sustainable, growing enterprise rather than a launch-only or speculative undertaking.</w:t>
      </w:r>
    </w:p>
    <w:p>
      <w:pPr>
        <w:pStyle w:val="Heading2"/>
        <w:spacing w:after="180" w:before="360"/>
      </w:pPr>
      <w:r>
        <w:rPr>
          <w:sz w:val="26"/>
          <w:szCs w:val="26"/>
        </w:rPr>
        <w:t xml:space="preserve">10.5 Counsel coordination on visa-specific risks</w:t>
      </w:r>
    </w:p>
    <w:p>
      <w:pPr>
        <w:spacing w:after="160" w:line="320"/>
      </w:pPr>
      <w:r>
        <w:rPr>
          <w:sz w:val="22"/>
          <w:szCs w:val="22"/>
        </w:rPr>
        <w:t xml:space="preserve">The firm of record retains responsibility for visa-specific compliance verification and adjudicator strategy. The risks identified in this section are those visible from the business-plan side of the petition. Risks that are exclusively legal or procedural (such as specific evidentiary standards, recent precedent decisions, or service-center processing trends) are within the firm of record's domain and are not addressed here.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Bahia &amp; Beans Kitchen E-2 Business Plan</dc:title>
  <dc:creator>Bahia &amp; Beans Kitchen</dc:creator>
  <dc:description>Business plan for Bahia &amp; Beans Kitchen</dc:description>
  <cp:lastModifiedBy>Un-named</cp:lastModifiedBy>
  <cp:revision>1</cp:revision>
  <dcterms:created xsi:type="dcterms:W3CDTF">2026-05-10T09:10:55.894Z</dcterms:created>
  <dcterms:modified xsi:type="dcterms:W3CDTF">2026-05-10T09:10:55.894Z</dcterms:modified>
</cp:coreProperties>
</file>

<file path=docProps/custom.xml><?xml version="1.0" encoding="utf-8"?>
<Properties xmlns="http://schemas.openxmlformats.org/officeDocument/2006/custom-properties" xmlns:vt="http://schemas.openxmlformats.org/officeDocument/2006/docPropsVTypes"/>
</file>