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spacing w:after="480"/>
        <w:jc w:val="center"/>
      </w:pPr>
      <w:r>
        <w:rPr>
          <w:b/>
          <w:bCs/>
          <w:sz w:val="56"/>
          <w:szCs w:val="56"/>
        </w:rPr>
        <w:t xml:space="preserve">ZhangWave Solutions Inc.</w:t>
      </w:r>
    </w:p>
    <w:p>
      <w:pPr>
        <w:spacing w:after="480"/>
        <w:jc w:val="center"/>
      </w:pPr>
      <w:r>
        <w:rPr>
          <w:sz w:val="36"/>
          <w:szCs w:val="36"/>
        </w:rPr>
        <w:t xml:space="preserve">Business Plan</w:t>
      </w:r>
    </w:p>
    <w:p>
      <w:pPr>
        <w:spacing w:after="240"/>
        <w:jc w:val="center"/>
      </w:pPr>
      <w:r>
        <w:rPr>
          <w:sz w:val="22"/>
          <w:szCs w:val="22"/>
        </w:rPr>
        <w:t xml:space="preserve">2026-05-10</w:t>
      </w:r>
    </w:p>
    <w:p>
      <w:r>
        <w:br w:type="page"/>
      </w:r>
    </w:p>
    <w:p>
      <w:pPr>
        <w:pStyle w:val="Heading1"/>
        <w:pageBreakBefore/>
        <w:spacing w:after="180" w:before="480"/>
      </w:pPr>
      <w:r>
        <w:rPr>
          <w:sz w:val="32"/>
          <w:szCs w:val="32"/>
        </w:rPr>
        <w:t xml:space="preserve">Adjudicator Summary</w:t>
      </w:r>
    </w:p>
    <w:p>
      <w:pPr>
        <w:spacing w:after="160" w:line="320"/>
      </w:pPr>
      <w:r>
        <w:rPr>
          <w:sz w:val="22"/>
          <w:szCs w:val="22"/>
        </w:rPr>
        <w:t xml:space="preserve">This business plan is submitted in support of Wei Zhang's EB-5 Immigrant Investor visa petition. The plan is structured to address the criteria USCIS adjudicators apply when evaluating EB-5 cases under I-526E and the controlling regulatory framework at 8 CFR 204.6 and USCIS Policy Manual Vol. 6, Pt. G.</w:t>
      </w:r>
    </w:p>
    <w:p>
      <w:pPr>
        <w:pStyle w:val="Heading2"/>
        <w:spacing w:after="180" w:before="360"/>
      </w:pPr>
      <w:r>
        <w:rPr>
          <w:sz w:val="26"/>
          <w:szCs w:val="26"/>
        </w:rPr>
        <w:t xml:space="preserve">How this plan satisfies adjudication criteria</w:t>
      </w:r>
    </w:p>
    <w:p>
      <w:pPr>
        <w:spacing w:after="160" w:line="320"/>
      </w:pPr>
      <w:r>
        <w:rPr>
          <w:sz w:val="22"/>
          <w:szCs w:val="22"/>
        </w:rPr>
        <w:t xml:space="preserve">The following table maps each USCIS adjudication criterion to the plan section that addresses it. Adjudicators reviewing this petition will find the supporting analysis and documentation for each criterion in the section indicated.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sz w:val="20"/>
                <w:szCs w:val="20"/>
              </w:rPr>
            </w:r>
          </w:p>
        </w:tc>
        <w:tc>
          <w:tcPr>
            <w:tcW w:type="pct" w:w="50%"/>
          </w:tcPr>
          <w:p>
            <w:r>
              <w:rPr>
                <w:b/>
                <w:bCs/>
                <w:sz w:val="20"/>
                <w:szCs w:val="20"/>
              </w:rPr>
            </w:r>
          </w:p>
        </w:tc>
      </w:tr>
      <w:tr>
        <w:tc>
          <w:tcPr>
            <w:tcW w:type="pct" w:w="50%"/>
          </w:tcPr>
          <w:p>
            <w:r>
              <w:rPr>
                <w:sz w:val="20"/>
                <w:szCs w:val="20"/>
              </w:rPr>
              <w:t xml:space="preserve">Required investment ($1.05M standard / $800K TEA)</w:t>
            </w:r>
          </w:p>
        </w:tc>
        <w:tc>
          <w:tcPr>
            <w:tcW w:type="pct" w:w="50%"/>
          </w:tcPr>
          <w:p>
            <w:r>
              <w:rPr>
                <w:sz w:val="20"/>
                <w:szCs w:val="20"/>
              </w:rPr>
              <w:t xml:space="preserve">Section 4.1</w:t>
            </w:r>
          </w:p>
        </w:tc>
      </w:tr>
      <w:tr>
        <w:tc>
          <w:tcPr>
            <w:tcW w:type="pct" w:w="50%"/>
          </w:tcPr>
          <w:p>
            <w:r>
              <w:rPr>
                <w:sz w:val="20"/>
                <w:szCs w:val="20"/>
              </w:rPr>
              <w:t xml:space="preserve">Lawful source of funds</w:t>
            </w:r>
          </w:p>
        </w:tc>
        <w:tc>
          <w:tcPr>
            <w:tcW w:type="pct" w:w="50%"/>
          </w:tcPr>
          <w:p>
            <w:r>
              <w:rPr>
                <w:sz w:val="20"/>
                <w:szCs w:val="20"/>
              </w:rPr>
              <w:t xml:space="preserve">Section 2</w:t>
            </w:r>
          </w:p>
        </w:tc>
      </w:tr>
      <w:tr>
        <w:tc>
          <w:tcPr>
            <w:tcW w:type="pct" w:w="50%"/>
          </w:tcPr>
          <w:p>
            <w:r>
              <w:rPr>
                <w:sz w:val="20"/>
                <w:szCs w:val="20"/>
              </w:rPr>
              <w:t xml:space="preserve">At-risk capital deployment</w:t>
            </w:r>
          </w:p>
        </w:tc>
        <w:tc>
          <w:tcPr>
            <w:tcW w:type="pct" w:w="50%"/>
          </w:tcPr>
          <w:p>
            <w:r>
              <w:rPr>
                <w:sz w:val="20"/>
                <w:szCs w:val="20"/>
              </w:rPr>
              <w:t xml:space="preserve">Section 4.2</w:t>
            </w:r>
          </w:p>
        </w:tc>
      </w:tr>
      <w:tr>
        <w:tc>
          <w:tcPr>
            <w:tcW w:type="pct" w:w="50%"/>
          </w:tcPr>
          <w:p>
            <w:r>
              <w:rPr>
                <w:sz w:val="20"/>
                <w:szCs w:val="20"/>
              </w:rPr>
              <w:t xml:space="preserve">Job creation (10 full-time US jobs in 2 years)</w:t>
            </w:r>
          </w:p>
        </w:tc>
        <w:tc>
          <w:tcPr>
            <w:tcW w:type="pct" w:w="50%"/>
          </w:tcPr>
          <w:p>
            <w:r>
              <w:rPr>
                <w:sz w:val="20"/>
                <w:szCs w:val="20"/>
              </w:rPr>
              <w:t xml:space="preserve">Sections 4.3 and 8</w:t>
            </w:r>
          </w:p>
        </w:tc>
      </w:tr>
      <w:tr>
        <w:tc>
          <w:tcPr>
            <w:tcW w:type="pct" w:w="50%"/>
          </w:tcPr>
          <w:p>
            <w:r>
              <w:rPr>
                <w:sz w:val="20"/>
                <w:szCs w:val="20"/>
              </w:rPr>
              <w:t xml:space="preserve">Sustainment through I-829</w:t>
            </w:r>
          </w:p>
        </w:tc>
        <w:tc>
          <w:tcPr>
            <w:tcW w:type="pct" w:w="50%"/>
          </w:tcPr>
          <w:p>
            <w:r>
              <w:rPr>
                <w:sz w:val="20"/>
                <w:szCs w:val="20"/>
              </w:rPr>
              <w:t xml:space="preserve">Section 7</w:t>
            </w:r>
          </w:p>
        </w:tc>
      </w:tr>
    </w:tbl>
    <w:p>
      <w:pPr>
        <w:pStyle w:val="Heading2"/>
        <w:spacing w:after="180" w:before="360"/>
      </w:pPr>
      <w:r>
        <w:rPr>
          <w:sz w:val="26"/>
          <w:szCs w:val="26"/>
        </w:rPr>
        <w:t xml:space="preserve">Investor and enterprise summary</w:t>
      </w:r>
    </w:p>
    <w:p>
      <w:pPr>
        <w:pStyle w:val="ListParagraph"/>
        <w:numPr>
          <w:ilvl w:val="0"/>
          <w:numId w:val="1"/>
        </w:numPr>
        <w:spacing w:after="80" w:line="300"/>
      </w:pPr>
      <w:r>
        <w:rPr>
          <w:b/>
          <w:bCs/>
          <w:sz w:val="22"/>
          <w:szCs w:val="22"/>
        </w:rPr>
        <w:t xml:space="preserve">Investor:</w:t>
      </w:r>
      <w:r>
        <w:rPr>
          <w:sz w:val="22"/>
          <w:szCs w:val="22"/>
        </w:rPr>
        <w:t xml:space="preserve"> Wei Zhang, citizen of China</w:t>
      </w:r>
    </w:p>
    <w:p>
      <w:pPr>
        <w:pStyle w:val="ListParagraph"/>
        <w:numPr>
          <w:ilvl w:val="0"/>
          <w:numId w:val="1"/>
        </w:numPr>
        <w:spacing w:after="80" w:line="300"/>
      </w:pPr>
      <w:r>
        <w:rPr>
          <w:b/>
          <w:bCs/>
          <w:sz w:val="22"/>
          <w:szCs w:val="22"/>
        </w:rPr>
        <w:t xml:space="preserve">Enterprise:</w:t>
      </w:r>
      <w:r>
        <w:rPr>
          <w:sz w:val="22"/>
          <w:szCs w:val="22"/>
        </w:rPr>
        <w:t xml:space="preserve"> ZhangWave Solutions Inc.</w:t>
      </w:r>
    </w:p>
    <w:p>
      <w:pPr>
        <w:pStyle w:val="ListParagraph"/>
        <w:numPr>
          <w:ilvl w:val="0"/>
          <w:numId w:val="1"/>
        </w:numPr>
        <w:spacing w:after="80" w:line="300"/>
      </w:pPr>
      <w:r>
        <w:rPr>
          <w:b/>
          <w:bCs/>
          <w:sz w:val="22"/>
          <w:szCs w:val="22"/>
        </w:rPr>
        <w:t xml:space="preserve">Industry:</w:t>
      </w:r>
      <w:r>
        <w:rPr>
          <w:sz w:val="22"/>
          <w:szCs w:val="22"/>
        </w:rPr>
        <w:t xml:space="preserve"> Managed cloud security and compliance services</w:t>
      </w:r>
    </w:p>
    <w:p>
      <w:pPr>
        <w:pStyle w:val="ListParagraph"/>
        <w:numPr>
          <w:ilvl w:val="0"/>
          <w:numId w:val="1"/>
        </w:numPr>
        <w:spacing w:after="80" w:line="300"/>
      </w:pPr>
      <w:r>
        <w:rPr>
          <w:b/>
          <w:bCs/>
          <w:sz w:val="22"/>
          <w:szCs w:val="22"/>
        </w:rPr>
        <w:t xml:space="preserve">US location:</w:t>
      </w:r>
      <w:r>
        <w:rPr>
          <w:sz w:val="22"/>
          <w:szCs w:val="22"/>
        </w:rPr>
        <w:t xml:space="preserve"> New York, NY</w:t>
      </w:r>
    </w:p>
    <w:p>
      <w:pPr>
        <w:pStyle w:val="ListParagraph"/>
        <w:numPr>
          <w:ilvl w:val="0"/>
          <w:numId w:val="1"/>
        </w:numPr>
        <w:spacing w:after="80" w:line="300"/>
      </w:pPr>
      <w:r>
        <w:rPr>
          <w:b/>
          <w:bCs/>
          <w:sz w:val="22"/>
          <w:szCs w:val="22"/>
        </w:rPr>
        <w:t xml:space="preserve">Total invested capital:</w:t>
      </w:r>
      <w:r>
        <w:rPr>
          <w:sz w:val="22"/>
          <w:szCs w:val="22"/>
        </w:rPr>
        <w:t xml:space="preserve"> $1,050,000</w:t>
      </w:r>
    </w:p>
    <w:p>
      <w:pPr>
        <w:pStyle w:val="ListParagraph"/>
        <w:numPr>
          <w:ilvl w:val="0"/>
          <w:numId w:val="1"/>
        </w:numPr>
        <w:spacing w:after="80" w:line="300"/>
      </w:pPr>
      <w:r>
        <w:rPr>
          <w:b/>
          <w:bCs/>
          <w:sz w:val="22"/>
          <w:szCs w:val="22"/>
        </w:rPr>
        <w:t xml:space="preserve">Capital deployment timeline:</w:t>
      </w:r>
      <w:r>
        <w:rPr>
          <w:sz w:val="22"/>
          <w:szCs w:val="22"/>
        </w:rPr>
        <w:t xml:space="preserve"> $685,000 deployed as of 2026-02-20, balance committed per capital allocation table</w:t>
      </w:r>
    </w:p>
    <w:p>
      <w:pPr>
        <w:pStyle w:val="ListParagraph"/>
        <w:numPr>
          <w:ilvl w:val="0"/>
          <w:numId w:val="1"/>
        </w:numPr>
        <w:spacing w:after="80" w:line="300"/>
      </w:pPr>
      <w:r>
        <w:rPr>
          <w:b/>
          <w:bCs/>
          <w:sz w:val="22"/>
          <w:szCs w:val="22"/>
        </w:rPr>
        <w:t xml:space="preserve">Year-1 US employment:</w:t>
      </w:r>
      <w:r>
        <w:rPr>
          <w:sz w:val="22"/>
          <w:szCs w:val="22"/>
        </w:rPr>
        <w:t xml:space="preserve"> {{year1</w:t>
      </w:r>
      <w:r>
        <w:rPr>
          <w:i/>
          <w:iCs/>
          <w:sz w:val="22"/>
          <w:szCs w:val="22"/>
        </w:rPr>
        <w:t xml:space="preserve">us</w:t>
      </w:r>
      <w:r>
        <w:rPr>
          <w:sz w:val="22"/>
          <w:szCs w:val="22"/>
        </w:rPr>
        <w:t xml:space="preserve">hires}} direct hires</w:t>
      </w:r>
    </w:p>
    <w:p>
      <w:pPr>
        <w:pStyle w:val="ListParagraph"/>
        <w:numPr>
          <w:ilvl w:val="0"/>
          <w:numId w:val="1"/>
        </w:numPr>
        <w:spacing w:after="80" w:line="300"/>
      </w:pPr>
      <w:r>
        <w:rPr>
          <w:b/>
          <w:bCs/>
          <w:sz w:val="22"/>
          <w:szCs w:val="22"/>
        </w:rPr>
        <w:t xml:space="preserve">Five-year US employment:</w:t>
      </w:r>
      <w:r>
        <w:rPr>
          <w:sz w:val="22"/>
          <w:szCs w:val="22"/>
        </w:rPr>
        <w:t xml:space="preserve"> {{year5</w:t>
      </w:r>
      <w:r>
        <w:rPr>
          <w:i/>
          <w:iCs/>
          <w:sz w:val="22"/>
          <w:szCs w:val="22"/>
        </w:rPr>
        <w:t xml:space="preserve">us</w:t>
      </w:r>
      <w:r>
        <w:rPr>
          <w:sz w:val="22"/>
          <w:szCs w:val="22"/>
        </w:rPr>
        <w:t xml:space="preserve">hires}} direct hires (cumulative)</w:t>
      </w:r>
    </w:p>
    <w:p>
      <w:pPr>
        <w:pStyle w:val="Heading2"/>
        <w:spacing w:after="180" w:before="360"/>
      </w:pPr>
      <w:r>
        <w:rPr>
          <w:sz w:val="26"/>
          <w:szCs w:val="26"/>
        </w:rPr>
        <w:t xml:space="preserve">Petitioner narrative</w:t>
      </w:r>
    </w:p>
    <w:p>
      <w:pPr>
        <w:spacing w:after="160" w:line="320"/>
      </w:pPr>
      <w:r>
        <w:rPr>
          <w:sz w:val="22"/>
          <w:szCs w:val="22"/>
        </w:rPr>
        <w:t xml:space="preserve">Wei Zhang brings Founded WaveTech Beijing in 2014, scaled from 8 to 220 employees, serving Chinese mid-market enterprises in financial services and logistics. Direct P&amp;L responsibility, founder-led sale to a strategic acquirer in 2024. Subsequent investments in three U.S. startups as a passive investor. to ZhangWave Solutions Inc.. The plan demonstrates that the petitioner will develop and direct the enterprise, that the investment is substantial relative to enterprise cost, and that the enterprise is non-marginal under the criteria mapped above.</w:t>
      </w:r>
    </w:p>
    <w:p>
      <w:pPr>
        <w:pStyle w:val="Heading2"/>
        <w:spacing w:after="180" w:before="360"/>
      </w:pPr>
      <w:r>
        <w:rPr>
          <w:sz w:val="26"/>
          <w:szCs w:val="26"/>
        </w:rPr>
        <w:t xml:space="preserve">Document organization</w:t>
      </w:r>
    </w:p>
    <w:p>
      <w:pPr>
        <w:spacing w:after="160" w:line="320"/>
      </w:pPr>
      <w:r>
        <w:rPr>
          <w:sz w:val="22"/>
          <w:szCs w:val="22"/>
        </w:rPr>
        <w:t xml:space="preserve">This plan is organized into the following sections, presented in the order most useful for adjudicator review:</w:t>
      </w:r>
    </w:p>
    <w:p>
      <w:pPr>
        <w:spacing w:after="80" w:line="300"/>
        <w:ind w:left="360"/>
      </w:pPr>
      <w:r>
        <w:rPr>
          <w:b/>
          <w:bCs/>
          <w:sz w:val="22"/>
          <w:szCs w:val="22"/>
        </w:rPr>
        <w:t xml:space="preserve">1. </w:t>
      </w:r>
      <w:r>
        <w:rPr>
          <w:sz w:val="22"/>
          <w:szCs w:val="22"/>
        </w:rPr>
        <w:t xml:space="preserve">Investor / Applicant Background</w:t>
      </w:r>
    </w:p>
    <w:p>
      <w:pPr>
        <w:spacing w:after="80" w:line="300"/>
        <w:ind w:left="360"/>
      </w:pPr>
      <w:r>
        <w:rPr>
          <w:b/>
          <w:bCs/>
          <w:sz w:val="22"/>
          <w:szCs w:val="22"/>
        </w:rPr>
        <w:t xml:space="preserve">2. </w:t>
      </w:r>
      <w:r>
        <w:rPr>
          <w:sz w:val="22"/>
          <w:szCs w:val="22"/>
        </w:rPr>
        <w:t xml:space="preserve">Source of Funds Narrative</w:t>
      </w:r>
    </w:p>
    <w:p>
      <w:pPr>
        <w:spacing w:after="80" w:line="300"/>
        <w:ind w:left="360"/>
      </w:pPr>
      <w:r>
        <w:rPr>
          <w:b/>
          <w:bCs/>
          <w:sz w:val="22"/>
          <w:szCs w:val="22"/>
        </w:rPr>
        <w:t xml:space="preserve">3. </w:t>
      </w:r>
      <w:r>
        <w:rPr>
          <w:sz w:val="22"/>
          <w:szCs w:val="22"/>
        </w:rPr>
        <w:t xml:space="preserve">EB-5 Eligibility Section</w:t>
      </w:r>
    </w:p>
    <w:p>
      <w:pPr>
        <w:spacing w:after="80" w:line="300"/>
        <w:ind w:left="360"/>
      </w:pPr>
      <w:r>
        <w:rPr>
          <w:b/>
          <w:bCs/>
          <w:sz w:val="22"/>
          <w:szCs w:val="22"/>
        </w:rPr>
        <w:t xml:space="preserve">4. </w:t>
      </w:r>
      <w:r>
        <w:rPr>
          <w:sz w:val="22"/>
          <w:szCs w:val="22"/>
        </w:rPr>
        <w:t xml:space="preserve">Executive Summary of the Enterprise</w:t>
      </w:r>
    </w:p>
    <w:p>
      <w:pPr>
        <w:spacing w:after="80" w:line="300"/>
        <w:ind w:left="360"/>
      </w:pPr>
      <w:r>
        <w:rPr>
          <w:b/>
          <w:bCs/>
          <w:sz w:val="22"/>
          <w:szCs w:val="22"/>
        </w:rPr>
        <w:t xml:space="preserve">5. </w:t>
      </w:r>
      <w:r>
        <w:rPr>
          <w:sz w:val="22"/>
          <w:szCs w:val="22"/>
        </w:rPr>
        <w:t xml:space="preserve">Market Analysis and Competitor Landscape</w:t>
      </w:r>
    </w:p>
    <w:p>
      <w:pPr>
        <w:spacing w:after="80" w:line="300"/>
        <w:ind w:left="360"/>
      </w:pPr>
      <w:r>
        <w:rPr>
          <w:b/>
          <w:bCs/>
          <w:sz w:val="22"/>
          <w:szCs w:val="22"/>
        </w:rPr>
        <w:t xml:space="preserve">6. </w:t>
      </w:r>
      <w:r>
        <w:rPr>
          <w:sz w:val="22"/>
          <w:szCs w:val="22"/>
        </w:rPr>
        <w:t xml:space="preserve">Marketing Strategy</w:t>
      </w:r>
    </w:p>
    <w:p>
      <w:pPr>
        <w:spacing w:after="80" w:line="300"/>
        <w:ind w:left="360"/>
      </w:pPr>
      <w:r>
        <w:rPr>
          <w:b/>
          <w:bCs/>
          <w:sz w:val="22"/>
          <w:szCs w:val="22"/>
        </w:rPr>
        <w:t xml:space="preserve">7. </w:t>
      </w:r>
      <w:r>
        <w:rPr>
          <w:sz w:val="22"/>
          <w:szCs w:val="22"/>
        </w:rPr>
        <w:t xml:space="preserve">Expanded Financial Model (5-year)</w:t>
      </w:r>
    </w:p>
    <w:p>
      <w:pPr>
        <w:spacing w:after="80" w:line="300"/>
        <w:ind w:left="360"/>
      </w:pPr>
      <w:r>
        <w:rPr>
          <w:b/>
          <w:bCs/>
          <w:sz w:val="22"/>
          <w:szCs w:val="22"/>
        </w:rPr>
        <w:t xml:space="preserve">8. </w:t>
      </w:r>
      <w:r>
        <w:rPr>
          <w:sz w:val="22"/>
          <w:szCs w:val="22"/>
        </w:rPr>
        <w:t xml:space="preserve">US Hiring Plan and Job Creation</w:t>
      </w:r>
    </w:p>
    <w:p>
      <w:pPr>
        <w:spacing w:after="80" w:line="300"/>
        <w:ind w:left="360"/>
      </w:pPr>
      <w:r>
        <w:rPr>
          <w:b/>
          <w:bCs/>
          <w:sz w:val="22"/>
          <w:szCs w:val="22"/>
        </w:rPr>
        <w:t xml:space="preserve">9. </w:t>
      </w:r>
      <w:r>
        <w:rPr>
          <w:sz w:val="22"/>
          <w:szCs w:val="22"/>
        </w:rPr>
        <w:t xml:space="preserve">Operations Plan</w:t>
      </w:r>
    </w:p>
    <w:p>
      <w:pPr>
        <w:spacing w:after="80" w:line="300"/>
        <w:ind w:left="360"/>
      </w:pPr>
      <w:r>
        <w:rPr>
          <w:b/>
          <w:bCs/>
          <w:sz w:val="22"/>
          <w:szCs w:val="22"/>
        </w:rPr>
        <w:t xml:space="preserve">10. </w:t>
      </w:r>
      <w:r>
        <w:rPr>
          <w:sz w:val="22"/>
          <w:szCs w:val="22"/>
        </w:rPr>
        <w:t xml:space="preserve">Risk Analysis (Visa-Specific)</w:t>
      </w:r>
    </w:p>
    <w:p>
      <w:pPr>
        <w:spacing w:after="160" w:line="320"/>
      </w:pPr>
      <w:r>
        <w:rPr>
          <w:sz w:val="22"/>
          <w:szCs w:val="22"/>
        </w:rPr>
        <w:t xml:space="preserve">Supporting financial workpapers, source-of-funds documentation, and corporate formation documents are provided by the firm of record as petition exhibits.</w:t>
      </w:r>
    </w:p>
    <w:p>
      <w:pPr>
        <w:pStyle w:val="Heading2"/>
        <w:spacing w:after="180" w:before="360"/>
      </w:pPr>
      <w:r>
        <w:rPr>
          <w:sz w:val="26"/>
          <w:szCs w:val="26"/>
        </w:rPr>
        <w:t xml:space="preserve">Compliance and disclaimer</w:t>
      </w:r>
    </w:p>
    <w:p>
      <w:pPr>
        <w:spacing w:after="160" w:line="320"/>
      </w:pPr>
      <w:r>
        <w:rPr>
          <w:sz w:val="22"/>
          <w:szCs w:val="22"/>
        </w:rPr>
        <w:t xml:space="preserve">This plan is production-grade business analysis prepared for the firm of record's USCIS submission package. The firm of record is solely responsible for USCIS legal review, visa-category compliance verification, adjudicator strategy, and representation of the applicant. The plan author does not provide legal advice and does not represent applicants before USCIS or any government agency.</w:t>
      </w:r>
    </w:p>
    <w:p>
      <w:pPr>
        <w:spacing w:after="160" w:line="320"/>
      </w:pPr>
      <w:r>
        <w:rPr>
          <w:sz w:val="22"/>
          <w:szCs w:val="22"/>
        </w:rPr>
        <w:t xml:space="preserve">Plan prepared: 2026-05-10 Plan version: 1.0</w:t>
      </w:r>
    </w:p>
    <w:p>
      <w:pPr>
        <w:pStyle w:val="Heading1"/>
        <w:pageBreakBefore/>
        <w:spacing w:after="180" w:before="480"/>
      </w:pPr>
      <w:r>
        <w:rPr>
          <w:sz w:val="32"/>
          <w:szCs w:val="32"/>
        </w:rPr>
        <w:t xml:space="preserve">Investor and Applicant Background</w:t>
      </w:r>
    </w:p>
    <w:p>
      <w:pPr>
        <w:spacing w:after="160" w:line="320"/>
      </w:pPr>
      <w:r>
        <w:rPr>
          <w:sz w:val="22"/>
          <w:szCs w:val="22"/>
        </w:rPr>
        <w:t xml:space="preserve">This section establishes the petitioner's qualifications to develop and direct ZhangWave Solutions Inc. in the United States. The narrative is constructed from the petitioner's documented professional history, formal education, and prior business experience. Supporting documentation (CV, academic credentials, employment verification letters, prior business records) is provided by the firm of record as petition exhibits.</w:t>
      </w:r>
    </w:p>
    <w:p>
      <w:pPr>
        <w:pStyle w:val="Heading2"/>
        <w:spacing w:after="180" w:before="360"/>
      </w:pPr>
      <w:r>
        <w:rPr>
          <w:sz w:val="26"/>
          <w:szCs w:val="26"/>
        </w:rPr>
        <w:t xml:space="preserve">Petitioner identity</w:t>
      </w:r>
    </w:p>
    <w:p>
      <w:pPr>
        <w:pStyle w:val="ListParagraph"/>
        <w:numPr>
          <w:ilvl w:val="0"/>
          <w:numId w:val="1"/>
        </w:numPr>
        <w:spacing w:after="80" w:line="300"/>
      </w:pPr>
      <w:r>
        <w:rPr>
          <w:b/>
          <w:bCs/>
          <w:sz w:val="22"/>
          <w:szCs w:val="22"/>
        </w:rPr>
        <w:t xml:space="preserve">Full name:</w:t>
      </w:r>
      <w:r>
        <w:rPr>
          <w:sz w:val="22"/>
          <w:szCs w:val="22"/>
        </w:rPr>
        <w:t xml:space="preserve"> Wei Zhang</w:t>
      </w:r>
    </w:p>
    <w:p>
      <w:pPr>
        <w:pStyle w:val="ListParagraph"/>
        <w:numPr>
          <w:ilvl w:val="0"/>
          <w:numId w:val="1"/>
        </w:numPr>
        <w:spacing w:after="80" w:line="300"/>
      </w:pPr>
      <w:r>
        <w:rPr>
          <w:b/>
          <w:bCs/>
          <w:sz w:val="22"/>
          <w:szCs w:val="22"/>
        </w:rPr>
        <w:t xml:space="preserve">Country of citizenship:</w:t>
      </w:r>
      <w:r>
        <w:rPr>
          <w:sz w:val="22"/>
          <w:szCs w:val="22"/>
        </w:rPr>
        <w:t xml:space="preserve"> China</w:t>
      </w:r>
    </w:p>
    <w:p>
      <w:pPr>
        <w:pStyle w:val="ListParagraph"/>
        <w:numPr>
          <w:ilvl w:val="0"/>
          <w:numId w:val="1"/>
        </w:numPr>
        <w:spacing w:after="80" w:line="300"/>
      </w:pPr>
      <w:r>
        <w:rPr>
          <w:b/>
          <w:bCs/>
          <w:sz w:val="22"/>
          <w:szCs w:val="22"/>
        </w:rPr>
        <w:t xml:space="preserve">Title within ZhangWave Solutions Inc.:</w:t>
      </w:r>
      <w:r>
        <w:rPr>
          <w:sz w:val="22"/>
          <w:szCs w:val="22"/>
        </w:rPr>
        <w:t xml:space="preserve"> Founder and Chief Executive Officer</w:t>
      </w:r>
    </w:p>
    <w:p>
      <w:pPr>
        <w:pStyle w:val="ListParagraph"/>
        <w:numPr>
          <w:ilvl w:val="0"/>
          <w:numId w:val="1"/>
        </w:numPr>
        <w:spacing w:after="80" w:line="300"/>
      </w:pPr>
      <w:r>
        <w:rPr>
          <w:b/>
          <w:bCs/>
          <w:sz w:val="22"/>
          <w:szCs w:val="22"/>
        </w:rPr>
        <w:t xml:space="preserve">Equity ownership in ZhangWave Solutions Inc.:</w:t>
      </w:r>
      <w:r>
        <w:rPr>
          <w:sz w:val="22"/>
          <w:szCs w:val="22"/>
        </w:rPr>
        <w:t xml:space="preserve"> 100%</w:t>
      </w:r>
    </w:p>
    <w:p>
      <w:pPr>
        <w:pStyle w:val="Heading2"/>
        <w:spacing w:after="180" w:before="360"/>
      </w:pPr>
      <w:r>
        <w:rPr>
          <w:sz w:val="26"/>
          <w:szCs w:val="26"/>
        </w:rPr>
        <w:t xml:space="preserve">Education</w:t>
      </w:r>
    </w:p>
    <w:p>
      <w:pPr>
        <w:spacing w:after="160" w:line="320"/>
      </w:pPr>
      <w:r>
        <w:rPr>
          <w:sz w:val="22"/>
          <w:szCs w:val="22"/>
        </w:rPr>
        <w:t xml:space="preserve">Bachelor of Engineering, Tsinghua University, 2002. Master of Engineering Management, University of Chinese Academy of Sciences, 2006.</w:t>
      </w:r>
    </w:p>
    <w:p>
      <w:pPr>
        <w:spacing w:after="160" w:line="320"/>
      </w:pPr>
      <w:r>
        <w:rPr>
          <w:sz w:val="22"/>
          <w:szCs w:val="22"/>
        </w:rPr>
        <w:t xml:space="preserve">Documentary evidence of the petitioner's educational credentials is provided by the firm of record as petition exhibits.</w:t>
      </w:r>
    </w:p>
    <w:p>
      <w:pPr>
        <w:pStyle w:val="Heading2"/>
        <w:spacing w:after="180" w:before="360"/>
      </w:pPr>
      <w:r>
        <w:rPr>
          <w:sz w:val="26"/>
          <w:szCs w:val="26"/>
        </w:rPr>
        <w:t xml:space="preserve">Professional background</w:t>
      </w:r>
    </w:p>
    <w:p>
      <w:pPr>
        <w:spacing w:after="160" w:line="320"/>
      </w:pPr>
      <w:r>
        <w:rPr>
          <w:sz w:val="22"/>
          <w:szCs w:val="22"/>
        </w:rPr>
        <w:t xml:space="preserve">Twenty-two years in Chinese technology services, including ten years as founder and CEO of WaveTech Beijing, a managed-services firm sold in 2024 for the equivalent of approximately $14M USD. Subsequent two years deploying personal capital across U.S. real estate and U.S. tech ventures.</w:t>
      </w:r>
    </w:p>
    <w:p>
      <w:pPr>
        <w:spacing w:after="160" w:line="320"/>
      </w:pPr>
      <w:r>
        <w:rPr>
          <w:sz w:val="22"/>
          <w:szCs w:val="22"/>
        </w:rPr>
        <w:t xml:space="preserve">The professional history above is supported by employment verification letters, tax records, and where applicable corporate disclosures, all provided by the firm of record as petition exhibits.</w:t>
      </w:r>
    </w:p>
    <w:p>
      <w:pPr>
        <w:pStyle w:val="Heading2"/>
        <w:spacing w:after="180" w:before="360"/>
      </w:pPr>
      <w:r>
        <w:rPr>
          <w:sz w:val="26"/>
          <w:szCs w:val="26"/>
        </w:rPr>
        <w:t xml:space="preserve">Prior business experience</w:t>
      </w:r>
    </w:p>
    <w:p>
      <w:pPr>
        <w:spacing w:after="160" w:line="320"/>
      </w:pPr>
      <w:r>
        <w:rPr>
          <w:sz w:val="22"/>
          <w:szCs w:val="22"/>
        </w:rPr>
        <w:t xml:space="preserve">Founded WaveTech Beijing in 2014, scaled from 8 to 220 employees, serving Chinese mid-market enterprises in financial services and logistics. Direct P&amp;L responsibility, founder-led sale to a strategic acquirer in 2024. Subsequent investments in three U.S. startups as a passive investor.</w:t>
      </w:r>
    </w:p>
    <w:p>
      <w:pPr>
        <w:spacing w:after="160" w:line="320"/>
      </w:pPr>
      <w:r>
        <w:rPr>
          <w:sz w:val="22"/>
          <w:szCs w:val="22"/>
        </w:rPr>
        <w:t xml:space="preserve">The petitioner's prior business experience is directly relevant to the operations of ZhangWave Solutions Inc. for the following reasons:</w:t>
      </w:r>
    </w:p>
    <w:p>
      <w:pPr>
        <w:pStyle w:val="ListParagraph"/>
        <w:numPr>
          <w:ilvl w:val="0"/>
          <w:numId w:val="1"/>
        </w:numPr>
        <w:spacing w:after="80" w:line="300"/>
      </w:pPr>
      <w:r>
        <w:rPr>
          <w:sz w:val="22"/>
          <w:szCs w:val="22"/>
        </w:rPr>
        <w:t xml:space="preserve">Direct sector experience in Managed cloud security and compliance services</w:t>
      </w:r>
    </w:p>
    <w:p>
      <w:pPr>
        <w:pStyle w:val="ListParagraph"/>
        <w:numPr>
          <w:ilvl w:val="0"/>
          <w:numId w:val="1"/>
        </w:numPr>
        <w:spacing w:after="80" w:line="300"/>
      </w:pPr>
      <w:r>
        <w:rPr>
          <w:sz w:val="22"/>
          <w:szCs w:val="22"/>
        </w:rPr>
        <w:t xml:space="preserve">Operational responsibility in prior ventures (P&amp;L, hiring, vendor management)</w:t>
      </w:r>
    </w:p>
    <w:p>
      <w:pPr>
        <w:pStyle w:val="ListParagraph"/>
        <w:numPr>
          <w:ilvl w:val="0"/>
          <w:numId w:val="1"/>
        </w:numPr>
        <w:spacing w:after="80" w:line="300"/>
      </w:pPr>
      <w:r>
        <w:rPr>
          <w:sz w:val="22"/>
          <w:szCs w:val="22"/>
        </w:rPr>
        <w:t xml:space="preserve">Documented track record of building and scaling commercial activity in this category</w:t>
      </w:r>
    </w:p>
    <w:p>
      <w:pPr>
        <w:pStyle w:val="Heading2"/>
        <w:spacing w:after="180" w:before="360"/>
      </w:pPr>
      <w:r>
        <w:rPr>
          <w:sz w:val="26"/>
          <w:szCs w:val="26"/>
        </w:rPr>
        <w:t xml:space="preserve">Qualification narrative</w:t>
      </w:r>
    </w:p>
    <w:p>
      <w:pPr>
        <w:spacing w:after="160" w:line="320"/>
      </w:pPr>
      <w:r>
        <w:rPr>
          <w:sz w:val="22"/>
          <w:szCs w:val="22"/>
        </w:rPr>
        <w:t xml:space="preserve">The combination of Wei Zhang's formal education, professional history, and prior business experience qualifies the petitioner to develop and direct ZhangWave Solutions Inc. as a U.S. enterprise. Specifically:</w:t>
      </w:r>
    </w:p>
    <w:p>
      <w:pPr>
        <w:spacing w:after="160" w:line="320"/>
      </w:pPr>
      <w:r>
        <w:rPr>
          <w:sz w:val="22"/>
          <w:szCs w:val="22"/>
        </w:rPr>
        <w:t xml:space="preserve">Wei Zhang has the formal credentials, professional history, and prior operational responsibility required to develop and direct ZhangWave Solutions Inc. as a U.S. enterprise. The petitioner is not relying on a third-party operator, an absentee-owner structure, or a passive-investor relationship to satisfy the develop-and-direct standard.</w:t>
      </w:r>
    </w:p>
    <w:p>
      <w:pPr>
        <w:spacing w:after="160" w:line="320"/>
      </w:pPr>
      <w:r>
        <w:rPr>
          <w:sz w:val="22"/>
          <w:szCs w:val="22"/>
        </w:rPr>
        <w:t xml:space="preserve">The petitioner will retain operational control of ZhangWave Solutions Inc. as detailed in the EB-5 Eligibility section. Day-to-day responsibilities include corporate governance, hiring decisions, capital deployment, vendor selection, and strategic direction of the enterprise.</w:t>
      </w:r>
    </w:p>
    <w:p>
      <w:pPr>
        <w:pStyle w:val="Heading2"/>
        <w:spacing w:after="180" w:before="360"/>
      </w:pPr>
      <w:r>
        <w:rPr>
          <w:sz w:val="26"/>
          <w:szCs w:val="26"/>
        </w:rPr>
        <w:t xml:space="preserve">Industry credentials and recognition</w:t>
      </w:r>
    </w:p>
    <w:p>
      <w:pPr>
        <w:spacing w:after="160" w:line="320"/>
      </w:pPr>
      <w:r>
        <w:rPr>
          <w:sz w:val="22"/>
          <w:szCs w:val="22"/>
        </w:rPr>
        <w:t xml:space="preserve">Industry recognition, professional memberships, and trade credentials, where applicable, are detailed in the credentials exhibit provided by the firm of record.</w:t>
      </w:r>
    </w:p>
    <w:p>
      <w:pPr>
        <w:pStyle w:val="Heading2"/>
        <w:spacing w:after="180" w:before="360"/>
      </w:pPr>
      <w:r>
        <w:rPr>
          <w:sz w:val="26"/>
          <w:szCs w:val="26"/>
        </w:rPr>
        <w:t xml:space="preserve">Continuing involvement</w:t>
      </w:r>
    </w:p>
    <w:p>
      <w:pPr>
        <w:spacing w:after="160" w:line="320"/>
      </w:pPr>
      <w:r>
        <w:rPr>
          <w:sz w:val="22"/>
          <w:szCs w:val="22"/>
        </w:rPr>
        <w:t xml:space="preserve">Wei Zhang will be physically present in the United States to operate ZhangWave Solutions Inc. and will not delegate operational control to a third party. The petitioner's home country business interests, where applicable, are managed by qualified successors or are wound down as documented in the firm's exhibits.</w:t>
      </w:r>
    </w:p>
    <w:p>
      <w:pPr>
        <w:pStyle w:val="Heading2"/>
        <w:spacing w:after="180" w:before="360"/>
      </w:pPr>
      <w:r>
        <w:rPr>
          <w:sz w:val="26"/>
          <w:szCs w:val="26"/>
        </w:rPr>
        <w:t xml:space="preserve">References available on request</w:t>
      </w:r>
    </w:p>
    <w:p>
      <w:pPr>
        <w:spacing w:after="160" w:line="320"/>
      </w:pPr>
      <w:r>
        <w:rPr>
          <w:sz w:val="22"/>
          <w:szCs w:val="22"/>
        </w:rPr>
        <w:t xml:space="preserve">Personal and professional references can be furnished by the firm of record upon adjudicator request.</w:t>
      </w:r>
    </w:p>
    <w:p>
      <w:pPr>
        <w:pStyle w:val="Heading1"/>
        <w:pageBreakBefore/>
        <w:spacing w:after="180" w:before="480"/>
      </w:pPr>
      <w:r>
        <w:rPr>
          <w:sz w:val="32"/>
          <w:szCs w:val="32"/>
        </w:rPr>
        <w:t xml:space="preserve">Source of Funds Narrative (EB-5)</w:t>
      </w:r>
    </w:p>
    <w:p>
      <w:pPr>
        <w:spacing w:after="160" w:line="320"/>
      </w:pPr>
      <w:r>
        <w:rPr>
          <w:sz w:val="22"/>
          <w:szCs w:val="22"/>
        </w:rPr>
        <w:t xml:space="preserve">This section establishes the lawful source and traceable path of the $1,050,000 invested in ZhangWave Solutions Inc. for purposes of the I-526E petition. EB-5 source-of-funds documentation is held to a higher evidentiary standard than other immigration categories. The narrative below summarizes the path of funds from origin through deployment. Documentary evidence supporting each source is provided by the firm of record as petition exhibits.</w:t>
      </w:r>
    </w:p>
    <w:p>
      <w:pPr>
        <w:spacing w:after="160" w:line="320"/>
      </w:pPr>
      <w:r>
        <w:rPr>
          <w:sz w:val="22"/>
          <w:szCs w:val="22"/>
        </w:rPr>
        <w:t xml:space="preserve">The firm of record retains responsibility for the completeness, authentication, chain-of-custody integrity, and translation (where applicable) of all source-of-funds exhibits.</w:t>
      </w:r>
    </w:p>
    <w:p>
      <w:pPr>
        <w:pStyle w:val="Heading2"/>
        <w:spacing w:after="180" w:before="360"/>
      </w:pPr>
      <w:r>
        <w:rPr>
          <w:sz w:val="26"/>
          <w:szCs w:val="26"/>
        </w:rPr>
        <w:t xml:space="preserve">2.1 Investment composition summary</w:t>
      </w:r>
    </w:p>
    <w:p>
      <w:pPr>
        <w:spacing w:after="160" w:line="320"/>
      </w:pPr>
      <w:r>
        <w:rPr>
          <w:sz w:val="22"/>
          <w:szCs w:val="22"/>
        </w:rPr>
        <w:t xml:space="preserve">The $1,050,000 investment is composed of three documented sources: $525,000 from the 2024 sale of WaveTech Beijing (50% of the investment), $315,000 from accumulated personal savings during 2010-2024 (30%), and $210,000 from a documented inheritance received in 2018 from the petitioner's late father (20%). All three sources are supported by EB-5-grade documentation including 36 months of bank statements, multi-year Chinese tax returns, sale agreement and capital gains tax filings, donor source documentation for the inheritance, and currency-control compliance documentation for the China-to-US transfer.</w:t>
      </w:r>
    </w:p>
    <w:p>
      <w:pPr>
        <w:spacing w:after="160" w:line="320"/>
      </w:pPr>
      <w:r>
        <w:rPr>
          <w:sz w:val="22"/>
          <w:szCs w:val="22"/>
        </w:rPr>
        <w:t xml:space="preserve">The $1,050,000 invested in ZhangWave Solutions Inc. is composed of the following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Pr>
          <w:p>
            <w:r>
              <w:rPr>
                <w:b/>
                <w:bCs/>
                <w:sz w:val="20"/>
                <w:szCs w:val="20"/>
              </w:rPr>
            </w:r>
          </w:p>
        </w:tc>
        <w:tc>
          <w:tcPr>
            <w:tcW w:type="pct" w:w="33%"/>
          </w:tcPr>
          <w:p>
            <w:r>
              <w:rPr>
                <w:b/>
                <w:bCs/>
                <w:sz w:val="20"/>
                <w:szCs w:val="20"/>
              </w:rPr>
            </w:r>
          </w:p>
        </w:tc>
        <w:tc>
          <w:tcPr>
            <w:tcW w:type="pct" w:w="33%"/>
          </w:tcPr>
          <w:p>
            <w:r>
              <w:rPr>
                <w:b/>
                <w:bCs/>
                <w:sz w:val="20"/>
                <w:szCs w:val="20"/>
              </w:rPr>
            </w:r>
          </w:p>
        </w:tc>
      </w:tr>
      <w:tr>
        <w:tc>
          <w:tcPr>
            <w:tcW w:type="pct" w:w="33%"/>
          </w:tcPr>
          <w:p>
            <w:r>
              <w:rPr>
                <w:sz w:val="20"/>
                <w:szCs w:val="20"/>
              </w:rPr>
              <w:t xml:space="preserve">Sale of WaveTech Beijing (founder ownership stake, 2024)</w:t>
            </w:r>
          </w:p>
        </w:tc>
        <w:tc>
          <w:tcPr>
            <w:tcW w:type="pct" w:w="33%"/>
          </w:tcPr>
          <w:p>
            <w:r>
              <w:rPr>
                <w:sz w:val="20"/>
                <w:szCs w:val="20"/>
              </w:rPr>
              <w:t xml:space="preserve">$525,000</w:t>
            </w:r>
          </w:p>
        </w:tc>
        <w:tc>
          <w:tcPr>
            <w:tcW w:type="pct" w:w="33%"/>
          </w:tcPr>
          <w:p>
            <w:r>
              <w:rPr>
                <w:sz w:val="20"/>
                <w:szCs w:val="20"/>
              </w:rPr>
              <w:t xml:space="preserve">Sale agreement (translated), share register entry showing prior 100% ownership, deposit records of sale proceeds, Chinese capital gains tax filing 2024, and source-of-asset documentation for the original founding stake in firm exhibits</w:t>
            </w:r>
          </w:p>
        </w:tc>
      </w:tr>
      <w:tr>
        <w:tc>
          <w:tcPr>
            <w:tcW w:type="pct" w:w="33%"/>
          </w:tcPr>
          <w:p>
            <w:r>
              <w:rPr>
                <w:sz w:val="20"/>
                <w:szCs w:val="20"/>
              </w:rPr>
              <w:t xml:space="preserve">Accumulated personal savings (2010-2024)</w:t>
            </w:r>
          </w:p>
        </w:tc>
        <w:tc>
          <w:tcPr>
            <w:tcW w:type="pct" w:w="33%"/>
          </w:tcPr>
          <w:p>
            <w:r>
              <w:rPr>
                <w:sz w:val="20"/>
                <w:szCs w:val="20"/>
              </w:rPr>
              <w:t xml:space="preserve">$315,000</w:t>
            </w:r>
          </w:p>
        </w:tc>
        <w:tc>
          <w:tcPr>
            <w:tcW w:type="pct" w:w="33%"/>
          </w:tcPr>
          <w:p>
            <w:r>
              <w:rPr>
                <w:sz w:val="20"/>
                <w:szCs w:val="20"/>
              </w:rPr>
              <w:t xml:space="preserve">36 months of consecutive bank statements from Bank of China and ICBC, multi-year Chinese tax returns 2010-2024, employment verification letters, and accumulation pattern analysis in firm exhibits</w:t>
            </w:r>
          </w:p>
        </w:tc>
      </w:tr>
      <w:tr>
        <w:tc>
          <w:tcPr>
            <w:tcW w:type="pct" w:w="33%"/>
          </w:tcPr>
          <w:p>
            <w:r>
              <w:rPr>
                <w:sz w:val="20"/>
                <w:szCs w:val="20"/>
              </w:rPr>
              <w:t xml:space="preserve">Documented inheritance from petitioner's late father (2018)</w:t>
            </w:r>
          </w:p>
        </w:tc>
        <w:tc>
          <w:tcPr>
            <w:tcW w:type="pct" w:w="33%"/>
          </w:tcPr>
          <w:p>
            <w:r>
              <w:rPr>
                <w:sz w:val="20"/>
                <w:szCs w:val="20"/>
              </w:rPr>
              <w:t xml:space="preserve">$210,000</w:t>
            </w:r>
          </w:p>
        </w:tc>
        <w:tc>
          <w:tcPr>
            <w:tcW w:type="pct" w:w="33%"/>
          </w:tcPr>
          <w:p>
            <w:r>
              <w:rPr>
                <w:sz w:val="20"/>
                <w:szCs w:val="20"/>
              </w:rPr>
              <w:t xml:space="preserve">Death certificate, probate documentation, donor source documentation including father's bank statements 2010-2017, donor employment history, inheritance transfer records, and inheritance tax filings in firm exhibits</w:t>
            </w:r>
          </w:p>
        </w:tc>
      </w:tr>
      <w:tr>
        <w:tc>
          <w:tcPr>
            <w:tcW w:type="pct" w:w="33%"/>
          </w:tcPr>
          <w:p>
            <w:r>
              <w:rPr>
                <w:b/>
                <w:bCs/>
                <w:sz w:val="20"/>
                <w:szCs w:val="20"/>
              </w:rPr>
              <w:t xml:space="preserve">Total</w:t>
            </w:r>
          </w:p>
        </w:tc>
        <w:tc>
          <w:tcPr>
            <w:tcW w:type="pct" w:w="33%"/>
          </w:tcPr>
          <w:p>
            <w:r>
              <w:rPr>
                <w:b/>
                <w:bCs/>
                <w:sz w:val="20"/>
                <w:szCs w:val="20"/>
              </w:rPr>
              <w:t xml:space="preserve">$1,050,000</w:t>
            </w:r>
          </w:p>
        </w:tc>
        <w:tc>
          <w:tcPr>
            <w:tcW w:type="pct" w:w="33%"/>
          </w:tcPr>
          <w:p>
            <w:r>
              <w:rPr>
                <w:sz w:val="20"/>
                <w:szCs w:val="20"/>
              </w:rPr>
              <w:t xml:space="preserve">-</w:t>
            </w:r>
          </w:p>
        </w:tc>
      </w:tr>
    </w:tbl>
    <w:p>
      <w:pPr>
        <w:pStyle w:val="Heading2"/>
        <w:spacing w:after="180" w:before="360"/>
      </w:pPr>
      <w:r>
        <w:rPr>
          <w:sz w:val="26"/>
          <w:szCs w:val="26"/>
        </w:rPr>
        <w:t xml:space="preserve">2.2 Source-by-source narrative</w:t>
      </w:r>
    </w:p>
    <w:p>
      <w:pPr>
        <w:pStyle w:val="Heading3"/>
        <w:spacing w:after="180" w:before="360"/>
      </w:pPr>
      <w:r>
        <w:rPr>
          <w:sz w:val="22"/>
          <w:szCs w:val="22"/>
        </w:rPr>
        <w:t xml:space="preserve">Source 1: Sale of WaveTech Beijing (founder ownership stake, 2024) ($525,000)</w:t>
      </w:r>
    </w:p>
    <w:p>
      <w:pPr>
        <w:spacing w:after="160" w:line="320"/>
      </w:pPr>
      <w:r>
        <w:rPr>
          <w:sz w:val="22"/>
          <w:szCs w:val="22"/>
        </w:rPr>
        <w:t xml:space="preserve">These funds represent the proceeds from the sale of a prior business stake by Wei Zhang. The sale was at arm's length and the source of the original ownership stake is itself documented in the prior-business exhibits. Documentary evidence is provided as Sale agreement (translated), share register entry showing prior 100% ownership, deposit records of sale proceeds, Chinese capital gains tax filing 2024, and source-of-asset documentation for the original founding stake in firm exhibits.</w:t>
      </w:r>
    </w:p>
    <w:p>
      <w:pPr>
        <w:pStyle w:val="Heading3"/>
        <w:spacing w:after="180" w:before="360"/>
      </w:pPr>
      <w:r>
        <w:rPr>
          <w:sz w:val="22"/>
          <w:szCs w:val="22"/>
        </w:rPr>
        <w:t xml:space="preserve">Source 2: Accumulated personal savings (2010-2024) ($315,000)</w:t>
      </w:r>
    </w:p>
    <w:p>
      <w:pPr>
        <w:spacing w:after="160" w:line="320"/>
      </w:pPr>
      <w:r>
        <w:rPr>
          <w:sz w:val="22"/>
          <w:szCs w:val="22"/>
        </w:rPr>
        <w:t xml:space="preserve">These funds represent Wei Zhang's accumulated personal savings from documented earnings. Tax filings, employment letters, and bank statements demonstrate accumulation pattern consistent with declared income. Documentary evidence is provided as 36 months of consecutive bank statements from Bank of China and ICBC, multi-year Chinese tax returns 2010-2024, employment verification letters, and accumulation pattern analysis in firm exhibits.</w:t>
      </w:r>
    </w:p>
    <w:p>
      <w:pPr>
        <w:pStyle w:val="Heading3"/>
        <w:spacing w:after="180" w:before="360"/>
      </w:pPr>
      <w:r>
        <w:rPr>
          <w:sz w:val="22"/>
          <w:szCs w:val="22"/>
        </w:rPr>
        <w:t xml:space="preserve">Source 3: Documented inheritance from petitioner's late father (2018) ($210,000)</w:t>
      </w:r>
    </w:p>
    <w:p>
      <w:pPr>
        <w:spacing w:after="160" w:line="320"/>
      </w:pPr>
      <w:r>
        <w:rPr>
          <w:sz w:val="22"/>
          <w:szCs w:val="22"/>
        </w:rPr>
        <w:t xml:space="preserve">These funds represent a documented inheritance received by Wei Zhang. Donor source-of-funds documentation establishes that the donor acquired the funds lawfully. Documentary evidence is provided as Death certificate, probate documentation, donor source documentation including father's bank statements 2010-2017, donor employment history, inheritance transfer records, and inheritance tax filings in firm exhibits.</w:t>
      </w:r>
    </w:p>
    <w:p>
      <w:pPr>
        <w:pStyle w:val="Heading2"/>
        <w:spacing w:after="180" w:before="360"/>
      </w:pPr>
      <w:r>
        <w:rPr>
          <w:sz w:val="26"/>
          <w:szCs w:val="26"/>
        </w:rPr>
        <w:t xml:space="preserve">2.3 Documentation standards (EB-5-specific)</w:t>
      </w:r>
    </w:p>
    <w:p>
      <w:pPr>
        <w:spacing w:after="160" w:line="320"/>
      </w:pPr>
      <w:r>
        <w:rPr>
          <w:sz w:val="22"/>
          <w:szCs w:val="22"/>
        </w:rPr>
        <w:t xml:space="preserve">For each source listed above, the firm of record provides the following EB-5-grade documentation:</w:t>
      </w:r>
    </w:p>
    <w:p>
      <w:pPr>
        <w:spacing w:after="160" w:line="320"/>
      </w:pPr>
      <w:r>
        <w:rPr>
          <w:b/>
          <w:bCs/>
          <w:sz w:val="22"/>
          <w:szCs w:val="22"/>
        </w:rPr>
        <w:t xml:space="preserve">For accumulated savings from employment income:</w:t>
      </w:r>
    </w:p>
    <w:p>
      <w:pPr>
        <w:pStyle w:val="ListParagraph"/>
        <w:numPr>
          <w:ilvl w:val="0"/>
          <w:numId w:val="1"/>
        </w:numPr>
        <w:spacing w:after="80" w:line="300"/>
      </w:pPr>
      <w:r>
        <w:rPr>
          <w:sz w:val="22"/>
          <w:szCs w:val="22"/>
        </w:rPr>
        <w:t xml:space="preserve">Tax returns from China for the relevant accumulation years</w:t>
      </w:r>
    </w:p>
    <w:p>
      <w:pPr>
        <w:pStyle w:val="ListParagraph"/>
        <w:numPr>
          <w:ilvl w:val="0"/>
          <w:numId w:val="1"/>
        </w:numPr>
        <w:spacing w:after="80" w:line="300"/>
      </w:pPr>
      <w:r>
        <w:rPr>
          <w:sz w:val="22"/>
          <w:szCs w:val="22"/>
        </w:rPr>
        <w:t xml:space="preserve">Employment verification letters with title, dates, salary</w:t>
      </w:r>
    </w:p>
    <w:p>
      <w:pPr>
        <w:pStyle w:val="ListParagraph"/>
        <w:numPr>
          <w:ilvl w:val="0"/>
          <w:numId w:val="1"/>
        </w:numPr>
        <w:spacing w:after="80" w:line="300"/>
      </w:pPr>
      <w:r>
        <w:rPr>
          <w:sz w:val="22"/>
          <w:szCs w:val="22"/>
        </w:rPr>
        <w:t xml:space="preserve">Bank statements showing accumulation pattern</w:t>
      </w:r>
    </w:p>
    <w:p>
      <w:pPr>
        <w:pStyle w:val="ListParagraph"/>
        <w:numPr>
          <w:ilvl w:val="0"/>
          <w:numId w:val="1"/>
        </w:numPr>
        <w:spacing w:after="80" w:line="300"/>
      </w:pPr>
      <w:r>
        <w:rPr>
          <w:sz w:val="22"/>
          <w:szCs w:val="22"/>
        </w:rPr>
        <w:t xml:space="preserve">Payroll records or equivalent</w:t>
      </w:r>
    </w:p>
    <w:p>
      <w:pPr>
        <w:spacing w:after="160" w:line="320"/>
      </w:pPr>
      <w:r>
        <w:rPr>
          <w:b/>
          <w:bCs/>
          <w:sz w:val="22"/>
          <w:szCs w:val="22"/>
        </w:rPr>
        <w:t xml:space="preserve">For sale of personal or business assets:</w:t>
      </w:r>
    </w:p>
    <w:p>
      <w:pPr>
        <w:pStyle w:val="ListParagraph"/>
        <w:numPr>
          <w:ilvl w:val="0"/>
          <w:numId w:val="1"/>
        </w:numPr>
        <w:spacing w:after="80" w:line="300"/>
      </w:pPr>
      <w:r>
        <w:rPr>
          <w:sz w:val="22"/>
          <w:szCs w:val="22"/>
        </w:rPr>
        <w:t xml:space="preserve">Sale agreement (translated where applicable)</w:t>
      </w:r>
    </w:p>
    <w:p>
      <w:pPr>
        <w:pStyle w:val="ListParagraph"/>
        <w:numPr>
          <w:ilvl w:val="0"/>
          <w:numId w:val="1"/>
        </w:numPr>
        <w:spacing w:after="80" w:line="300"/>
      </w:pPr>
      <w:r>
        <w:rPr>
          <w:sz w:val="22"/>
          <w:szCs w:val="22"/>
        </w:rPr>
        <w:t xml:space="preserve">Title transfer or share register entry</w:t>
      </w:r>
    </w:p>
    <w:p>
      <w:pPr>
        <w:pStyle w:val="ListParagraph"/>
        <w:numPr>
          <w:ilvl w:val="0"/>
          <w:numId w:val="1"/>
        </w:numPr>
        <w:spacing w:after="80" w:line="300"/>
      </w:pPr>
      <w:r>
        <w:rPr>
          <w:sz w:val="22"/>
          <w:szCs w:val="22"/>
        </w:rPr>
        <w:t xml:space="preserve">Deposit records showing receipt of sale proceeds</w:t>
      </w:r>
    </w:p>
    <w:p>
      <w:pPr>
        <w:pStyle w:val="ListParagraph"/>
        <w:numPr>
          <w:ilvl w:val="0"/>
          <w:numId w:val="1"/>
        </w:numPr>
        <w:spacing w:after="80" w:line="300"/>
      </w:pPr>
      <w:r>
        <w:rPr>
          <w:sz w:val="22"/>
          <w:szCs w:val="22"/>
        </w:rPr>
        <w:t xml:space="preserve">Tax filings reflecting capital gains</w:t>
      </w:r>
    </w:p>
    <w:p>
      <w:pPr>
        <w:pStyle w:val="ListParagraph"/>
        <w:numPr>
          <w:ilvl w:val="0"/>
          <w:numId w:val="1"/>
        </w:numPr>
        <w:spacing w:after="80" w:line="300"/>
      </w:pPr>
      <w:r>
        <w:rPr>
          <w:sz w:val="22"/>
          <w:szCs w:val="22"/>
        </w:rPr>
        <w:t xml:space="preserve">Source-of-asset documentation (how the asset itself was lawfully acquired)</w:t>
      </w:r>
    </w:p>
    <w:p>
      <w:pPr>
        <w:spacing w:after="160" w:line="320"/>
      </w:pPr>
      <w:r>
        <w:rPr>
          <w:b/>
          <w:bCs/>
          <w:sz w:val="22"/>
          <w:szCs w:val="22"/>
        </w:rPr>
        <w:t xml:space="preserve">For inheritance or gift:</w:t>
      </w:r>
    </w:p>
    <w:p>
      <w:pPr>
        <w:pStyle w:val="ListParagraph"/>
        <w:numPr>
          <w:ilvl w:val="0"/>
          <w:numId w:val="1"/>
        </w:numPr>
        <w:spacing w:after="80" w:line="300"/>
      </w:pPr>
      <w:r>
        <w:rPr>
          <w:sz w:val="22"/>
          <w:szCs w:val="22"/>
        </w:rPr>
        <w:t xml:space="preserve">Death certificate or gift letter</w:t>
      </w:r>
    </w:p>
    <w:p>
      <w:pPr>
        <w:pStyle w:val="ListParagraph"/>
        <w:numPr>
          <w:ilvl w:val="0"/>
          <w:numId w:val="1"/>
        </w:numPr>
        <w:spacing w:after="80" w:line="300"/>
      </w:pPr>
      <w:r>
        <w:rPr>
          <w:sz w:val="22"/>
          <w:szCs w:val="22"/>
        </w:rPr>
        <w:t xml:space="preserve">Will or probate documentation</w:t>
      </w:r>
    </w:p>
    <w:p>
      <w:pPr>
        <w:pStyle w:val="ListParagraph"/>
        <w:numPr>
          <w:ilvl w:val="0"/>
          <w:numId w:val="1"/>
        </w:numPr>
        <w:spacing w:after="80" w:line="300"/>
      </w:pPr>
      <w:r>
        <w:rPr>
          <w:sz w:val="22"/>
          <w:szCs w:val="22"/>
        </w:rPr>
        <w:t xml:space="preserve">Donor source-of-funds documentation (bank statements, tax records, employment history) demonstrating that the donor acquired the funds lawfully</w:t>
      </w:r>
    </w:p>
    <w:p>
      <w:pPr>
        <w:pStyle w:val="ListParagraph"/>
        <w:numPr>
          <w:ilvl w:val="0"/>
          <w:numId w:val="1"/>
        </w:numPr>
        <w:spacing w:after="80" w:line="300"/>
      </w:pPr>
      <w:r>
        <w:rPr>
          <w:sz w:val="22"/>
          <w:szCs w:val="22"/>
        </w:rPr>
        <w:t xml:space="preserve">Bank records of the inheritance or gift transfer</w:t>
      </w:r>
    </w:p>
    <w:p>
      <w:pPr>
        <w:spacing w:after="160" w:line="320"/>
      </w:pPr>
      <w:r>
        <w:rPr>
          <w:b/>
          <w:bCs/>
          <w:sz w:val="22"/>
          <w:szCs w:val="22"/>
        </w:rPr>
        <w:t xml:space="preserve">For loans secured by petitioner's assets (where allowed):</w:t>
      </w:r>
    </w:p>
    <w:p>
      <w:pPr>
        <w:pStyle w:val="ListParagraph"/>
        <w:numPr>
          <w:ilvl w:val="0"/>
          <w:numId w:val="1"/>
        </w:numPr>
        <w:spacing w:after="80" w:line="300"/>
      </w:pPr>
      <w:r>
        <w:rPr>
          <w:sz w:val="22"/>
          <w:szCs w:val="22"/>
        </w:rPr>
        <w:t xml:space="preserve">Loan agreement with arm's-length terms</w:t>
      </w:r>
    </w:p>
    <w:p>
      <w:pPr>
        <w:pStyle w:val="ListParagraph"/>
        <w:numPr>
          <w:ilvl w:val="0"/>
          <w:numId w:val="1"/>
        </w:numPr>
        <w:spacing w:after="80" w:line="300"/>
      </w:pPr>
      <w:r>
        <w:rPr>
          <w:sz w:val="22"/>
          <w:szCs w:val="22"/>
        </w:rPr>
        <w:t xml:space="preserve">Collateral documentation</w:t>
      </w:r>
    </w:p>
    <w:p>
      <w:pPr>
        <w:pStyle w:val="ListParagraph"/>
        <w:numPr>
          <w:ilvl w:val="0"/>
          <w:numId w:val="1"/>
        </w:numPr>
        <w:spacing w:after="80" w:line="300"/>
      </w:pPr>
      <w:r>
        <w:rPr>
          <w:sz w:val="22"/>
          <w:szCs w:val="22"/>
        </w:rPr>
        <w:t xml:space="preserve">Demonstration that the collateral itself was lawfully acquired</w:t>
      </w:r>
    </w:p>
    <w:p>
      <w:pPr>
        <w:pStyle w:val="ListParagraph"/>
        <w:numPr>
          <w:ilvl w:val="0"/>
          <w:numId w:val="1"/>
        </w:numPr>
        <w:spacing w:after="80" w:line="300"/>
      </w:pPr>
      <w:r>
        <w:rPr>
          <w:sz w:val="22"/>
          <w:szCs w:val="22"/>
        </w:rPr>
        <w:t xml:space="preserve">Bank records of loan disbursement</w:t>
      </w:r>
    </w:p>
    <w:p>
      <w:pPr>
        <w:pStyle w:val="Heading2"/>
        <w:spacing w:after="180" w:before="360"/>
      </w:pPr>
      <w:r>
        <w:rPr>
          <w:sz w:val="26"/>
          <w:szCs w:val="26"/>
        </w:rPr>
        <w:t xml:space="preserve">2.4 Path of funds</w:t>
      </w:r>
    </w:p>
    <w:p>
      <w:pPr>
        <w:spacing w:after="160" w:line="320"/>
      </w:pPr>
      <w:r>
        <w:rPr>
          <w:sz w:val="22"/>
          <w:szCs w:val="22"/>
        </w:rPr>
        <w:t xml:space="preserve">Capital traveled from origin accounts to ZhangWave Solutions Inc.'s U.S. operating account through the following path:</w:t>
      </w:r>
    </w:p>
    <w:p>
      <w:pPr>
        <w:spacing w:after="80" w:line="300"/>
        <w:ind w:left="360"/>
      </w:pPr>
      <w:r>
        <w:rPr>
          <w:b/>
          <w:bCs/>
          <w:sz w:val="22"/>
          <w:szCs w:val="22"/>
        </w:rPr>
        <w:t xml:space="preserve">1. </w:t>
      </w:r>
      <w:r>
        <w:rPr>
          <w:b/>
          <w:bCs/>
          <w:sz w:val="22"/>
          <w:szCs w:val="22"/>
        </w:rPr>
        <w:t xml:space="preserve">Origin (in China):</w:t>
      </w:r>
      <w:r>
        <w:rPr>
          <w:sz w:val="22"/>
          <w:szCs w:val="22"/>
        </w:rPr>
        <w:t xml:space="preserve"> Funds originated in the petitioner's documented accounts as detailed in subsection 2.2 above. Each origin account is supported by documentation per subsection 2.3.</w:t>
      </w:r>
    </w:p>
    <w:p>
      <w:pPr>
        <w:spacing w:after="80" w:line="300"/>
        <w:ind w:left="360"/>
      </w:pPr>
      <w:r>
        <w:rPr>
          <w:b/>
          <w:bCs/>
          <w:sz w:val="22"/>
          <w:szCs w:val="22"/>
        </w:rPr>
        <w:t xml:space="preserve">2. </w:t>
      </w:r>
      <w:r>
        <w:rPr>
          <w:b/>
          <w:bCs/>
          <w:sz w:val="22"/>
          <w:szCs w:val="22"/>
        </w:rPr>
        <w:t xml:space="preserve">Aggregation:</w:t>
      </w:r>
      <w:r>
        <w:rPr>
          <w:sz w:val="22"/>
          <w:szCs w:val="22"/>
        </w:rPr>
        <w:t xml:space="preserve"> Funds were consolidated into the petitioner's primary China bank account in preparation for the international transfer. Consolidation records are provided in firm exhibits.</w:t>
      </w:r>
    </w:p>
    <w:p>
      <w:pPr>
        <w:spacing w:after="80" w:line="300"/>
        <w:ind w:left="360"/>
      </w:pPr>
      <w:r>
        <w:rPr>
          <w:b/>
          <w:bCs/>
          <w:sz w:val="22"/>
          <w:szCs w:val="22"/>
        </w:rPr>
        <w:t xml:space="preserve">3. </w:t>
      </w:r>
      <w:r>
        <w:rPr>
          <w:b/>
          <w:bCs/>
          <w:sz w:val="22"/>
          <w:szCs w:val="22"/>
        </w:rPr>
        <w:t xml:space="preserve">Currency conversion and international wire:</w:t>
      </w:r>
      <w:r>
        <w:rPr>
          <w:sz w:val="22"/>
          <w:szCs w:val="22"/>
        </w:rPr>
        <w:t xml:space="preserve"> Funds were converted from CNY to USD and wired to the petitioner's U.S. personal account at First Republic Bank (operating account at the New York midtown branch). Wire confirmation, exchange-rate documentation, and any intermediary bank records are provided in firm exhibits.</w:t>
      </w:r>
    </w:p>
    <w:p>
      <w:pPr>
        <w:spacing w:after="80" w:line="300"/>
        <w:ind w:left="360"/>
      </w:pPr>
      <w:r>
        <w:rPr>
          <w:b/>
          <w:bCs/>
          <w:sz w:val="22"/>
          <w:szCs w:val="22"/>
        </w:rPr>
        <w:t xml:space="preserve">4. </w:t>
      </w:r>
      <w:r>
        <w:rPr>
          <w:b/>
          <w:bCs/>
          <w:sz w:val="22"/>
          <w:szCs w:val="22"/>
        </w:rPr>
        <w:t xml:space="preserve">Operating account transfer:</w:t>
      </w:r>
      <w:r>
        <w:rPr>
          <w:sz w:val="22"/>
          <w:szCs w:val="22"/>
        </w:rPr>
        <w:t xml:space="preserve"> From the petitioner's U.S. personal account, funds were transferred to ZhangWave Solutions Inc.'s U.S. operating account, completing the at-risk deployment. Operating account statements are provided in firm exhibits.</w:t>
      </w:r>
    </w:p>
    <w:p>
      <w:pPr>
        <w:pStyle w:val="Heading2"/>
        <w:spacing w:after="180" w:before="360"/>
      </w:pPr>
      <w:r>
        <w:rPr>
          <w:sz w:val="26"/>
          <w:szCs w:val="26"/>
        </w:rPr>
        <w:t xml:space="preserve">2.5 Currency control compliance</w:t>
      </w:r>
    </w:p>
    <w:p>
      <w:pPr>
        <w:spacing w:after="160" w:line="320"/>
      </w:pPr>
      <w:r>
        <w:rPr>
          <w:sz w:val="22"/>
          <w:szCs w:val="22"/>
        </w:rPr>
        <w:t xml:space="preserve">The petitioner has complied with all applicable currency control or capital export regulations of China. Where China imposes currency controls or reporting requirements (e.g., outbound capital declarations, annual remittance limits), the firm of record provides documentation of compliance, including:</w:t>
      </w:r>
    </w:p>
    <w:p>
      <w:pPr>
        <w:pStyle w:val="ListParagraph"/>
        <w:numPr>
          <w:ilvl w:val="0"/>
          <w:numId w:val="1"/>
        </w:numPr>
        <w:spacing w:after="80" w:line="300"/>
      </w:pPr>
      <w:r>
        <w:rPr>
          <w:sz w:val="22"/>
          <w:szCs w:val="22"/>
        </w:rPr>
        <w:t xml:space="preserve">Required regulatory filings or approvals</w:t>
      </w:r>
    </w:p>
    <w:p>
      <w:pPr>
        <w:pStyle w:val="ListParagraph"/>
        <w:numPr>
          <w:ilvl w:val="0"/>
          <w:numId w:val="1"/>
        </w:numPr>
        <w:spacing w:after="80" w:line="300"/>
      </w:pPr>
      <w:r>
        <w:rPr>
          <w:sz w:val="22"/>
          <w:szCs w:val="22"/>
        </w:rPr>
        <w:t xml:space="preserve">Government-issued certificates or attestations</w:t>
      </w:r>
    </w:p>
    <w:p>
      <w:pPr>
        <w:pStyle w:val="ListParagraph"/>
        <w:numPr>
          <w:ilvl w:val="0"/>
          <w:numId w:val="1"/>
        </w:numPr>
        <w:spacing w:after="80" w:line="300"/>
      </w:pPr>
      <w:r>
        <w:rPr>
          <w:sz w:val="22"/>
          <w:szCs w:val="22"/>
        </w:rPr>
        <w:t xml:space="preserve">Tax-clearance documentation where required for outbound transfers</w:t>
      </w:r>
    </w:p>
    <w:p>
      <w:pPr>
        <w:pStyle w:val="Heading2"/>
        <w:spacing w:after="180" w:before="360"/>
      </w:pPr>
      <w:r>
        <w:rPr>
          <w:sz w:val="26"/>
          <w:szCs w:val="26"/>
        </w:rPr>
        <w:t xml:space="preserve">2.6 At-risk and irrevocable commitment</w:t>
      </w:r>
    </w:p>
    <w:p>
      <w:pPr>
        <w:spacing w:after="160" w:line="320"/>
      </w:pPr>
      <w:r>
        <w:rPr>
          <w:sz w:val="22"/>
          <w:szCs w:val="22"/>
        </w:rPr>
        <w:t xml:space="preserve">The $1,050,000 is fully at risk of loss in the event the enterprise fails. Specifically:</w:t>
      </w:r>
    </w:p>
    <w:p>
      <w:pPr>
        <w:pStyle w:val="ListParagraph"/>
        <w:numPr>
          <w:ilvl w:val="0"/>
          <w:numId w:val="1"/>
        </w:numPr>
        <w:spacing w:after="80" w:line="300"/>
      </w:pPr>
      <w:r>
        <w:rPr>
          <w:sz w:val="22"/>
          <w:szCs w:val="22"/>
        </w:rPr>
        <w:t xml:space="preserve">No portion of the funds is held in escrow or otherwise reversible upon I-526E denial</w:t>
      </w:r>
    </w:p>
    <w:p>
      <w:pPr>
        <w:pStyle w:val="ListParagraph"/>
        <w:numPr>
          <w:ilvl w:val="0"/>
          <w:numId w:val="1"/>
        </w:numPr>
        <w:spacing w:after="80" w:line="300"/>
      </w:pPr>
      <w:r>
        <w:rPr>
          <w:sz w:val="22"/>
          <w:szCs w:val="22"/>
        </w:rPr>
        <w:t xml:space="preserve">A substantial portion of the funds is committed to fixed-asset purchases, lease obligations, and pre-launch operating expenses with no resale value at par</w:t>
      </w:r>
    </w:p>
    <w:p>
      <w:pPr>
        <w:pStyle w:val="ListParagraph"/>
        <w:numPr>
          <w:ilvl w:val="0"/>
          <w:numId w:val="1"/>
        </w:numPr>
        <w:spacing w:after="80" w:line="300"/>
      </w:pPr>
      <w:r>
        <w:rPr>
          <w:sz w:val="22"/>
          <w:szCs w:val="22"/>
        </w:rPr>
        <w:t xml:space="preserve">The remaining capital is held in ZhangWave Solutions Inc.'s operating account subject to draw-down per the deployment schedule</w:t>
      </w:r>
    </w:p>
    <w:p>
      <w:pPr>
        <w:spacing w:after="160" w:line="320"/>
      </w:pPr>
      <w:r>
        <w:rPr>
          <w:sz w:val="22"/>
          <w:szCs w:val="22"/>
        </w:rPr>
        <w:t xml:space="preserve">The at-risk and irrevocable nature of the investment satisfies the standard set forth in Matter of Izummi and reaffirmed by the EB-5 Reform and Integrity Act of 2022.</w:t>
      </w:r>
    </w:p>
    <w:p>
      <w:pPr>
        <w:pStyle w:val="Heading2"/>
        <w:spacing w:after="180" w:before="360"/>
      </w:pPr>
      <w:r>
        <w:rPr>
          <w:sz w:val="26"/>
          <w:szCs w:val="26"/>
        </w:rPr>
        <w:t xml:space="preserve">2.7 Lawful source attestation</w:t>
      </w:r>
    </w:p>
    <w:p>
      <w:pPr>
        <w:spacing w:after="160" w:line="320"/>
      </w:pPr>
      <w:r>
        <w:rPr>
          <w:sz w:val="22"/>
          <w:szCs w:val="22"/>
        </w:rPr>
        <w:t xml:space="preserve">The petitioner attests, and the firm of record certifies through its review of supporting exhibits, that all funds invested in ZhangWave Solutions Inc. are derived from lawful sources. The firm of record has reviewed each source's documentary chain and has identified no gaps in the lawful-source narrative.</w:t>
      </w:r>
    </w:p>
    <w:p>
      <w:pPr>
        <w:pStyle w:val="Heading2"/>
        <w:spacing w:after="180" w:before="360"/>
      </w:pPr>
      <w:r>
        <w:rPr>
          <w:sz w:val="26"/>
          <w:szCs w:val="26"/>
        </w:rPr>
        <w:t xml:space="preserve">2.8 Outstanding documentation requests</w:t>
      </w:r>
    </w:p>
    <w:p>
      <w:pPr>
        <w:spacing w:after="160" w:line="320"/>
      </w:pPr>
      <w:r>
        <w:rPr>
          <w:sz w:val="22"/>
          <w:szCs w:val="22"/>
        </w:rPr>
        <w:t xml:space="preserve">If the adjudicator requires additional source-of-funds documentation beyond what is provided in the I-526E exhibits, the firm of record will furnish such documentation upon request. The firm retains relationships with the petitioner's banks, accountants, and tax authorities in China sufficient to obtain additional records on standard RFE timelines.</w:t>
      </w:r>
    </w:p>
    <w:p>
      <w:pPr>
        <w:pStyle w:val="Heading1"/>
        <w:pageBreakBefore/>
        <w:spacing w:after="180" w:before="480"/>
      </w:pPr>
      <w:r>
        <w:rPr>
          <w:sz w:val="32"/>
          <w:szCs w:val="32"/>
        </w:rPr>
        <w:t xml:space="preserve">EB-5 Immigrant Investor Eligibility</w:t>
      </w:r>
    </w:p>
    <w:p>
      <w:pPr>
        <w:spacing w:after="160" w:line="320"/>
      </w:pPr>
      <w:r>
        <w:rPr>
          <w:sz w:val="22"/>
          <w:szCs w:val="22"/>
        </w:rPr>
        <w:t xml:space="preserve">This section addresses the operative EB-5 eligibility criteria as set forth in 8 CFR 204.6, INA Section 203(b)(5), the EB-5 Reform and Integrity Act of 2022 (RIA), and the USCIS Policy Manual Vol. 6, Pt. G. Each subsection presents the supporting analysis for one criterion. Documentary exhibits supporting these analyses are provided by the firm of record.</w:t>
      </w:r>
    </w:p>
    <w:p>
      <w:pPr>
        <w:pStyle w:val="Heading2"/>
        <w:spacing w:after="180" w:before="360"/>
      </w:pPr>
      <w:r>
        <w:rPr>
          <w:sz w:val="26"/>
          <w:szCs w:val="26"/>
        </w:rPr>
        <w:t xml:space="preserve">1. Required investment amount</w:t>
      </w:r>
    </w:p>
    <w:p>
      <w:pPr>
        <w:spacing w:after="160" w:line="320"/>
      </w:pPr>
      <w:r>
        <w:rPr>
          <w:sz w:val="22"/>
          <w:szCs w:val="22"/>
        </w:rPr>
        <w:t xml:space="preserve">The petitioner Wei Zhang is investing $1,050,000 in ZhangWave Solutions Inc., satisfying the EB-5 minimum investment threshold under a non-TEA standard investment.</w:t>
      </w:r>
    </w:p>
    <w:p>
      <w:pPr>
        <w:spacing w:after="160" w:line="320"/>
      </w:pPr>
      <w:r>
        <w:rPr>
          <w:b/>
          <w:bCs/>
          <w:sz w:val="22"/>
          <w:szCs w:val="22"/>
        </w:rPr>
        <w:t xml:space="preserve">Investment basis:</w:t>
      </w:r>
      <w:r>
        <w:rPr>
          <w:sz w:val="22"/>
          <w:szCs w:val="22"/>
        </w:rPr>
        <w:t xml:space="preserve"> The petitioner has invested $1,050,000 in ZhangWave Solutions Inc., which equals or exceeds the EB-5 minimum investment threshold of $1,050,000 for a non-TEA standard investment.</w:t>
      </w:r>
    </w:p>
    <w:p>
      <w:pPr>
        <w:spacing w:after="160" w:line="320"/>
      </w:pPr>
      <w:r>
        <w:rPr>
          <w:b/>
          <w:bCs/>
          <w:sz w:val="22"/>
          <w:szCs w:val="22"/>
        </w:rPr>
        <w:t xml:space="preserve">Targeted Employment Area (TEA) status:</w:t>
      </w:r>
      <w:r>
        <w:rPr>
          <w:sz w:val="22"/>
          <w:szCs w:val="22"/>
        </w:rPr>
        <w:t xml:space="preserve"> The investment is made in a non-TEA location, meeting the standard $1,050,000 minimum investment threshold under 8 CFR 204.6(f).</w:t>
      </w:r>
    </w:p>
    <w:p>
      <w:pPr>
        <w:spacing w:after="160" w:line="320"/>
      </w:pPr>
      <w:r>
        <w:rPr>
          <w:sz w:val="22"/>
          <w:szCs w:val="22"/>
        </w:rPr>
        <w:t xml:space="preserve">The investment amount and TEA designation are confirmed by the documentation provided by the firm of record as petition exhibits, including any TEA designation letters from the relevant state agency where applicable.</w:t>
      </w:r>
    </w:p>
    <w:p>
      <w:pPr>
        <w:pStyle w:val="Heading2"/>
        <w:spacing w:after="180" w:before="360"/>
      </w:pPr>
      <w:r>
        <w:rPr>
          <w:sz w:val="26"/>
          <w:szCs w:val="26"/>
        </w:rPr>
        <w:t xml:space="preserve">2. Lawful source of funds</w:t>
      </w:r>
    </w:p>
    <w:p>
      <w:pPr>
        <w:spacing w:after="160" w:line="320"/>
      </w:pPr>
      <w:r>
        <w:rPr>
          <w:sz w:val="22"/>
          <w:szCs w:val="22"/>
        </w:rPr>
        <w:t xml:space="preserve">The $1,050,000 invested in ZhangWave Solutions Inc. is derived from lawful sources, as detailed in Section 2 (Source of Funds Narrative). The narrative traces every dollar from origin through the U.S. capital deployment and is supported by documentary exhibits provided by the firm of record.</w:t>
      </w:r>
    </w:p>
    <w:p>
      <w:pPr>
        <w:spacing w:after="160" w:line="320"/>
      </w:pPr>
      <w:r>
        <w:rPr>
          <w:sz w:val="22"/>
          <w:szCs w:val="22"/>
        </w:rPr>
        <w:t xml:space="preserve">EB-5 source-of-funds documentation is held to a higher evidentiary standard than other visa categories. The firm of record retains responsibility for the completeness, authentication, and chain-of-custody integrity of all source-of-funds exhibits.</w:t>
      </w:r>
    </w:p>
    <w:p>
      <w:pPr>
        <w:pStyle w:val="Heading2"/>
        <w:spacing w:after="180" w:before="360"/>
      </w:pPr>
      <w:r>
        <w:rPr>
          <w:sz w:val="26"/>
          <w:szCs w:val="26"/>
        </w:rPr>
        <w:t xml:space="preserve">3. At-risk capital deployment</w:t>
      </w:r>
    </w:p>
    <w:p>
      <w:pPr>
        <w:spacing w:after="160" w:line="320"/>
      </w:pPr>
      <w:r>
        <w:rPr>
          <w:sz w:val="22"/>
          <w:szCs w:val="22"/>
        </w:rPr>
        <w:t xml:space="preserve">The $1,050,000 of capital is fully at risk under the standard set forth in Matter of Izummi and reaffirmed by the EB-5 Reform and Integrity Act of 2022. The funds are:</w:t>
      </w:r>
    </w:p>
    <w:p>
      <w:pPr>
        <w:pStyle w:val="ListParagraph"/>
        <w:numPr>
          <w:ilvl w:val="0"/>
          <w:numId w:val="1"/>
        </w:numPr>
        <w:spacing w:after="80" w:line="300"/>
      </w:pPr>
      <w:r>
        <w:rPr>
          <w:sz w:val="22"/>
          <w:szCs w:val="22"/>
        </w:rPr>
        <w:t xml:space="preserve">Transferred to ZhangWave Solutions Inc.'s U.S. operating account at First Republic Bank (operating account at the New York midtown branch) as of 2026-02-20</w:t>
      </w:r>
    </w:p>
    <w:p>
      <w:pPr>
        <w:pStyle w:val="ListParagraph"/>
        <w:numPr>
          <w:ilvl w:val="0"/>
          <w:numId w:val="1"/>
        </w:numPr>
        <w:spacing w:after="80" w:line="300"/>
      </w:pPr>
      <w:r>
        <w:rPr>
          <w:sz w:val="22"/>
          <w:szCs w:val="22"/>
        </w:rPr>
        <w:t xml:space="preserve">Committed or being committed to operating capital, fixed assets, and pre-revenue expenses per the deployment schedule</w:t>
      </w:r>
    </w:p>
    <w:p>
      <w:pPr>
        <w:pStyle w:val="ListParagraph"/>
        <w:numPr>
          <w:ilvl w:val="0"/>
          <w:numId w:val="1"/>
        </w:numPr>
        <w:spacing w:after="80" w:line="300"/>
      </w:pPr>
      <w:r>
        <w:rPr>
          <w:sz w:val="22"/>
          <w:szCs w:val="22"/>
        </w:rPr>
        <w:t xml:space="preserve">Subject to partial or total loss in the event the enterprise fails</w:t>
      </w:r>
    </w:p>
    <w:p>
      <w:pPr>
        <w:pStyle w:val="ListParagraph"/>
        <w:numPr>
          <w:ilvl w:val="0"/>
          <w:numId w:val="1"/>
        </w:numPr>
        <w:spacing w:after="80" w:line="300"/>
      </w:pPr>
      <w:r>
        <w:rPr>
          <w:sz w:val="22"/>
          <w:szCs w:val="22"/>
        </w:rPr>
        <w:t xml:space="preserve">Not held in escrow contingent on visa approval and not otherwise reversible upon visa denial</w:t>
      </w:r>
    </w:p>
    <w:p>
      <w:pPr>
        <w:spacing w:after="160" w:line="320"/>
      </w:pPr>
      <w:r>
        <w:rPr>
          <w:b/>
          <w:bCs/>
          <w:sz w:val="22"/>
          <w:szCs w:val="22"/>
        </w:rPr>
        <w:t xml:space="preserve">Capital deployment timeline:</w:t>
      </w:r>
    </w:p>
    <w:p>
      <w:pPr>
        <w:spacing w:after="160" w:line="320"/>
      </w:pPr>
      <w:r>
        <w:rPr>
          <w:sz w:val="22"/>
          <w:szCs w:val="22"/>
        </w:rPr>
        <w:t xml:space="preserve">Phase 1 (Months 0-3): $420,000 deployed to lease, build-out, and core equipment. Phase 2 (Months 4-12): $367,500 deployed to operating capital, hiring ramp, and inventory. Phase 3 (Months 13-24): $262,500 deployed to expansion capital and working capital reserve. Deployment milestones are tied to operational milestones in Section 9 and revenue milestones in Section 7.</w:t>
      </w:r>
    </w:p>
    <w:p>
      <w:pPr>
        <w:spacing w:after="160" w:line="320"/>
      </w:pPr>
      <w:r>
        <w:rPr>
          <w:b/>
          <w:bCs/>
          <w:sz w:val="22"/>
          <w:szCs w:val="22"/>
        </w:rPr>
        <w:t xml:space="preserve">Deployment status as of plan date:</w:t>
      </w:r>
      <w:r>
        <w:rPr>
          <w:sz w:val="22"/>
          <w:szCs w:val="22"/>
        </w:rPr>
        <w:t xml:space="preserve"> $685,000 deployed, balance committed per the deployment schedule.</w:t>
      </w:r>
    </w:p>
    <w:p>
      <w:pPr>
        <w:spacing w:after="160" w:line="320"/>
      </w:pPr>
      <w:r>
        <w:rPr>
          <w:sz w:val="22"/>
          <w:szCs w:val="22"/>
        </w:rPr>
        <w:t xml:space="preserve">The at-risk and deployment-timeline narrative satisfies the standard set forth in Matter of Ho and the USCIS Policy Manual.</w:t>
      </w:r>
    </w:p>
    <w:p>
      <w:pPr>
        <w:pStyle w:val="Heading2"/>
        <w:spacing w:after="180" w:before="360"/>
      </w:pPr>
      <w:r>
        <w:rPr>
          <w:sz w:val="26"/>
          <w:szCs w:val="26"/>
        </w:rPr>
        <w:t xml:space="preserve">4. Job creation: 10 full-time U.S. jobs in 2 years</w:t>
      </w:r>
    </w:p>
    <w:p>
      <w:pPr>
        <w:spacing w:after="160" w:line="320"/>
      </w:pPr>
      <w:r>
        <w:rPr>
          <w:sz w:val="22"/>
          <w:szCs w:val="22"/>
        </w:rPr>
        <w:t xml:space="preserve">ZhangWave Solutions Inc. will create at least 10 full-time U.S. jobs within the I-526E sustainment period. The job creation analysis follows USCIS guidance for direct EB-5 (non-Regional Center) investments.</w:t>
      </w:r>
    </w:p>
    <w:p>
      <w:pPr>
        <w:spacing w:after="160" w:line="320"/>
      </w:pPr>
      <w:r>
        <w:rPr>
          <w:b/>
          <w:bCs/>
          <w:sz w:val="22"/>
          <w:szCs w:val="22"/>
        </w:rPr>
        <w:t xml:space="preserve">Direct job creation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Pr>
          <w:p>
            <w:r>
              <w:rPr>
                <w:b/>
                <w:bCs/>
                <w:sz w:val="20"/>
                <w:szCs w:val="20"/>
              </w:rPr>
            </w:r>
          </w:p>
        </w:tc>
        <w:tc>
          <w:tcPr>
            <w:tcW w:type="pct" w:w="33%"/>
          </w:tcPr>
          <w:p>
            <w:r>
              <w:rPr>
                <w:b/>
                <w:bCs/>
                <w:sz w:val="20"/>
                <w:szCs w:val="20"/>
              </w:rPr>
            </w:r>
          </w:p>
        </w:tc>
        <w:tc>
          <w:tcPr>
            <w:tcW w:type="pct" w:w="33%"/>
          </w:tcPr>
          <w:p>
            <w:r>
              <w:rPr>
                <w:b/>
                <w:bCs/>
                <w:sz w:val="20"/>
                <w:szCs w:val="20"/>
              </w:rPr>
            </w:r>
          </w:p>
        </w:tc>
      </w:tr>
      <w:tr>
        <w:tc>
          <w:tcPr>
            <w:tcW w:type="pct" w:w="33%"/>
          </w:tcPr>
          <w:p>
            <w:r>
              <w:rPr>
                <w:sz w:val="20"/>
                <w:szCs w:val="20"/>
              </w:rPr>
              <w:t xml:space="preserve">Months 1-3</w:t>
            </w:r>
          </w:p>
        </w:tc>
        <w:tc>
          <w:tcPr>
            <w:tcW w:type="pct" w:w="33%"/>
          </w:tcPr>
          <w:p>
            <w:r>
              <w:rPr>
                <w:sz w:val="20"/>
                <w:szCs w:val="20"/>
              </w:rPr>
              <w:t xml:space="preserve">3</w:t>
            </w:r>
          </w:p>
        </w:tc>
        <w:tc>
          <w:tcPr>
            <w:tcW w:type="pct" w:w="33%"/>
          </w:tcPr>
          <w:p>
            <w:r>
              <w:rPr>
                <w:sz w:val="20"/>
                <w:szCs w:val="20"/>
              </w:rPr>
              <w:t xml:space="preserve">3</w:t>
            </w:r>
          </w:p>
        </w:tc>
      </w:tr>
      <w:tr>
        <w:tc>
          <w:tcPr>
            <w:tcW w:type="pct" w:w="33%"/>
          </w:tcPr>
          <w:p>
            <w:r>
              <w:rPr>
                <w:sz w:val="20"/>
                <w:szCs w:val="20"/>
              </w:rPr>
              <w:t xml:space="preserve">Months 4-6</w:t>
            </w:r>
          </w:p>
        </w:tc>
        <w:tc>
          <w:tcPr>
            <w:tcW w:type="pct" w:w="33%"/>
          </w:tcPr>
          <w:p>
            <w:r>
              <w:rPr>
                <w:sz w:val="20"/>
                <w:szCs w:val="20"/>
              </w:rPr>
              <w:t xml:space="preserve">3</w:t>
            </w:r>
          </w:p>
        </w:tc>
        <w:tc>
          <w:tcPr>
            <w:tcW w:type="pct" w:w="33%"/>
          </w:tcPr>
          <w:p>
            <w:r>
              <w:rPr>
                <w:sz w:val="20"/>
                <w:szCs w:val="20"/>
              </w:rPr>
              <w:t xml:space="preserve">5</w:t>
            </w:r>
          </w:p>
        </w:tc>
      </w:tr>
      <w:tr>
        <w:tc>
          <w:tcPr>
            <w:tcW w:type="pct" w:w="33%"/>
          </w:tcPr>
          <w:p>
            <w:r>
              <w:rPr>
                <w:sz w:val="20"/>
                <w:szCs w:val="20"/>
              </w:rPr>
              <w:t xml:space="preserve">Months 7-12</w:t>
            </w:r>
          </w:p>
        </w:tc>
        <w:tc>
          <w:tcPr>
            <w:tcW w:type="pct" w:w="33%"/>
          </w:tcPr>
          <w:p>
            <w:r>
              <w:rPr>
                <w:sz w:val="20"/>
                <w:szCs w:val="20"/>
              </w:rPr>
              <w:t xml:space="preserve">1</w:t>
            </w:r>
          </w:p>
        </w:tc>
        <w:tc>
          <w:tcPr>
            <w:tcW w:type="pct" w:w="33%"/>
          </w:tcPr>
          <w:p>
            <w:r>
              <w:rPr>
                <w:sz w:val="20"/>
                <w:szCs w:val="20"/>
              </w:rPr>
              <w:t xml:space="preserve">6</w:t>
            </w:r>
          </w:p>
        </w:tc>
      </w:tr>
      <w:tr>
        <w:tc>
          <w:tcPr>
            <w:tcW w:type="pct" w:w="33%"/>
          </w:tcPr>
          <w:p>
            <w:r>
              <w:rPr>
                <w:sz w:val="20"/>
                <w:szCs w:val="20"/>
              </w:rPr>
              <w:t xml:space="preserve">Year 2</w:t>
            </w:r>
          </w:p>
        </w:tc>
        <w:tc>
          <w:tcPr>
            <w:tcW w:type="pct" w:w="33%"/>
          </w:tcPr>
          <w:p>
            <w:r>
              <w:rPr>
                <w:sz w:val="20"/>
                <w:szCs w:val="20"/>
              </w:rPr>
              <w:t xml:space="preserve">6</w:t>
            </w:r>
          </w:p>
        </w:tc>
        <w:tc>
          <w:tcPr>
            <w:tcW w:type="pct" w:w="33%"/>
          </w:tcPr>
          <w:p>
            <w:r>
              <w:rPr>
                <w:sz w:val="20"/>
                <w:szCs w:val="20"/>
              </w:rPr>
              <w:t xml:space="preserve">12</w:t>
            </w:r>
          </w:p>
        </w:tc>
      </w:tr>
    </w:tbl>
    <w:p>
      <w:pPr>
        <w:spacing w:after="160" w:line="320"/>
      </w:pPr>
      <w:r>
        <w:rPr>
          <w:b/>
          <w:bCs/>
          <w:sz w:val="22"/>
          <w:szCs w:val="22"/>
        </w:rPr>
        <w:t xml:space="preserve">Total direct W-2 jobs at end of Year 2:</w:t>
      </w:r>
      <w:r>
        <w:rPr>
          <w:sz w:val="22"/>
          <w:szCs w:val="22"/>
        </w:rPr>
        <w:t xml:space="preserve"> {{cum</w:t>
      </w:r>
      <w:r>
        <w:rPr>
          <w:i/>
          <w:iCs/>
          <w:sz w:val="22"/>
          <w:szCs w:val="22"/>
        </w:rPr>
        <w:t xml:space="preserve">hires</w:t>
      </w:r>
      <w:r>
        <w:rPr>
          <w:sz w:val="22"/>
          <w:szCs w:val="22"/>
        </w:rPr>
        <w:t xml:space="preserve">y2}}</w:t>
      </w:r>
    </w:p>
    <w:p>
      <w:pPr>
        <w:spacing w:after="160" w:line="320"/>
      </w:pPr>
      <w:r>
        <w:rPr>
          <w:sz w:val="22"/>
          <w:szCs w:val="22"/>
        </w:rPr>
        <w:t xml:space="preserve">The position-level descriptions, full-time vs. part-time classification, and W-2 employment status are detailed in Section 8 (US Hiring Plan).</w:t>
      </w:r>
    </w:p>
    <w:p>
      <w:pPr>
        <w:spacing w:after="160" w:line="320"/>
      </w:pPr>
      <w:r>
        <w:rPr>
          <w:b/>
          <w:bCs/>
          <w:sz w:val="22"/>
          <w:szCs w:val="22"/>
        </w:rPr>
        <w:t xml:space="preserve">Cumulative U.S. payroll year 2:</w:t>
      </w:r>
      <w:r>
        <w:rPr>
          <w:sz w:val="22"/>
          <w:szCs w:val="22"/>
        </w:rPr>
        <w:t xml:space="preserve"> {{payroll_y2}}</w:t>
      </w:r>
    </w:p>
    <w:p>
      <w:pPr>
        <w:pStyle w:val="Heading3"/>
        <w:spacing w:after="180" w:before="360"/>
      </w:pPr>
      <w:r>
        <w:rPr>
          <w:sz w:val="22"/>
          <w:szCs w:val="22"/>
        </w:rPr>
        <w:t xml:space="preserve">4.1 Job creation methodology</w:t>
      </w:r>
    </w:p>
    <w:p>
      <w:pPr>
        <w:spacing w:after="160" w:line="320"/>
      </w:pPr>
      <w:r>
        <w:rPr>
          <w:sz w:val="22"/>
          <w:szCs w:val="22"/>
        </w:rPr>
        <w:t xml:space="preserve">For direct EB-5 investments (non-Regional Center), only full-time W-2 positions filled by qualifying U.S. workers count toward the 10-job requirement. The job creation in this plan is based on:</w:t>
      </w:r>
    </w:p>
    <w:p>
      <w:pPr>
        <w:pStyle w:val="ListParagraph"/>
        <w:numPr>
          <w:ilvl w:val="0"/>
          <w:numId w:val="1"/>
        </w:numPr>
        <w:spacing w:after="80" w:line="300"/>
      </w:pPr>
      <w:r>
        <w:rPr>
          <w:sz w:val="22"/>
          <w:szCs w:val="22"/>
        </w:rPr>
        <w:t xml:space="preserve">Year-1 direct hires required by the operating model (Section 7 financial projections)</w:t>
      </w:r>
    </w:p>
    <w:p>
      <w:pPr>
        <w:pStyle w:val="ListParagraph"/>
        <w:numPr>
          <w:ilvl w:val="0"/>
          <w:numId w:val="1"/>
        </w:numPr>
        <w:spacing w:after="80" w:line="300"/>
      </w:pPr>
      <w:r>
        <w:rPr>
          <w:sz w:val="22"/>
          <w:szCs w:val="22"/>
        </w:rPr>
        <w:t xml:space="preserve">Year-2 expansion hires aligned to revenue ramp</w:t>
      </w:r>
    </w:p>
    <w:p>
      <w:pPr>
        <w:pStyle w:val="ListParagraph"/>
        <w:numPr>
          <w:ilvl w:val="0"/>
          <w:numId w:val="1"/>
        </w:numPr>
        <w:spacing w:after="80" w:line="300"/>
      </w:pPr>
      <w:r>
        <w:rPr>
          <w:sz w:val="22"/>
          <w:szCs w:val="22"/>
        </w:rPr>
        <w:t xml:space="preserve">All positions structured as W-2 full-time with documented salary, role, and reporting structure</w:t>
      </w:r>
    </w:p>
    <w:p>
      <w:pPr>
        <w:spacing w:after="160" w:line="320"/>
      </w:pPr>
      <w:r>
        <w:rPr>
          <w:b/>
          <w:bCs/>
          <w:sz w:val="22"/>
          <w:szCs w:val="22"/>
        </w:rPr>
        <w:t xml:space="preserve">Buffer analysis:</w:t>
      </w:r>
      <w:r>
        <w:rPr>
          <w:sz w:val="22"/>
          <w:szCs w:val="22"/>
        </w:rPr>
        <w:t xml:space="preserve"> The plan creates 12 direct W-2 jobs by end of Year 2, exceeding the 10-job EB-5 threshold by 2 jobs. This buffer accommodates plausible attrition or hiring delay without falling below the regulatory minimum.</w:t>
      </w:r>
    </w:p>
    <w:p>
      <w:pPr>
        <w:pStyle w:val="Heading3"/>
        <w:spacing w:after="180" w:before="360"/>
      </w:pPr>
      <w:r>
        <w:rPr>
          <w:sz w:val="22"/>
          <w:szCs w:val="22"/>
        </w:rPr>
        <w:t xml:space="preserve">4.2 Indirect and induced jobs (informational only)</w:t>
      </w:r>
    </w:p>
    <w:p>
      <w:pPr>
        <w:spacing w:after="160" w:line="320"/>
      </w:pPr>
      <w:r>
        <w:rPr>
          <w:sz w:val="22"/>
          <w:szCs w:val="22"/>
        </w:rPr>
        <w:t xml:space="preserve">For non-Regional Center direct EB-5, indirect and induced jobs do NOT count toward the 10-job requirement. They are noted here for informational completeness only:</w:t>
      </w:r>
    </w:p>
    <w:p>
      <w:pPr>
        <w:pStyle w:val="ListParagraph"/>
        <w:numPr>
          <w:ilvl w:val="0"/>
          <w:numId w:val="1"/>
        </w:numPr>
        <w:spacing w:after="80" w:line="300"/>
      </w:pPr>
      <w:r>
        <w:rPr>
          <w:sz w:val="22"/>
          <w:szCs w:val="22"/>
        </w:rPr>
        <w:t xml:space="preserve">Estimated indirect jobs (vendors, supply chain, professional services): 17</w:t>
      </w:r>
    </w:p>
    <w:p>
      <w:pPr>
        <w:pStyle w:val="ListParagraph"/>
        <w:numPr>
          <w:ilvl w:val="0"/>
          <w:numId w:val="1"/>
        </w:numPr>
        <w:spacing w:after="80" w:line="300"/>
      </w:pPr>
      <w:r>
        <w:rPr>
          <w:sz w:val="22"/>
          <w:szCs w:val="22"/>
        </w:rPr>
        <w:t xml:space="preserve">Estimated induced jobs (employee household consumption multiplier): 20</w:t>
      </w:r>
    </w:p>
    <w:p>
      <w:pPr>
        <w:spacing w:after="160" w:line="320"/>
      </w:pPr>
      <w:r>
        <w:rPr>
          <w:sz w:val="22"/>
          <w:szCs w:val="22"/>
        </w:rPr>
        <w:t xml:space="preserve">These estimates use industry-typical RIMS II multipliers and are illustrative only. The 10-job EB-5 threshold is satisfied by direct W-2 hires alone, as detailed above.</w:t>
      </w:r>
    </w:p>
    <w:p>
      <w:pPr>
        <w:pStyle w:val="Heading2"/>
        <w:spacing w:after="180" w:before="360"/>
      </w:pPr>
      <w:r>
        <w:rPr>
          <w:sz w:val="26"/>
          <w:szCs w:val="26"/>
        </w:rPr>
        <w:t xml:space="preserve">5. New commercial enterprise</w:t>
      </w:r>
    </w:p>
    <w:p>
      <w:pPr>
        <w:spacing w:after="160" w:line="320"/>
      </w:pPr>
      <w:r>
        <w:rPr>
          <w:sz w:val="22"/>
          <w:szCs w:val="22"/>
        </w:rPr>
        <w:t xml:space="preserve">ZhangWave Solutions Inc. qualifies as a "new commercial enterprise" under 8 CFR 204.6(h):</w:t>
      </w:r>
    </w:p>
    <w:p>
      <w:pPr>
        <w:pStyle w:val="ListParagraph"/>
        <w:numPr>
          <w:ilvl w:val="0"/>
          <w:numId w:val="1"/>
        </w:numPr>
        <w:spacing w:after="80" w:line="300"/>
      </w:pPr>
      <w:r>
        <w:rPr>
          <w:sz w:val="22"/>
          <w:szCs w:val="22"/>
        </w:rPr>
        <w:t xml:space="preserve">Formed: February 2026 (Delaware C-Corporation)</w:t>
      </w:r>
    </w:p>
    <w:p>
      <w:pPr>
        <w:pStyle w:val="ListParagraph"/>
        <w:numPr>
          <w:ilvl w:val="0"/>
          <w:numId w:val="1"/>
        </w:numPr>
        <w:spacing w:after="80" w:line="300"/>
      </w:pPr>
      <w:r>
        <w:rPr>
          <w:sz w:val="22"/>
          <w:szCs w:val="22"/>
        </w:rPr>
        <w:t xml:space="preserve">Type: Delaware C-Corporation</w:t>
      </w:r>
    </w:p>
    <w:p>
      <w:pPr>
        <w:pStyle w:val="ListParagraph"/>
        <w:numPr>
          <w:ilvl w:val="0"/>
          <w:numId w:val="1"/>
        </w:numPr>
        <w:spacing w:after="80" w:line="300"/>
      </w:pPr>
      <w:r>
        <w:rPr>
          <w:sz w:val="22"/>
          <w:szCs w:val="22"/>
        </w:rPr>
        <w:t xml:space="preserve">New vs. acquired: New commercial enterprise formed for the EB-5 investment. Not an acquired entity.</w:t>
      </w:r>
    </w:p>
    <w:p>
      <w:pPr>
        <w:pStyle w:val="Heading2"/>
        <w:spacing w:after="180" w:before="360"/>
      </w:pPr>
      <w:r>
        <w:rPr>
          <w:sz w:val="26"/>
          <w:szCs w:val="26"/>
        </w:rPr>
        <w:t xml:space="preserve">6. Sustainment through I-829</w:t>
      </w:r>
    </w:p>
    <w:p>
      <w:pPr>
        <w:spacing w:after="160" w:line="320"/>
      </w:pPr>
      <w:r>
        <w:rPr>
          <w:sz w:val="22"/>
          <w:szCs w:val="22"/>
        </w:rPr>
        <w:t xml:space="preserve">The petitioner will sustain the $1,050,000 investment through the I-829 sustainment period. The five-year financial model (Section 7) demonstrates revenue growth, operating-margin expansion, and continuing capital deployment that supports sustainment of the investment.</w:t>
      </w:r>
    </w:p>
    <w:p>
      <w:pPr>
        <w:spacing w:after="160" w:line="320"/>
      </w:pPr>
      <w:r>
        <w:rPr>
          <w:sz w:val="22"/>
          <w:szCs w:val="22"/>
        </w:rPr>
        <w:t xml:space="preserve">The sustainment narrative is further supported by the operations plan (Section 9) and the cumulative job creation timeline above.</w:t>
      </w:r>
    </w:p>
    <w:p>
      <w:pPr>
        <w:pStyle w:val="Heading2"/>
        <w:spacing w:after="180" w:before="360"/>
      </w:pPr>
      <w:r>
        <w:rPr>
          <w:sz w:val="26"/>
          <w:szCs w:val="26"/>
        </w:rPr>
        <w:t xml:space="preserve">7. Petitioner involvement</w:t>
      </w:r>
    </w:p>
    <w:p>
      <w:pPr>
        <w:spacing w:after="160" w:line="320"/>
      </w:pPr>
      <w:r>
        <w:rPr>
          <w:sz w:val="22"/>
          <w:szCs w:val="22"/>
        </w:rPr>
        <w:t xml:space="preserve">EB-5 petitioners may take a passive or active role in the new commercial enterprise. The petitioner takes a passive investor role in ZhangWave Solutions Inc., consistent with EB-5 regulations. Day-to-day management is delegated to the U.S. management team detailed in Section 8. The petitioner exercises governance rights consistent with the equity stake but does not engage in day-to-day operations.</w:t>
      </w:r>
    </w:p>
    <w:p>
      <w:pPr>
        <w:spacing w:after="160" w:line="320"/>
      </w:pPr>
      <w:r>
        <w:rPr>
          <w:sz w:val="22"/>
          <w:szCs w:val="22"/>
        </w:rPr>
        <w:t xml:space="preserve">The petitioner's specific role and time commitment are detailed in Section 1 (Investor Background) and the U.S. operations governance documentation provided as firm exhibits.</w:t>
      </w:r>
    </w:p>
    <w:p>
      <w:pPr>
        <w:pStyle w:val="Heading2"/>
        <w:spacing w:after="180" w:before="360"/>
      </w:pPr>
      <w:r>
        <w:rPr>
          <w:sz w:val="26"/>
          <w:szCs w:val="26"/>
        </w:rPr>
        <w:t xml:space="preserve">8. Petition outlook</w:t>
      </w:r>
    </w:p>
    <w:p>
      <w:pPr>
        <w:spacing w:after="160" w:line="320"/>
      </w:pPr>
      <w:r>
        <w:rPr>
          <w:sz w:val="22"/>
          <w:szCs w:val="22"/>
        </w:rPr>
        <w:t xml:space="preserve">Based on the foregoing analysis, the financial projections in Section 7, the job creation timeline, and the source of funds documentation, the petition satisfies the operative EB-5 eligibility criteria under the EB-5 Reform and Integrity Act of 2022. Supporting documentation for each prong is provided by the firm of record as petition exhibits, and the firm retains responsibility for visa-category compliance verification and I-526E submission.</w:t>
      </w:r>
    </w:p>
    <w:p>
      <w:pPr>
        <w:pStyle w:val="Heading1"/>
        <w:pageBreakBefore/>
        <w:spacing w:after="240" w:before="480"/>
      </w:pPr>
      <w:r>
        <w:t xml:space="preserve">Executive Summary</w:t>
      </w:r>
    </w:p>
    <w:p>
      <w:pPr>
        <w:pStyle w:val="Heading2"/>
        <w:spacing w:after="180" w:before="360"/>
      </w:pPr>
      <w:r>
        <w:t xml:space="preserve">Overview</w:t>
      </w:r>
    </w:p>
    <w:p>
      <w:pPr>
        <w:spacing w:after="160" w:line="320"/>
      </w:pPr>
      <w:r>
        <w:rPr>
          <w:sz w:val="22"/>
          <w:szCs w:val="22"/>
        </w:rPr>
        <w:t xml:space="preserve">ZhangWave Solutions Inc. is a U.S. managed cloud security and compliance services company serving mid-market financial services clients in New York, NY. Formed in February 2026 as the EB-5 vehicle for petitioner Wei Zhang ($1,050,000 non-TEA standard investment), the enterprise will create 12 direct W-2 jobs by end of Year 2, exceeding the 10-job EB-5 threshold. The COO and U.S. management team operate the enterprise day-to-day; the petitioner takes a passive investor role consistent with EB-5 regulations. Year-1 revenue target of $1,400,000 from 8-12 active managed-services engagements, scaling to $7,200,000 by Year 5.</w:t>
      </w:r>
    </w:p>
    <w:p>
      <w:pPr>
        <w:pStyle w:val="Heading2"/>
        <w:spacing w:after="180" w:before="360"/>
      </w:pPr>
      <w:r>
        <w:t xml:space="preserve">Mission</w:t>
      </w:r>
    </w:p>
    <w:p>
      <w:pPr>
        <w:spacing w:after="160" w:line="320"/>
      </w:pPr>
      <w:r>
        <w:rPr>
          <w:sz w:val="22"/>
          <w:szCs w:val="22"/>
        </w:rPr>
        <w:t xml:space="preserve">Provide U.S. mid-market financial services with security and compliance services that mid-market firms typically can only afford from much larger consultancies.</w:t>
      </w:r>
    </w:p>
    <w:p>
      <w:pPr>
        <w:pStyle w:val="Heading2"/>
        <w:spacing w:after="180" w:before="360"/>
      </w:pPr>
      <w:r>
        <w:t xml:space="preserve">Vision</w:t>
      </w:r>
    </w:p>
    <w:p>
      <w:pPr>
        <w:spacing w:after="160" w:line="320"/>
      </w:pPr>
      <w:r>
        <w:rPr>
          <w:sz w:val="22"/>
          <w:szCs w:val="22"/>
        </w:rPr>
        <w:t xml:space="preserve">Become a top-25 U.S. mid-market managed security services provider by Year 7.</w:t>
      </w:r>
    </w:p>
    <w:p>
      <w:pPr>
        <w:pStyle w:val="Heading2"/>
        <w:spacing w:after="180" w:before="360"/>
      </w:pPr>
      <w:r>
        <w:t xml:space="preserve">Value Proposition</w:t>
      </w:r>
    </w:p>
    <w:p>
      <w:pPr>
        <w:spacing w:after="160" w:line="320"/>
      </w:pPr>
      <w:r>
        <w:rPr>
          <w:sz w:val="22"/>
          <w:szCs w:val="22"/>
        </w:rPr>
        <w:t xml:space="preserve">Senior engineering plus regulatory depth at mid-market accessible pricing.</w:t>
      </w:r>
    </w:p>
    <w:p>
      <w:pPr>
        <w:pStyle w:val="Heading2"/>
        <w:spacing w:after="180" w:before="360"/>
      </w:pPr>
      <w:r>
        <w:t xml:space="preserve">Key Projected Metrics</w:t>
      </w:r>
    </w:p>
    <w:p>
      <w:pPr>
        <w:pStyle w:val="ListParagraph"/>
        <w:numPr>
          <w:ilvl w:val="0"/>
          <w:numId w:val="1"/>
        </w:numPr>
        <w:spacing w:after="80" w:line="300"/>
      </w:pPr>
      <w:r>
        <w:rPr>
          <w:sz w:val="22"/>
          <w:szCs w:val="22"/>
        </w:rPr>
        <w:t xml:space="preserve">Year 1 revenue: $1,400,000</w:t>
      </w:r>
    </w:p>
    <w:p>
      <w:pPr>
        <w:pStyle w:val="ListParagraph"/>
        <w:numPr>
          <w:ilvl w:val="0"/>
          <w:numId w:val="1"/>
        </w:numPr>
        <w:spacing w:after="80" w:line="300"/>
      </w:pPr>
      <w:r>
        <w:rPr>
          <w:sz w:val="22"/>
          <w:szCs w:val="22"/>
        </w:rPr>
        <w:t xml:space="preserve">Year 2 revenue: $3,600,000</w:t>
      </w:r>
    </w:p>
    <w:p>
      <w:pPr>
        <w:pStyle w:val="ListParagraph"/>
        <w:numPr>
          <w:ilvl w:val="0"/>
          <w:numId w:val="1"/>
        </w:numPr>
        <w:spacing w:after="80" w:line="300"/>
      </w:pPr>
      <w:r>
        <w:rPr>
          <w:sz w:val="22"/>
          <w:szCs w:val="22"/>
        </w:rPr>
        <w:t xml:space="preserve">Year 1 direct W-2 jobs: 6</w:t>
      </w:r>
    </w:p>
    <w:p>
      <w:pPr>
        <w:pStyle w:val="ListParagraph"/>
        <w:numPr>
          <w:ilvl w:val="0"/>
          <w:numId w:val="1"/>
        </w:numPr>
        <w:spacing w:after="80" w:line="300"/>
      </w:pPr>
      <w:r>
        <w:rPr>
          <w:sz w:val="22"/>
          <w:szCs w:val="22"/>
        </w:rPr>
        <w:t xml:space="preserve">Year 2 cumulative direct W-2 jobs: 12 (EB-5 threshold + 2 buffer)</w:t>
      </w:r>
    </w:p>
    <w:p>
      <w:pPr>
        <w:pStyle w:val="ListParagraph"/>
        <w:numPr>
          <w:ilvl w:val="0"/>
          <w:numId w:val="1"/>
        </w:numPr>
        <w:spacing w:after="80" w:line="300"/>
      </w:pPr>
      <w:r>
        <w:rPr>
          <w:sz w:val="22"/>
          <w:szCs w:val="22"/>
        </w:rPr>
        <w:t xml:space="preserve">Year 5 revenue: $7,200,000 projected</w:t>
      </w:r>
    </w:p>
    <w:p>
      <w:pPr>
        <w:pStyle w:val="ListParagraph"/>
        <w:numPr>
          <w:ilvl w:val="0"/>
          <w:numId w:val="1"/>
        </w:numPr>
        <w:spacing w:after="80" w:line="300"/>
      </w:pPr>
      <w:r>
        <w:rPr>
          <w:sz w:val="22"/>
          <w:szCs w:val="22"/>
        </w:rPr>
        <w:t xml:space="preserve">Year 5 cumulative direct W-2 jobs: 22</w:t>
      </w:r>
    </w:p>
    <w:p>
      <w:pPr>
        <w:pStyle w:val="Heading1"/>
        <w:pageBreakBefore/>
        <w:spacing w:after="240" w:before="480"/>
      </w:pPr>
      <w:r>
        <w:t xml:space="preserve">Competitor Analysis</w:t>
      </w:r>
    </w:p>
    <w:p>
      <w:pPr>
        <w:spacing w:after="160" w:line="320"/>
      </w:pPr>
      <w:r>
        <w:rPr>
          <w:sz w:val="22"/>
          <w:szCs w:val="22"/>
        </w:rPr>
        <w:t xml:space="preserve">The U.S. mid-market managed security services space is competitive but underserved at the $1M-$10M client revenue band. Large consultancies (Accenture, Deloitte) target enterprise; small MSSPs lack regulatory depth.</w:t>
      </w:r>
    </w:p>
    <w:p>
      <w:pPr>
        <w:pStyle w:val="Heading2"/>
        <w:spacing w:after="180" w:before="360"/>
      </w:pPr>
      <w:r>
        <w:t xml:space="preserve">Competitor Profiles</w:t>
      </w:r>
    </w:p>
    <w:p>
      <w:pPr>
        <w:pStyle w:val="Heading3"/>
        <w:spacing w:after="120" w:before="240"/>
      </w:pPr>
      <w:r>
        <w:t xml:space="preserve">Arctic Wolf</w:t>
      </w:r>
    </w:p>
    <w:p>
      <w:pPr>
        <w:spacing w:after="160" w:line="320"/>
      </w:pPr>
      <w:r>
        <w:rPr>
          <w:sz w:val="22"/>
          <w:szCs w:val="22"/>
        </w:rPr>
        <w:t xml:space="preserve">MSSP with strong mid-market presence.</w:t>
      </w:r>
    </w:p>
    <w:p>
      <w:pPr>
        <w:spacing w:after="160" w:line="320"/>
      </w:pPr>
      <w:r>
        <w:rPr>
          <w:sz w:val="22"/>
          <w:szCs w:val="22"/>
        </w:rPr>
        <w:t xml:space="preserve">Estimated revenue: $430M annually</w:t>
      </w:r>
    </w:p>
    <w:p>
      <w:pPr>
        <w:spacing w:after="160" w:line="320"/>
      </w:pPr>
      <w:r>
        <w:rPr>
          <w:sz w:val="22"/>
          <w:szCs w:val="22"/>
        </w:rPr>
        <w:t xml:space="preserve">Pricing: $60K-$220K per year per client</w:t>
      </w:r>
    </w:p>
    <w:p>
      <w:pPr>
        <w:spacing w:after="160" w:line="320"/>
      </w:pPr>
      <w:r>
        <w:rPr>
          <w:sz w:val="22"/>
          <w:szCs w:val="22"/>
        </w:rPr>
        <w:t xml:space="preserve">Strengths:</w:t>
      </w:r>
    </w:p>
    <w:p>
      <w:pPr>
        <w:pStyle w:val="ListParagraph"/>
        <w:numPr>
          <w:ilvl w:val="0"/>
          <w:numId w:val="1"/>
        </w:numPr>
        <w:spacing w:after="80" w:line="300"/>
      </w:pPr>
      <w:r>
        <w:rPr>
          <w:sz w:val="22"/>
          <w:szCs w:val="22"/>
        </w:rPr>
        <w:t xml:space="preserve">Brand</w:t>
      </w:r>
    </w:p>
    <w:p>
      <w:pPr>
        <w:pStyle w:val="ListParagraph"/>
        <w:numPr>
          <w:ilvl w:val="0"/>
          <w:numId w:val="1"/>
        </w:numPr>
        <w:spacing w:after="80" w:line="300"/>
      </w:pPr>
      <w:r>
        <w:rPr>
          <w:sz w:val="22"/>
          <w:szCs w:val="22"/>
        </w:rPr>
        <w:t xml:space="preserve">Scale of detection capacity</w:t>
      </w:r>
    </w:p>
    <w:p>
      <w:pPr>
        <w:spacing w:after="160" w:line="320"/>
      </w:pPr>
      <w:r>
        <w:rPr>
          <w:sz w:val="22"/>
          <w:szCs w:val="22"/>
        </w:rPr>
        <w:t xml:space="preserve">Weaknesses:</w:t>
      </w:r>
    </w:p>
    <w:p>
      <w:pPr>
        <w:pStyle w:val="ListParagraph"/>
        <w:numPr>
          <w:ilvl w:val="0"/>
          <w:numId w:val="1"/>
        </w:numPr>
        <w:spacing w:after="80" w:line="300"/>
      </w:pPr>
      <w:r>
        <w:rPr>
          <w:sz w:val="22"/>
          <w:szCs w:val="22"/>
        </w:rPr>
        <w:t xml:space="preserve">Light on financial-services compliance specialization</w:t>
      </w:r>
    </w:p>
    <w:p>
      <w:pPr>
        <w:pStyle w:val="ListParagraph"/>
        <w:numPr>
          <w:ilvl w:val="0"/>
          <w:numId w:val="1"/>
        </w:numPr>
        <w:spacing w:after="80" w:line="300"/>
      </w:pPr>
      <w:r>
        <w:rPr>
          <w:sz w:val="22"/>
          <w:szCs w:val="22"/>
        </w:rPr>
        <w:t xml:space="preserve">High pricing for the SOC tier</w:t>
      </w:r>
    </w:p>
    <w:p>
      <w:pPr>
        <w:pStyle w:val="Heading3"/>
        <w:spacing w:after="120" w:before="240"/>
      </w:pPr>
      <w:r>
        <w:t xml:space="preserve">Coalfire</w:t>
      </w:r>
    </w:p>
    <w:p>
      <w:pPr>
        <w:spacing w:after="160" w:line="320"/>
      </w:pPr>
      <w:r>
        <w:rPr>
          <w:sz w:val="22"/>
          <w:szCs w:val="22"/>
        </w:rPr>
        <w:t xml:space="preserve">Compliance-focused consultancy.</w:t>
      </w:r>
    </w:p>
    <w:p>
      <w:pPr>
        <w:spacing w:after="160" w:line="320"/>
      </w:pPr>
      <w:r>
        <w:rPr>
          <w:sz w:val="22"/>
          <w:szCs w:val="22"/>
        </w:rPr>
        <w:t xml:space="preserve">Estimated revenue: $280M annually</w:t>
      </w:r>
    </w:p>
    <w:p>
      <w:pPr>
        <w:spacing w:after="160" w:line="320"/>
      </w:pPr>
      <w:r>
        <w:rPr>
          <w:sz w:val="22"/>
          <w:szCs w:val="22"/>
        </w:rPr>
        <w:t xml:space="preserve">Pricing: $80K-$300K per engagement</w:t>
      </w:r>
    </w:p>
    <w:p>
      <w:pPr>
        <w:spacing w:after="160" w:line="320"/>
      </w:pPr>
      <w:r>
        <w:rPr>
          <w:sz w:val="22"/>
          <w:szCs w:val="22"/>
        </w:rPr>
        <w:t xml:space="preserve">Strengths:</w:t>
      </w:r>
    </w:p>
    <w:p>
      <w:pPr>
        <w:pStyle w:val="ListParagraph"/>
        <w:numPr>
          <w:ilvl w:val="0"/>
          <w:numId w:val="1"/>
        </w:numPr>
        <w:spacing w:after="80" w:line="300"/>
      </w:pPr>
      <w:r>
        <w:rPr>
          <w:sz w:val="22"/>
          <w:szCs w:val="22"/>
        </w:rPr>
        <w:t xml:space="preserve">Compliance brand</w:t>
      </w:r>
    </w:p>
    <w:p>
      <w:pPr>
        <w:pStyle w:val="ListParagraph"/>
        <w:numPr>
          <w:ilvl w:val="0"/>
          <w:numId w:val="1"/>
        </w:numPr>
        <w:spacing w:after="80" w:line="300"/>
      </w:pPr>
      <w:r>
        <w:rPr>
          <w:sz w:val="22"/>
          <w:szCs w:val="22"/>
        </w:rPr>
        <w:t xml:space="preserve">Audit relationships</w:t>
      </w:r>
    </w:p>
    <w:p>
      <w:pPr>
        <w:spacing w:after="160" w:line="320"/>
      </w:pPr>
      <w:r>
        <w:rPr>
          <w:sz w:val="22"/>
          <w:szCs w:val="22"/>
        </w:rPr>
        <w:t xml:space="preserve">Weaknesses:</w:t>
      </w:r>
    </w:p>
    <w:p>
      <w:pPr>
        <w:pStyle w:val="ListParagraph"/>
        <w:numPr>
          <w:ilvl w:val="0"/>
          <w:numId w:val="1"/>
        </w:numPr>
        <w:spacing w:after="80" w:line="300"/>
      </w:pPr>
      <w:r>
        <w:rPr>
          <w:sz w:val="22"/>
          <w:szCs w:val="22"/>
        </w:rPr>
        <w:t xml:space="preserve">Compliance-only, limited managed-services</w:t>
      </w:r>
    </w:p>
    <w:p>
      <w:pPr>
        <w:pStyle w:val="ListParagraph"/>
        <w:numPr>
          <w:ilvl w:val="0"/>
          <w:numId w:val="1"/>
        </w:numPr>
        <w:spacing w:after="80" w:line="300"/>
      </w:pPr>
      <w:r>
        <w:rPr>
          <w:sz w:val="22"/>
          <w:szCs w:val="22"/>
        </w:rPr>
        <w:t xml:space="preserve">Project-based, not retainer</w:t>
      </w:r>
    </w:p>
    <w:p>
      <w:pPr>
        <w:pStyle w:val="Heading2"/>
        <w:spacing w:after="180" w:before="360"/>
      </w:pPr>
      <w:r>
        <w:t xml:space="preserve">Our Competitive Advantage</w:t>
      </w:r>
    </w:p>
    <w:p>
      <w:pPr>
        <w:spacing w:after="160" w:line="320"/>
      </w:pPr>
      <w:r>
        <w:rPr>
          <w:sz w:val="22"/>
          <w:szCs w:val="22"/>
        </w:rPr>
        <w:t xml:space="preserve">Compliance + managed security combined at $90K-$240K per year retainer, with senior-only delivery team.</w:t>
      </w:r>
    </w:p>
    <w:p>
      <w:pPr>
        <w:pStyle w:val="Heading2"/>
        <w:spacing w:after="180" w:before="360"/>
      </w:pPr>
      <w:r>
        <w:t xml:space="preserve">Market Gaps to Exploit</w:t>
      </w:r>
    </w:p>
    <w:p>
      <w:pPr>
        <w:pStyle w:val="ListParagraph"/>
        <w:numPr>
          <w:ilvl w:val="0"/>
          <w:numId w:val="1"/>
        </w:numPr>
        <w:spacing w:after="80" w:line="300"/>
      </w:pPr>
      <w:r>
        <w:rPr>
          <w:sz w:val="22"/>
          <w:szCs w:val="22"/>
        </w:rPr>
        <w:t xml:space="preserve">Mid-market FS firms underserved by large consultancies on retainer pricing</w:t>
      </w:r>
    </w:p>
    <w:p>
      <w:pPr>
        <w:pStyle w:val="ListParagraph"/>
        <w:numPr>
          <w:ilvl w:val="0"/>
          <w:numId w:val="1"/>
        </w:numPr>
        <w:spacing w:after="80" w:line="300"/>
      </w:pPr>
      <w:r>
        <w:rPr>
          <w:sz w:val="22"/>
          <w:szCs w:val="22"/>
        </w:rPr>
        <w:t xml:space="preserve">NYDFS Part 500 compliance specialization underserved</w:t>
      </w:r>
    </w:p>
    <w:p>
      <w:pPr>
        <w:pStyle w:val="Heading1"/>
        <w:pageBreakBefore/>
        <w:spacing w:after="240" w:before="480"/>
      </w:pPr>
      <w:r>
        <w:t xml:space="preserve">Market Analysis</w:t>
      </w:r>
    </w:p>
    <w:p>
      <w:pPr>
        <w:pStyle w:val="Heading2"/>
        <w:spacing w:after="180" w:before="360"/>
      </w:pPr>
      <w:r>
        <w:t xml:space="preserve">Industry Overview</w:t>
      </w:r>
    </w:p>
    <w:p>
      <w:pPr>
        <w:spacing w:after="160" w:line="320"/>
      </w:pPr>
      <w:r>
        <w:rPr>
          <w:sz w:val="22"/>
          <w:szCs w:val="22"/>
        </w:rPr>
        <w:t xml:space="preserve">U.S. managed cloud security services market grew from $19.5B in 2023 to $28.4B in 2025 according to Gartner. Mid-market financial services specifically driven by NYDFS Part 500, SEC cyber rules, and FINRA examinations.</w:t>
      </w:r>
    </w:p>
    <w:p>
      <w:pPr>
        <w:pStyle w:val="Heading2"/>
        <w:spacing w:after="180" w:before="360"/>
      </w:pPr>
      <w:r>
        <w:t xml:space="preserve">Market Size</w:t>
      </w:r>
    </w:p>
    <w:p>
      <w:pPr>
        <w:spacing w:after="160" w:line="320"/>
      </w:pPr>
      <w:r>
        <w:rPr>
          <w:sz w:val="22"/>
          <w:szCs w:val="22"/>
        </w:rPr>
        <w:t xml:space="preserve">TAM: $28.4B U.S. MSSP. SAM: $4.1B mid-market FS. SOM: $35-50M attainable for a senior-team boutique.</w:t>
      </w:r>
    </w:p>
    <w:p>
      <w:pPr>
        <w:pStyle w:val="Heading2"/>
        <w:spacing w:after="180" w:before="360"/>
      </w:pPr>
      <w:r>
        <w:t xml:space="preserve">Growth Rate</w:t>
      </w:r>
    </w:p>
    <w:p>
      <w:pPr>
        <w:spacing w:after="160" w:line="320"/>
      </w:pPr>
      <w:r>
        <w:rPr>
          <w:sz w:val="22"/>
          <w:szCs w:val="22"/>
        </w:rPr>
        <w:t xml:space="preserve">16 percent YoY for U.S. MSSP, 22 percent for FS-specific.</w:t>
      </w:r>
    </w:p>
    <w:p>
      <w:pPr>
        <w:pStyle w:val="Heading2"/>
        <w:spacing w:after="180" w:before="360"/>
      </w:pPr>
      <w:r>
        <w:t xml:space="preserve">Industry Trends</w:t>
      </w:r>
    </w:p>
    <w:p>
      <w:pPr>
        <w:pStyle w:val="ListParagraph"/>
        <w:numPr>
          <w:ilvl w:val="0"/>
          <w:numId w:val="1"/>
        </w:numPr>
        <w:spacing w:after="80" w:line="300"/>
      </w:pPr>
      <w:r>
        <w:rPr>
          <w:sz w:val="22"/>
          <w:szCs w:val="22"/>
        </w:rPr>
        <w:t xml:space="preserve">Tightening NYDFS and SEC cyber rules driving demand</w:t>
      </w:r>
    </w:p>
    <w:p>
      <w:pPr>
        <w:pStyle w:val="ListParagraph"/>
        <w:numPr>
          <w:ilvl w:val="0"/>
          <w:numId w:val="1"/>
        </w:numPr>
        <w:spacing w:after="80" w:line="300"/>
      </w:pPr>
      <w:r>
        <w:rPr>
          <w:sz w:val="22"/>
          <w:szCs w:val="22"/>
        </w:rPr>
        <w:t xml:space="preserve">Mid-market shifting from in-house to managed</w:t>
      </w:r>
    </w:p>
    <w:p>
      <w:pPr>
        <w:pStyle w:val="ListParagraph"/>
        <w:numPr>
          <w:ilvl w:val="0"/>
          <w:numId w:val="1"/>
        </w:numPr>
        <w:spacing w:after="80" w:line="300"/>
      </w:pPr>
      <w:r>
        <w:rPr>
          <w:sz w:val="22"/>
          <w:szCs w:val="22"/>
        </w:rPr>
        <w:t xml:space="preserve">AI-augmented detection reducing per-client cost</w:t>
      </w:r>
    </w:p>
    <w:p>
      <w:pPr>
        <w:pStyle w:val="ListParagraph"/>
        <w:numPr>
          <w:ilvl w:val="0"/>
          <w:numId w:val="1"/>
        </w:numPr>
        <w:spacing w:after="80" w:line="300"/>
      </w:pPr>
      <w:r>
        <w:rPr>
          <w:sz w:val="22"/>
          <w:szCs w:val="22"/>
        </w:rPr>
        <w:t xml:space="preserve">Increasing scrutiny on third-party (vendor) cyber risk</w:t>
      </w:r>
    </w:p>
    <w:p>
      <w:pPr>
        <w:pStyle w:val="Heading2"/>
        <w:spacing w:after="180" w:before="360"/>
      </w:pPr>
      <w:r>
        <w:t xml:space="preserve">Target Customer Profile</w:t>
      </w:r>
    </w:p>
    <w:p>
      <w:pPr>
        <w:pStyle w:val="Heading3"/>
        <w:spacing w:after="120" w:before="240"/>
      </w:pPr>
      <w:r>
        <w:t xml:space="preserve">Demographics</w:t>
      </w:r>
    </w:p>
    <w:p>
      <w:pPr>
        <w:spacing w:after="160" w:line="320"/>
      </w:pPr>
      <w:r>
        <w:rPr>
          <w:sz w:val="22"/>
          <w:szCs w:val="22"/>
        </w:rPr>
        <w:t xml:space="preserve">U.S. mid-market financial services firms ($50M-$500M revenue) headquartered in NY/NJ/CT/MA primarily.</w:t>
      </w:r>
    </w:p>
    <w:p>
      <w:pPr>
        <w:pStyle w:val="Heading3"/>
        <w:spacing w:after="120" w:before="240"/>
      </w:pPr>
      <w:r>
        <w:t xml:space="preserve">Psychographics</w:t>
      </w:r>
    </w:p>
    <w:p>
      <w:pPr>
        <w:spacing w:after="160" w:line="320"/>
      </w:pPr>
      <w:r>
        <w:rPr>
          <w:sz w:val="22"/>
          <w:szCs w:val="22"/>
        </w:rPr>
        <w:t xml:space="preserve">Risk-aware, regulation-driven, mid-market budgeted.</w:t>
      </w:r>
    </w:p>
    <w:p>
      <w:pPr>
        <w:pStyle w:val="Heading3"/>
        <w:spacing w:after="120" w:before="240"/>
      </w:pPr>
      <w:r>
        <w:t xml:space="preserve">Pain Points</w:t>
      </w:r>
    </w:p>
    <w:p>
      <w:pPr>
        <w:pStyle w:val="ListParagraph"/>
        <w:numPr>
          <w:ilvl w:val="0"/>
          <w:numId w:val="1"/>
        </w:numPr>
        <w:spacing w:after="80" w:line="300"/>
      </w:pPr>
      <w:r>
        <w:rPr>
          <w:sz w:val="22"/>
          <w:szCs w:val="22"/>
        </w:rPr>
        <w:t xml:space="preserve">Cannot afford Big-4 consultancy</w:t>
      </w:r>
    </w:p>
    <w:p>
      <w:pPr>
        <w:pStyle w:val="ListParagraph"/>
        <w:numPr>
          <w:ilvl w:val="0"/>
          <w:numId w:val="1"/>
        </w:numPr>
        <w:spacing w:after="80" w:line="300"/>
      </w:pPr>
      <w:r>
        <w:rPr>
          <w:sz w:val="22"/>
          <w:szCs w:val="22"/>
        </w:rPr>
        <w:t xml:space="preserve">Need NYDFS Part 500 compliance</w:t>
      </w:r>
    </w:p>
    <w:p>
      <w:pPr>
        <w:pStyle w:val="ListParagraph"/>
        <w:numPr>
          <w:ilvl w:val="0"/>
          <w:numId w:val="1"/>
        </w:numPr>
        <w:spacing w:after="80" w:line="300"/>
      </w:pPr>
      <w:r>
        <w:rPr>
          <w:sz w:val="22"/>
          <w:szCs w:val="22"/>
        </w:rPr>
        <w:t xml:space="preserve">In-house team too small to handle 24x7 detection</w:t>
      </w:r>
    </w:p>
    <w:p>
      <w:pPr>
        <w:pStyle w:val="Heading3"/>
        <w:spacing w:after="120" w:before="240"/>
      </w:pPr>
      <w:r>
        <w:t xml:space="preserve">Buying Behavior</w:t>
      </w:r>
    </w:p>
    <w:p>
      <w:pPr>
        <w:spacing w:after="160" w:line="320"/>
      </w:pPr>
      <w:r>
        <w:rPr>
          <w:sz w:val="22"/>
          <w:szCs w:val="22"/>
        </w:rPr>
        <w:t xml:space="preserve">Buys for 12-36 month engagements; renews if delivery quality and CISO relationship hold.</w:t>
      </w:r>
    </w:p>
    <w:p>
      <w:pPr>
        <w:pStyle w:val="Heading1"/>
        <w:pageBreakBefore/>
        <w:spacing w:after="240" w:before="480"/>
      </w:pPr>
      <w:r>
        <w:t xml:space="preserve">Marketing Strategy</w:t>
      </w:r>
    </w:p>
    <w:p>
      <w:pPr>
        <w:pStyle w:val="Heading2"/>
        <w:spacing w:after="180" w:before="360"/>
      </w:pPr>
      <w:r>
        <w:t xml:space="preserve">Positioning</w:t>
      </w:r>
    </w:p>
    <w:p>
      <w:pPr>
        <w:spacing w:after="160" w:line="320"/>
      </w:pPr>
      <w:r>
        <w:rPr>
          <w:sz w:val="22"/>
          <w:szCs w:val="22"/>
        </w:rPr>
        <w:t xml:space="preserve">Senior security and compliance, mid-market price.</w:t>
      </w:r>
    </w:p>
    <w:p>
      <w:pPr>
        <w:pStyle w:val="Heading2"/>
        <w:spacing w:after="180" w:before="360"/>
      </w:pPr>
      <w:r>
        <w:t xml:space="preserve">Marketing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t xml:space="preserve">Channel</w:t>
            </w:r>
          </w:p>
        </w:tc>
        <w:tc>
          <w:tcPr>
            <w:tcW w:type="pct" w:w="25%"/>
          </w:tcPr>
          <w:p>
            <w:r>
              <w:rPr>
                <w:b/>
                <w:bCs/>
                <w:sz w:val="20"/>
                <w:szCs w:val="20"/>
              </w:rPr>
              <w:t xml:space="preserve">Strategy</w:t>
            </w:r>
          </w:p>
        </w:tc>
        <w:tc>
          <w:tcPr>
            <w:tcW w:type="pct" w:w="25%"/>
          </w:tcPr>
          <w:p>
            <w:r>
              <w:rPr>
                <w:b/>
                <w:bCs/>
                <w:sz w:val="20"/>
                <w:szCs w:val="20"/>
              </w:rPr>
              <w:t xml:space="preserve">Estimated CAC</w:t>
            </w:r>
          </w:p>
        </w:tc>
        <w:tc>
          <w:tcPr>
            <w:tcW w:type="pct" w:w="25%"/>
          </w:tcPr>
          <w:p>
            <w:r>
              <w:rPr>
                <w:b/>
                <w:bCs/>
                <w:sz w:val="20"/>
                <w:szCs w:val="20"/>
              </w:rPr>
              <w:t xml:space="preserve">Priority</w:t>
            </w:r>
          </w:p>
        </w:tc>
      </w:tr>
      <w:tr>
        <w:tc>
          <w:tcPr>
            <w:tcW w:type="pct" w:w="25%"/>
          </w:tcPr>
          <w:p>
            <w:r>
              <w:rPr>
                <w:sz w:val="20"/>
                <w:szCs w:val="20"/>
              </w:rPr>
              <w:t xml:space="preserve">Direct sales to FS CISOs</w:t>
            </w:r>
          </w:p>
        </w:tc>
        <w:tc>
          <w:tcPr>
            <w:tcW w:type="pct" w:w="25%"/>
          </w:tcPr>
          <w:p>
            <w:r>
              <w:rPr>
                <w:sz w:val="20"/>
                <w:szCs w:val="20"/>
              </w:rPr>
              <w:t xml:space="preserve">Outbound to NY/NJ mid-market FS CISOs, conference presence at SIFMA Cybersecurity, RSA NYC.</w:t>
            </w:r>
          </w:p>
        </w:tc>
        <w:tc>
          <w:tcPr>
            <w:tcW w:type="pct" w:w="25%"/>
          </w:tcPr>
          <w:p>
            <w:r>
              <w:rPr>
                <w:sz w:val="20"/>
                <w:szCs w:val="20"/>
              </w:rPr>
              <w:t xml:space="preserve">$8,000-$14,000 per closed account</w:t>
            </w:r>
          </w:p>
        </w:tc>
        <w:tc>
          <w:tcPr>
            <w:tcW w:type="pct" w:w="25%"/>
          </w:tcPr>
          <w:p>
            <w:r>
              <w:rPr>
                <w:sz w:val="20"/>
                <w:szCs w:val="20"/>
              </w:rPr>
              <w:t xml:space="preserve">High</w:t>
            </w:r>
          </w:p>
        </w:tc>
      </w:tr>
      <w:tr>
        <w:tc>
          <w:tcPr>
            <w:tcW w:type="pct" w:w="25%"/>
          </w:tcPr>
          <w:p>
            <w:r>
              <w:rPr>
                <w:sz w:val="20"/>
                <w:szCs w:val="20"/>
              </w:rPr>
              <w:t xml:space="preserve">Partnerships with U.S. CPA and audit firms</w:t>
            </w:r>
          </w:p>
        </w:tc>
        <w:tc>
          <w:tcPr>
            <w:tcW w:type="pct" w:w="25%"/>
          </w:tcPr>
          <w:p>
            <w:r>
              <w:rPr>
                <w:sz w:val="20"/>
                <w:szCs w:val="20"/>
              </w:rPr>
              <w:t xml:space="preserve">Referral relationships with mid-market CPA firms doing SOC 2 audits.</w:t>
            </w:r>
          </w:p>
        </w:tc>
        <w:tc>
          <w:tcPr>
            <w:tcW w:type="pct" w:w="25%"/>
          </w:tcPr>
          <w:p>
            <w:r>
              <w:rPr>
                <w:sz w:val="20"/>
                <w:szCs w:val="20"/>
              </w:rPr>
              <w:t xml:space="preserve">$2,000 per referred account</w:t>
            </w:r>
          </w:p>
        </w:tc>
        <w:tc>
          <w:tcPr>
            <w:tcW w:type="pct" w:w="25%"/>
          </w:tcPr>
          <w:p>
            <w:r>
              <w:rPr>
                <w:sz w:val="20"/>
                <w:szCs w:val="20"/>
              </w:rPr>
              <w:t xml:space="preserve">High</w:t>
            </w:r>
          </w:p>
        </w:tc>
      </w:tr>
      <w:tr>
        <w:tc>
          <w:tcPr>
            <w:tcW w:type="pct" w:w="25%"/>
          </w:tcPr>
          <w:p>
            <w:r>
              <w:rPr>
                <w:sz w:val="20"/>
                <w:szCs w:val="20"/>
              </w:rPr>
              <w:t xml:space="preserve">Content (regulatory advisory)</w:t>
            </w:r>
          </w:p>
        </w:tc>
        <w:tc>
          <w:tcPr>
            <w:tcW w:type="pct" w:w="25%"/>
          </w:tcPr>
          <w:p>
            <w:r>
              <w:rPr>
                <w:sz w:val="20"/>
                <w:szCs w:val="20"/>
              </w:rPr>
              <w:t xml:space="preserve">Quarterly NYDFS/SEC cyber-rules briefings, hosted in person and broadcast.</w:t>
            </w:r>
          </w:p>
        </w:tc>
        <w:tc>
          <w:tcPr>
            <w:tcW w:type="pct" w:w="25%"/>
          </w:tcPr>
          <w:p>
            <w:r>
              <w:rPr>
                <w:sz w:val="20"/>
                <w:szCs w:val="20"/>
              </w:rPr>
              <w:t xml:space="preserve">$3,500 per inbound</w:t>
            </w:r>
          </w:p>
        </w:tc>
        <w:tc>
          <w:tcPr>
            <w:tcW w:type="pct" w:w="25%"/>
          </w:tcPr>
          <w:p>
            <w:r>
              <w:rPr>
                <w:sz w:val="20"/>
                <w:szCs w:val="20"/>
              </w:rPr>
              <w:t xml:space="preserve">Medium</w:t>
            </w:r>
          </w:p>
        </w:tc>
      </w:tr>
    </w:tbl>
    <w:p>
      <w:pPr>
        <w:pStyle w:val="Heading2"/>
        <w:spacing w:after="180" w:before="360"/>
      </w:pPr>
      <w:r>
        <w:t xml:space="preserve">Content Strategy</w:t>
      </w:r>
    </w:p>
    <w:p>
      <w:pPr>
        <w:spacing w:after="160" w:line="320"/>
      </w:pPr>
      <w:r>
        <w:rPr>
          <w:sz w:val="22"/>
          <w:szCs w:val="22"/>
        </w:rPr>
        <w:t xml:space="preserve">Quarterly regulatory briefings, monthly threat intelligence digest distributed to client CISOs and prospects.</w:t>
      </w:r>
    </w:p>
    <w:p>
      <w:pPr>
        <w:pStyle w:val="Heading2"/>
        <w:spacing w:after="180" w:before="360"/>
      </w:pPr>
      <w:r>
        <w:t xml:space="preserve">First 90 Days: Launch Plan</w:t>
      </w:r>
    </w:p>
    <w:p>
      <w:pPr>
        <w:spacing w:after="160" w:line="320"/>
      </w:pPr>
      <w:r>
        <w:rPr>
          <w:sz w:val="22"/>
          <w:szCs w:val="22"/>
        </w:rPr>
        <w:t xml:space="preserve">Q1 2026: founder + COO outreach to 80 NY/NJ mid-market FS firms. Q2: first 4 engagements signed. Q3: case study published, conference presence at SIFMA Cybersecurity. Q4: 8-10 active engagements, prepare Y2 expansion.</w:t>
      </w:r>
    </w:p>
    <w:p>
      <w:pPr>
        <w:pStyle w:val="Heading1"/>
        <w:pageBreakBefore/>
        <w:spacing w:after="180" w:before="480"/>
      </w:pPr>
      <w:r>
        <w:rPr>
          <w:sz w:val="32"/>
          <w:szCs w:val="32"/>
        </w:rPr>
        <w:t xml:space="preserve">Expanded Financial Model</w:t>
      </w:r>
    </w:p>
    <w:p>
      <w:pPr>
        <w:spacing w:after="160" w:line="320"/>
      </w:pPr>
      <w:r>
        <w:rPr>
          <w:sz w:val="22"/>
          <w:szCs w:val="22"/>
        </w:rPr>
        <w:t xml:space="preserve">This section presents the five-year financial model for ZhangWave Solutions Inc.. The model is constructed bottom-up from the operating assumptions detailed in the Operations Plan and the revenue model in the Executive Summary. All currency figures are in US dollars.</w:t>
      </w:r>
    </w:p>
    <w:p>
      <w:pPr>
        <w:pStyle w:val="Heading2"/>
        <w:spacing w:after="180" w:before="360"/>
      </w:pPr>
      <w:r>
        <w:rPr>
          <w:sz w:val="26"/>
          <w:szCs w:val="26"/>
        </w:rPr>
        <w:t xml:space="preserve">7.1 Modeling assumptions</w:t>
      </w:r>
    </w:p>
    <w:p>
      <w:pPr>
        <w:spacing w:after="160" w:line="320"/>
      </w:pPr>
      <w:r>
        <w:rPr>
          <w:sz w:val="22"/>
          <w:szCs w:val="22"/>
        </w:rPr>
        <w:t xml:space="preserve">The financial model rests on the following assumptions, derived from Managed cloud security and compliance services industry benchmarks and the enterprise-specific operating model:</w:t>
      </w:r>
    </w:p>
    <w:p>
      <w:pPr>
        <w:pStyle w:val="ListParagraph"/>
        <w:numPr>
          <w:ilvl w:val="0"/>
          <w:numId w:val="1"/>
        </w:numPr>
        <w:spacing w:after="80" w:line="300"/>
      </w:pPr>
      <w:r>
        <w:rPr>
          <w:sz w:val="22"/>
          <w:szCs w:val="22"/>
        </w:rPr>
        <w:t xml:space="preserve">Average annual revenue per client: $140,000</w:t>
      </w:r>
    </w:p>
    <w:p>
      <w:pPr>
        <w:pStyle w:val="ListParagraph"/>
        <w:numPr>
          <w:ilvl w:val="0"/>
          <w:numId w:val="1"/>
        </w:numPr>
        <w:spacing w:after="80" w:line="300"/>
      </w:pPr>
      <w:r>
        <w:rPr>
          <w:sz w:val="22"/>
          <w:szCs w:val="22"/>
        </w:rPr>
        <w:t xml:space="preserve">Year-1 client count ramps from 0 to 10</w:t>
      </w:r>
    </w:p>
    <w:p>
      <w:pPr>
        <w:pStyle w:val="ListParagraph"/>
        <w:numPr>
          <w:ilvl w:val="0"/>
          <w:numId w:val="1"/>
        </w:numPr>
        <w:spacing w:after="80" w:line="300"/>
      </w:pPr>
      <w:r>
        <w:rPr>
          <w:sz w:val="22"/>
          <w:szCs w:val="22"/>
        </w:rPr>
        <w:t xml:space="preserve">Annual gross retention: 92 percent</w:t>
      </w:r>
    </w:p>
    <w:p>
      <w:pPr>
        <w:pStyle w:val="ListParagraph"/>
        <w:numPr>
          <w:ilvl w:val="0"/>
          <w:numId w:val="1"/>
        </w:numPr>
        <w:spacing w:after="80" w:line="300"/>
      </w:pPr>
      <w:r>
        <w:rPr>
          <w:sz w:val="22"/>
          <w:szCs w:val="22"/>
        </w:rPr>
        <w:t xml:space="preserve">Senior delivery team utilization: 70 percent Y1, 78 percent Y3+</w:t>
      </w:r>
    </w:p>
    <w:p>
      <w:pPr>
        <w:pStyle w:val="ListParagraph"/>
        <w:numPr>
          <w:ilvl w:val="0"/>
          <w:numId w:val="1"/>
        </w:numPr>
        <w:spacing w:after="80" w:line="300"/>
      </w:pPr>
      <w:r>
        <w:rPr>
          <w:sz w:val="22"/>
          <w:szCs w:val="22"/>
        </w:rPr>
        <w:t xml:space="preserve">Compliance-only engagements: 30 percent of Y1 revenue, dropping to 15 percent by Y3 as managed-services dominates</w:t>
      </w:r>
    </w:p>
    <w:p>
      <w:pPr>
        <w:spacing w:after="160" w:line="320"/>
      </w:pPr>
      <w:r>
        <w:rPr>
          <w:sz w:val="22"/>
          <w:szCs w:val="22"/>
        </w:rPr>
        <w:t xml:space="preserve">The model is presented in three scenarios: best case (revenue 25% above base), base case (most likely), and worst case (revenue 25% below base). Adjudicators reviewing the model should reference the base case for all eligibility analysis. The best-case and worst-case scenarios are provided for sensitivity analysis only.</w:t>
      </w:r>
    </w:p>
    <w:p>
      <w:pPr>
        <w:pStyle w:val="Heading2"/>
        <w:spacing w:after="180" w:before="360"/>
      </w:pPr>
      <w:r>
        <w:rPr>
          <w:sz w:val="26"/>
          <w:szCs w:val="26"/>
        </w:rPr>
        <w:t xml:space="preserve">7.2 Year 1 monthly profit and loss (base case)</w:t>
      </w:r>
    </w:p>
    <w:p>
      <w:pPr>
        <w:spacing w:after="160" w:line="320"/>
      </w:pPr>
      <w:r>
        <w:rPr>
          <w:sz w:val="22"/>
          <w:szCs w:val="22"/>
        </w:rPr>
        <w:t xml:space="preserve">The first year is presented monthly to demonstrate the cash-flow trajectory from launch through stabilization. Year 1 reflects a launch ramp followed by steady-state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r>
      <w:tr>
        <w:tc>
          <w:tcPr>
            <w:tcW w:type="pct" w:w="20%"/>
          </w:tcPr>
          <w:p>
            <w:r>
              <w:rPr>
                <w:sz w:val="20"/>
                <w:szCs w:val="20"/>
              </w:rPr>
              <w:t xml:space="preserve">Month 1</w:t>
            </w:r>
          </w:p>
        </w:tc>
        <w:tc>
          <w:tcPr>
            <w:tcW w:type="pct" w:w="20%"/>
          </w:tcPr>
          <w:p>
            <w:r>
              <w:rPr>
                <w:sz w:val="20"/>
                <w:szCs w:val="20"/>
              </w:rPr>
              <w:t xml:space="preserve">{{m1_revenue}}</w:t>
            </w:r>
          </w:p>
        </w:tc>
        <w:tc>
          <w:tcPr>
            <w:tcW w:type="pct" w:w="20%"/>
          </w:tcPr>
          <w:p>
            <w:r>
              <w:rPr>
                <w:sz w:val="20"/>
                <w:szCs w:val="20"/>
              </w:rPr>
              <w:t xml:space="preserve">{{m1_costs}}</w:t>
            </w:r>
          </w:p>
        </w:tc>
        <w:tc>
          <w:tcPr>
            <w:tcW w:type="pct" w:w="20%"/>
          </w:tcPr>
          <w:p>
            <w:r>
              <w:rPr>
                <w:sz w:val="20"/>
                <w:szCs w:val="20"/>
              </w:rPr>
              <w:t xml:space="preserve">{{m1_net}}</w:t>
            </w:r>
          </w:p>
        </w:tc>
        <w:tc>
          <w:tcPr>
            <w:tcW w:type="pct" w:w="20%"/>
          </w:tcPr>
          <w:p>
            <w:r>
              <w:rPr>
                <w:sz w:val="20"/>
                <w:szCs w:val="20"/>
              </w:rPr>
              <w:t xml:space="preserve">{{m1_cumulative}}</w:t>
            </w:r>
          </w:p>
        </w:tc>
      </w:tr>
      <w:tr>
        <w:tc>
          <w:tcPr>
            <w:tcW w:type="pct" w:w="20%"/>
          </w:tcPr>
          <w:p>
            <w:r>
              <w:rPr>
                <w:sz w:val="20"/>
                <w:szCs w:val="20"/>
              </w:rPr>
              <w:t xml:space="preserve">Month 2</w:t>
            </w:r>
          </w:p>
        </w:tc>
        <w:tc>
          <w:tcPr>
            <w:tcW w:type="pct" w:w="20%"/>
          </w:tcPr>
          <w:p>
            <w:r>
              <w:rPr>
                <w:sz w:val="20"/>
                <w:szCs w:val="20"/>
              </w:rPr>
              <w:t xml:space="preserve">{{m2_revenue}}</w:t>
            </w:r>
          </w:p>
        </w:tc>
        <w:tc>
          <w:tcPr>
            <w:tcW w:type="pct" w:w="20%"/>
          </w:tcPr>
          <w:p>
            <w:r>
              <w:rPr>
                <w:sz w:val="20"/>
                <w:szCs w:val="20"/>
              </w:rPr>
              <w:t xml:space="preserve">{{m2_costs}}</w:t>
            </w:r>
          </w:p>
        </w:tc>
        <w:tc>
          <w:tcPr>
            <w:tcW w:type="pct" w:w="20%"/>
          </w:tcPr>
          <w:p>
            <w:r>
              <w:rPr>
                <w:sz w:val="20"/>
                <w:szCs w:val="20"/>
              </w:rPr>
              <w:t xml:space="preserve">{{m2_net}}</w:t>
            </w:r>
          </w:p>
        </w:tc>
        <w:tc>
          <w:tcPr>
            <w:tcW w:type="pct" w:w="20%"/>
          </w:tcPr>
          <w:p>
            <w:r>
              <w:rPr>
                <w:sz w:val="20"/>
                <w:szCs w:val="20"/>
              </w:rPr>
              <w:t xml:space="preserve">{{m2_cumulative}}</w:t>
            </w:r>
          </w:p>
        </w:tc>
      </w:tr>
      <w:tr>
        <w:tc>
          <w:tcPr>
            <w:tcW w:type="pct" w:w="20%"/>
          </w:tcPr>
          <w:p>
            <w:r>
              <w:rPr>
                <w:sz w:val="20"/>
                <w:szCs w:val="20"/>
              </w:rPr>
              <w:t xml:space="preserve">Month 3</w:t>
            </w:r>
          </w:p>
        </w:tc>
        <w:tc>
          <w:tcPr>
            <w:tcW w:type="pct" w:w="20%"/>
          </w:tcPr>
          <w:p>
            <w:r>
              <w:rPr>
                <w:sz w:val="20"/>
                <w:szCs w:val="20"/>
              </w:rPr>
              <w:t xml:space="preserve">{{m3_revenue}}</w:t>
            </w:r>
          </w:p>
        </w:tc>
        <w:tc>
          <w:tcPr>
            <w:tcW w:type="pct" w:w="20%"/>
          </w:tcPr>
          <w:p>
            <w:r>
              <w:rPr>
                <w:sz w:val="20"/>
                <w:szCs w:val="20"/>
              </w:rPr>
              <w:t xml:space="preserve">{{m3_costs}}</w:t>
            </w:r>
          </w:p>
        </w:tc>
        <w:tc>
          <w:tcPr>
            <w:tcW w:type="pct" w:w="20%"/>
          </w:tcPr>
          <w:p>
            <w:r>
              <w:rPr>
                <w:sz w:val="20"/>
                <w:szCs w:val="20"/>
              </w:rPr>
              <w:t xml:space="preserve">{{m3_net}}</w:t>
            </w:r>
          </w:p>
        </w:tc>
        <w:tc>
          <w:tcPr>
            <w:tcW w:type="pct" w:w="20%"/>
          </w:tcPr>
          <w:p>
            <w:r>
              <w:rPr>
                <w:sz w:val="20"/>
                <w:szCs w:val="20"/>
              </w:rPr>
              <w:t xml:space="preserve">{{m3_cumulative}}</w:t>
            </w:r>
          </w:p>
        </w:tc>
      </w:tr>
      <w:tr>
        <w:tc>
          <w:tcPr>
            <w:tcW w:type="pct" w:w="20%"/>
          </w:tcPr>
          <w:p>
            <w:r>
              <w:rPr>
                <w:sz w:val="20"/>
                <w:szCs w:val="20"/>
              </w:rPr>
              <w:t xml:space="preserve">Month 4</w:t>
            </w:r>
          </w:p>
        </w:tc>
        <w:tc>
          <w:tcPr>
            <w:tcW w:type="pct" w:w="20%"/>
          </w:tcPr>
          <w:p>
            <w:r>
              <w:rPr>
                <w:sz w:val="20"/>
                <w:szCs w:val="20"/>
              </w:rPr>
              <w:t xml:space="preserve">{{m4_revenue}}</w:t>
            </w:r>
          </w:p>
        </w:tc>
        <w:tc>
          <w:tcPr>
            <w:tcW w:type="pct" w:w="20%"/>
          </w:tcPr>
          <w:p>
            <w:r>
              <w:rPr>
                <w:sz w:val="20"/>
                <w:szCs w:val="20"/>
              </w:rPr>
              <w:t xml:space="preserve">{{m4_costs}}</w:t>
            </w:r>
          </w:p>
        </w:tc>
        <w:tc>
          <w:tcPr>
            <w:tcW w:type="pct" w:w="20%"/>
          </w:tcPr>
          <w:p>
            <w:r>
              <w:rPr>
                <w:sz w:val="20"/>
                <w:szCs w:val="20"/>
              </w:rPr>
              <w:t xml:space="preserve">{{m4_net}}</w:t>
            </w:r>
          </w:p>
        </w:tc>
        <w:tc>
          <w:tcPr>
            <w:tcW w:type="pct" w:w="20%"/>
          </w:tcPr>
          <w:p>
            <w:r>
              <w:rPr>
                <w:sz w:val="20"/>
                <w:szCs w:val="20"/>
              </w:rPr>
              <w:t xml:space="preserve">{{m4_cumulative}}</w:t>
            </w:r>
          </w:p>
        </w:tc>
      </w:tr>
      <w:tr>
        <w:tc>
          <w:tcPr>
            <w:tcW w:type="pct" w:w="20%"/>
          </w:tcPr>
          <w:p>
            <w:r>
              <w:rPr>
                <w:sz w:val="20"/>
                <w:szCs w:val="20"/>
              </w:rPr>
              <w:t xml:space="preserve">Month 5</w:t>
            </w:r>
          </w:p>
        </w:tc>
        <w:tc>
          <w:tcPr>
            <w:tcW w:type="pct" w:w="20%"/>
          </w:tcPr>
          <w:p>
            <w:r>
              <w:rPr>
                <w:sz w:val="20"/>
                <w:szCs w:val="20"/>
              </w:rPr>
              <w:t xml:space="preserve">{{m5_revenue}}</w:t>
            </w:r>
          </w:p>
        </w:tc>
        <w:tc>
          <w:tcPr>
            <w:tcW w:type="pct" w:w="20%"/>
          </w:tcPr>
          <w:p>
            <w:r>
              <w:rPr>
                <w:sz w:val="20"/>
                <w:szCs w:val="20"/>
              </w:rPr>
              <w:t xml:space="preserve">{{m5_costs}}</w:t>
            </w:r>
          </w:p>
        </w:tc>
        <w:tc>
          <w:tcPr>
            <w:tcW w:type="pct" w:w="20%"/>
          </w:tcPr>
          <w:p>
            <w:r>
              <w:rPr>
                <w:sz w:val="20"/>
                <w:szCs w:val="20"/>
              </w:rPr>
              <w:t xml:space="preserve">{{m5_net}}</w:t>
            </w:r>
          </w:p>
        </w:tc>
        <w:tc>
          <w:tcPr>
            <w:tcW w:type="pct" w:w="20%"/>
          </w:tcPr>
          <w:p>
            <w:r>
              <w:rPr>
                <w:sz w:val="20"/>
                <w:szCs w:val="20"/>
              </w:rPr>
              <w:t xml:space="preserve">{{m5_cumulative}}</w:t>
            </w:r>
          </w:p>
        </w:tc>
      </w:tr>
      <w:tr>
        <w:tc>
          <w:tcPr>
            <w:tcW w:type="pct" w:w="20%"/>
          </w:tcPr>
          <w:p>
            <w:r>
              <w:rPr>
                <w:sz w:val="20"/>
                <w:szCs w:val="20"/>
              </w:rPr>
              <w:t xml:space="preserve">Month 6</w:t>
            </w:r>
          </w:p>
        </w:tc>
        <w:tc>
          <w:tcPr>
            <w:tcW w:type="pct" w:w="20%"/>
          </w:tcPr>
          <w:p>
            <w:r>
              <w:rPr>
                <w:sz w:val="20"/>
                <w:szCs w:val="20"/>
              </w:rPr>
              <w:t xml:space="preserve">{{m6_revenue}}</w:t>
            </w:r>
          </w:p>
        </w:tc>
        <w:tc>
          <w:tcPr>
            <w:tcW w:type="pct" w:w="20%"/>
          </w:tcPr>
          <w:p>
            <w:r>
              <w:rPr>
                <w:sz w:val="20"/>
                <w:szCs w:val="20"/>
              </w:rPr>
              <w:t xml:space="preserve">{{m6_costs}}</w:t>
            </w:r>
          </w:p>
        </w:tc>
        <w:tc>
          <w:tcPr>
            <w:tcW w:type="pct" w:w="20%"/>
          </w:tcPr>
          <w:p>
            <w:r>
              <w:rPr>
                <w:sz w:val="20"/>
                <w:szCs w:val="20"/>
              </w:rPr>
              <w:t xml:space="preserve">{{m6_net}}</w:t>
            </w:r>
          </w:p>
        </w:tc>
        <w:tc>
          <w:tcPr>
            <w:tcW w:type="pct" w:w="20%"/>
          </w:tcPr>
          <w:p>
            <w:r>
              <w:rPr>
                <w:sz w:val="20"/>
                <w:szCs w:val="20"/>
              </w:rPr>
              <w:t xml:space="preserve">{{m6_cumulative}}</w:t>
            </w:r>
          </w:p>
        </w:tc>
      </w:tr>
      <w:tr>
        <w:tc>
          <w:tcPr>
            <w:tcW w:type="pct" w:w="20%"/>
          </w:tcPr>
          <w:p>
            <w:r>
              <w:rPr>
                <w:sz w:val="20"/>
                <w:szCs w:val="20"/>
              </w:rPr>
              <w:t xml:space="preserve">Month 7</w:t>
            </w:r>
          </w:p>
        </w:tc>
        <w:tc>
          <w:tcPr>
            <w:tcW w:type="pct" w:w="20%"/>
          </w:tcPr>
          <w:p>
            <w:r>
              <w:rPr>
                <w:sz w:val="20"/>
                <w:szCs w:val="20"/>
              </w:rPr>
              <w:t xml:space="preserve">{{m7_revenue}}</w:t>
            </w:r>
          </w:p>
        </w:tc>
        <w:tc>
          <w:tcPr>
            <w:tcW w:type="pct" w:w="20%"/>
          </w:tcPr>
          <w:p>
            <w:r>
              <w:rPr>
                <w:sz w:val="20"/>
                <w:szCs w:val="20"/>
              </w:rPr>
              <w:t xml:space="preserve">{{m7_costs}}</w:t>
            </w:r>
          </w:p>
        </w:tc>
        <w:tc>
          <w:tcPr>
            <w:tcW w:type="pct" w:w="20%"/>
          </w:tcPr>
          <w:p>
            <w:r>
              <w:rPr>
                <w:sz w:val="20"/>
                <w:szCs w:val="20"/>
              </w:rPr>
              <w:t xml:space="preserve">{{m7_net}}</w:t>
            </w:r>
          </w:p>
        </w:tc>
        <w:tc>
          <w:tcPr>
            <w:tcW w:type="pct" w:w="20%"/>
          </w:tcPr>
          <w:p>
            <w:r>
              <w:rPr>
                <w:sz w:val="20"/>
                <w:szCs w:val="20"/>
              </w:rPr>
              <w:t xml:space="preserve">{{m7_cumulative}}</w:t>
            </w:r>
          </w:p>
        </w:tc>
      </w:tr>
      <w:tr>
        <w:tc>
          <w:tcPr>
            <w:tcW w:type="pct" w:w="20%"/>
          </w:tcPr>
          <w:p>
            <w:r>
              <w:rPr>
                <w:sz w:val="20"/>
                <w:szCs w:val="20"/>
              </w:rPr>
              <w:t xml:space="preserve">Month 8</w:t>
            </w:r>
          </w:p>
        </w:tc>
        <w:tc>
          <w:tcPr>
            <w:tcW w:type="pct" w:w="20%"/>
          </w:tcPr>
          <w:p>
            <w:r>
              <w:rPr>
                <w:sz w:val="20"/>
                <w:szCs w:val="20"/>
              </w:rPr>
              <w:t xml:space="preserve">{{m8_revenue}}</w:t>
            </w:r>
          </w:p>
        </w:tc>
        <w:tc>
          <w:tcPr>
            <w:tcW w:type="pct" w:w="20%"/>
          </w:tcPr>
          <w:p>
            <w:r>
              <w:rPr>
                <w:sz w:val="20"/>
                <w:szCs w:val="20"/>
              </w:rPr>
              <w:t xml:space="preserve">{{m8_costs}}</w:t>
            </w:r>
          </w:p>
        </w:tc>
        <w:tc>
          <w:tcPr>
            <w:tcW w:type="pct" w:w="20%"/>
          </w:tcPr>
          <w:p>
            <w:r>
              <w:rPr>
                <w:sz w:val="20"/>
                <w:szCs w:val="20"/>
              </w:rPr>
              <w:t xml:space="preserve">{{m8_net}}</w:t>
            </w:r>
          </w:p>
        </w:tc>
        <w:tc>
          <w:tcPr>
            <w:tcW w:type="pct" w:w="20%"/>
          </w:tcPr>
          <w:p>
            <w:r>
              <w:rPr>
                <w:sz w:val="20"/>
                <w:szCs w:val="20"/>
              </w:rPr>
              <w:t xml:space="preserve">{{m8_cumulative}}</w:t>
            </w:r>
          </w:p>
        </w:tc>
      </w:tr>
      <w:tr>
        <w:tc>
          <w:tcPr>
            <w:tcW w:type="pct" w:w="20%"/>
          </w:tcPr>
          <w:p>
            <w:r>
              <w:rPr>
                <w:sz w:val="20"/>
                <w:szCs w:val="20"/>
              </w:rPr>
              <w:t xml:space="preserve">Month 9</w:t>
            </w:r>
          </w:p>
        </w:tc>
        <w:tc>
          <w:tcPr>
            <w:tcW w:type="pct" w:w="20%"/>
          </w:tcPr>
          <w:p>
            <w:r>
              <w:rPr>
                <w:sz w:val="20"/>
                <w:szCs w:val="20"/>
              </w:rPr>
              <w:t xml:space="preserve">{{m9_revenue}}</w:t>
            </w:r>
          </w:p>
        </w:tc>
        <w:tc>
          <w:tcPr>
            <w:tcW w:type="pct" w:w="20%"/>
          </w:tcPr>
          <w:p>
            <w:r>
              <w:rPr>
                <w:sz w:val="20"/>
                <w:szCs w:val="20"/>
              </w:rPr>
              <w:t xml:space="preserve">{{m9_costs}}</w:t>
            </w:r>
          </w:p>
        </w:tc>
        <w:tc>
          <w:tcPr>
            <w:tcW w:type="pct" w:w="20%"/>
          </w:tcPr>
          <w:p>
            <w:r>
              <w:rPr>
                <w:sz w:val="20"/>
                <w:szCs w:val="20"/>
              </w:rPr>
              <w:t xml:space="preserve">{{m9_net}}</w:t>
            </w:r>
          </w:p>
        </w:tc>
        <w:tc>
          <w:tcPr>
            <w:tcW w:type="pct" w:w="20%"/>
          </w:tcPr>
          <w:p>
            <w:r>
              <w:rPr>
                <w:sz w:val="20"/>
                <w:szCs w:val="20"/>
              </w:rPr>
              <w:t xml:space="preserve">{{m9_cumulative}}</w:t>
            </w:r>
          </w:p>
        </w:tc>
      </w:tr>
      <w:tr>
        <w:tc>
          <w:tcPr>
            <w:tcW w:type="pct" w:w="20%"/>
          </w:tcPr>
          <w:p>
            <w:r>
              <w:rPr>
                <w:sz w:val="20"/>
                <w:szCs w:val="20"/>
              </w:rPr>
              <w:t xml:space="preserve">Month 10</w:t>
            </w:r>
          </w:p>
        </w:tc>
        <w:tc>
          <w:tcPr>
            <w:tcW w:type="pct" w:w="20%"/>
          </w:tcPr>
          <w:p>
            <w:r>
              <w:rPr>
                <w:sz w:val="20"/>
                <w:szCs w:val="20"/>
              </w:rPr>
              <w:t xml:space="preserve">{{m10_revenue}}</w:t>
            </w:r>
          </w:p>
        </w:tc>
        <w:tc>
          <w:tcPr>
            <w:tcW w:type="pct" w:w="20%"/>
          </w:tcPr>
          <w:p>
            <w:r>
              <w:rPr>
                <w:sz w:val="20"/>
                <w:szCs w:val="20"/>
              </w:rPr>
              <w:t xml:space="preserve">{{m10_costs}}</w:t>
            </w:r>
          </w:p>
        </w:tc>
        <w:tc>
          <w:tcPr>
            <w:tcW w:type="pct" w:w="20%"/>
          </w:tcPr>
          <w:p>
            <w:r>
              <w:rPr>
                <w:sz w:val="20"/>
                <w:szCs w:val="20"/>
              </w:rPr>
              <w:t xml:space="preserve">{{m10_net}}</w:t>
            </w:r>
          </w:p>
        </w:tc>
        <w:tc>
          <w:tcPr>
            <w:tcW w:type="pct" w:w="20%"/>
          </w:tcPr>
          <w:p>
            <w:r>
              <w:rPr>
                <w:sz w:val="20"/>
                <w:szCs w:val="20"/>
              </w:rPr>
              <w:t xml:space="preserve">{{m10_cumulative}}</w:t>
            </w:r>
          </w:p>
        </w:tc>
      </w:tr>
      <w:tr>
        <w:tc>
          <w:tcPr>
            <w:tcW w:type="pct" w:w="20%"/>
          </w:tcPr>
          <w:p>
            <w:r>
              <w:rPr>
                <w:sz w:val="20"/>
                <w:szCs w:val="20"/>
              </w:rPr>
              <w:t xml:space="preserve">Month 11</w:t>
            </w:r>
          </w:p>
        </w:tc>
        <w:tc>
          <w:tcPr>
            <w:tcW w:type="pct" w:w="20%"/>
          </w:tcPr>
          <w:p>
            <w:r>
              <w:rPr>
                <w:sz w:val="20"/>
                <w:szCs w:val="20"/>
              </w:rPr>
              <w:t xml:space="preserve">{{m11_revenue}}</w:t>
            </w:r>
          </w:p>
        </w:tc>
        <w:tc>
          <w:tcPr>
            <w:tcW w:type="pct" w:w="20%"/>
          </w:tcPr>
          <w:p>
            <w:r>
              <w:rPr>
                <w:sz w:val="20"/>
                <w:szCs w:val="20"/>
              </w:rPr>
              <w:t xml:space="preserve">{{m11_costs}}</w:t>
            </w:r>
          </w:p>
        </w:tc>
        <w:tc>
          <w:tcPr>
            <w:tcW w:type="pct" w:w="20%"/>
          </w:tcPr>
          <w:p>
            <w:r>
              <w:rPr>
                <w:sz w:val="20"/>
                <w:szCs w:val="20"/>
              </w:rPr>
              <w:t xml:space="preserve">{{m11_net}}</w:t>
            </w:r>
          </w:p>
        </w:tc>
        <w:tc>
          <w:tcPr>
            <w:tcW w:type="pct" w:w="20%"/>
          </w:tcPr>
          <w:p>
            <w:r>
              <w:rPr>
                <w:sz w:val="20"/>
                <w:szCs w:val="20"/>
              </w:rPr>
              <w:t xml:space="preserve">{{m11_cumulative}}</w:t>
            </w:r>
          </w:p>
        </w:tc>
      </w:tr>
      <w:tr>
        <w:tc>
          <w:tcPr>
            <w:tcW w:type="pct" w:w="20%"/>
          </w:tcPr>
          <w:p>
            <w:r>
              <w:rPr>
                <w:sz w:val="20"/>
                <w:szCs w:val="20"/>
              </w:rPr>
              <w:t xml:space="preserve">Month 12</w:t>
            </w:r>
          </w:p>
        </w:tc>
        <w:tc>
          <w:tcPr>
            <w:tcW w:type="pct" w:w="20%"/>
          </w:tcPr>
          <w:p>
            <w:r>
              <w:rPr>
                <w:sz w:val="20"/>
                <w:szCs w:val="20"/>
              </w:rPr>
              <w:t xml:space="preserve">{{m12_revenue}}</w:t>
            </w:r>
          </w:p>
        </w:tc>
        <w:tc>
          <w:tcPr>
            <w:tcW w:type="pct" w:w="20%"/>
          </w:tcPr>
          <w:p>
            <w:r>
              <w:rPr>
                <w:sz w:val="20"/>
                <w:szCs w:val="20"/>
              </w:rPr>
              <w:t xml:space="preserve">{{m12_costs}}</w:t>
            </w:r>
          </w:p>
        </w:tc>
        <w:tc>
          <w:tcPr>
            <w:tcW w:type="pct" w:w="20%"/>
          </w:tcPr>
          <w:p>
            <w:r>
              <w:rPr>
                <w:sz w:val="20"/>
                <w:szCs w:val="20"/>
              </w:rPr>
              <w:t xml:space="preserve">{{m12_net}}</w:t>
            </w:r>
          </w:p>
        </w:tc>
        <w:tc>
          <w:tcPr>
            <w:tcW w:type="pct" w:w="20%"/>
          </w:tcPr>
          <w:p>
            <w:r>
              <w:rPr>
                <w:sz w:val="20"/>
                <w:szCs w:val="20"/>
              </w:rPr>
              <w:t xml:space="preserve">{{m12_cumulative}}</w:t>
            </w:r>
          </w:p>
        </w:tc>
      </w:tr>
      <w:tr>
        <w:tc>
          <w:tcPr>
            <w:tcW w:type="pct" w:w="20%"/>
          </w:tcPr>
          <w:p>
            <w:r>
              <w:rPr>
                <w:b/>
                <w:bCs/>
                <w:sz w:val="20"/>
                <w:szCs w:val="20"/>
              </w:rPr>
              <w:t xml:space="preserve">Year 1 total</w:t>
            </w:r>
          </w:p>
        </w:tc>
        <w:tc>
          <w:tcPr>
            <w:tcW w:type="pct" w:w="20%"/>
          </w:tcPr>
          <w:p>
            <w:r>
              <w:rPr>
                <w:b/>
                <w:bCs/>
                <w:sz w:val="20"/>
                <w:szCs w:val="20"/>
              </w:rPr>
              <w:t xml:space="preserve">{{y1_revenue}}</w:t>
            </w:r>
          </w:p>
        </w:tc>
        <w:tc>
          <w:tcPr>
            <w:tcW w:type="pct" w:w="20%"/>
          </w:tcPr>
          <w:p>
            <w:r>
              <w:rPr>
                <w:b/>
                <w:bCs/>
                <w:sz w:val="20"/>
                <w:szCs w:val="20"/>
              </w:rPr>
              <w:t xml:space="preserve">{{y1_costs}}</w:t>
            </w:r>
          </w:p>
        </w:tc>
        <w:tc>
          <w:tcPr>
            <w:tcW w:type="pct" w:w="20%"/>
          </w:tcPr>
          <w:p>
            <w:r>
              <w:rPr>
                <w:b/>
                <w:bCs/>
                <w:sz w:val="20"/>
                <w:szCs w:val="20"/>
              </w:rPr>
              <w:t xml:space="preserve">{{y1_net}}</w:t>
            </w:r>
          </w:p>
        </w:tc>
        <w:tc>
          <w:tcPr>
            <w:tcW w:type="pct" w:w="20%"/>
          </w:tcPr>
          <w:p>
            <w:r>
              <w:rPr>
                <w:sz w:val="20"/>
                <w:szCs w:val="20"/>
              </w:rPr>
              <w:t xml:space="preserve">-</w:t>
            </w:r>
          </w:p>
        </w:tc>
      </w:tr>
    </w:tbl>
    <w:p>
      <w:pPr>
        <w:spacing w:after="160" w:line="320"/>
      </w:pPr>
      <w:r>
        <w:rPr>
          <w:b/>
          <w:bCs/>
          <w:sz w:val="22"/>
          <w:szCs w:val="22"/>
        </w:rPr>
        <w:t xml:space="preserve">Year 1 break-even month:</w:t>
      </w:r>
      <w:r>
        <w:rPr>
          <w:sz w:val="22"/>
          <w:szCs w:val="22"/>
        </w:rPr>
        <w:t xml:space="preserve"> Month 11</w:t>
      </w:r>
    </w:p>
    <w:p>
      <w:pPr>
        <w:spacing w:after="160" w:line="320"/>
      </w:pPr>
      <w:r>
        <w:rPr>
          <w:sz w:val="22"/>
          <w:szCs w:val="22"/>
        </w:rPr>
        <w:t xml:space="preserve">{{year1</w:t>
      </w:r>
      <w:r>
        <w:rPr>
          <w:i/>
          <w:iCs/>
          <w:sz w:val="22"/>
          <w:szCs w:val="22"/>
        </w:rPr>
        <w:t xml:space="preserve">narrative</w:t>
      </w:r>
      <w:r>
        <w:rPr>
          <w:sz w:val="22"/>
          <w:szCs w:val="22"/>
        </w:rPr>
        <w:t xml:space="preserve">paragraph}}</w:t>
      </w:r>
    </w:p>
    <w:p>
      <w:pPr>
        <w:pStyle w:val="Heading2"/>
        <w:spacing w:after="180" w:before="360"/>
      </w:pPr>
      <w:r>
        <w:rPr>
          <w:sz w:val="26"/>
          <w:szCs w:val="26"/>
        </w:rPr>
        <w:t xml:space="preserve">7.3 Years 2-5 quarterly profit and loss (base case)</w:t>
      </w:r>
    </w:p>
    <w:p>
      <w:pPr>
        <w:spacing w:after="160" w:line="320"/>
      </w:pPr>
      <w:r>
        <w:rPr>
          <w:sz w:val="22"/>
          <w:szCs w:val="22"/>
        </w:rPr>
        <w:t xml:space="preserve">Years 2 through 5 are presented quarterly. The quarterly view captures seasonality where applicable and demonstrates revenue stability beyond the launch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Y2 Q1</w:t>
            </w:r>
          </w:p>
        </w:tc>
        <w:tc>
          <w:tcPr>
            <w:tcW w:type="pct" w:w="25%"/>
          </w:tcPr>
          <w:p>
            <w:r>
              <w:rPr>
                <w:sz w:val="20"/>
                <w:szCs w:val="20"/>
              </w:rPr>
              <w:t xml:space="preserve">{{y2q1_revenue}}</w:t>
            </w:r>
          </w:p>
        </w:tc>
        <w:tc>
          <w:tcPr>
            <w:tcW w:type="pct" w:w="25%"/>
          </w:tcPr>
          <w:p>
            <w:r>
              <w:rPr>
                <w:sz w:val="20"/>
                <w:szCs w:val="20"/>
              </w:rPr>
              <w:t xml:space="preserve">{{y2q1_costs}}</w:t>
            </w:r>
          </w:p>
        </w:tc>
        <w:tc>
          <w:tcPr>
            <w:tcW w:type="pct" w:w="25%"/>
          </w:tcPr>
          <w:p>
            <w:r>
              <w:rPr>
                <w:sz w:val="20"/>
                <w:szCs w:val="20"/>
              </w:rPr>
              <w:t xml:space="preserve">{{y2q1_net}}</w:t>
            </w:r>
          </w:p>
        </w:tc>
      </w:tr>
      <w:tr>
        <w:tc>
          <w:tcPr>
            <w:tcW w:type="pct" w:w="25%"/>
          </w:tcPr>
          <w:p>
            <w:r>
              <w:rPr>
                <w:sz w:val="20"/>
                <w:szCs w:val="20"/>
              </w:rPr>
              <w:t xml:space="preserve">Y2 Q2</w:t>
            </w:r>
          </w:p>
        </w:tc>
        <w:tc>
          <w:tcPr>
            <w:tcW w:type="pct" w:w="25%"/>
          </w:tcPr>
          <w:p>
            <w:r>
              <w:rPr>
                <w:sz w:val="20"/>
                <w:szCs w:val="20"/>
              </w:rPr>
              <w:t xml:space="preserve">{{y2q2_revenue}}</w:t>
            </w:r>
          </w:p>
        </w:tc>
        <w:tc>
          <w:tcPr>
            <w:tcW w:type="pct" w:w="25%"/>
          </w:tcPr>
          <w:p>
            <w:r>
              <w:rPr>
                <w:sz w:val="20"/>
                <w:szCs w:val="20"/>
              </w:rPr>
              <w:t xml:space="preserve">{{y2q2_costs}}</w:t>
            </w:r>
          </w:p>
        </w:tc>
        <w:tc>
          <w:tcPr>
            <w:tcW w:type="pct" w:w="25%"/>
          </w:tcPr>
          <w:p>
            <w:r>
              <w:rPr>
                <w:sz w:val="20"/>
                <w:szCs w:val="20"/>
              </w:rPr>
              <w:t xml:space="preserve">{{y2q2_net}}</w:t>
            </w:r>
          </w:p>
        </w:tc>
      </w:tr>
      <w:tr>
        <w:tc>
          <w:tcPr>
            <w:tcW w:type="pct" w:w="25%"/>
          </w:tcPr>
          <w:p>
            <w:r>
              <w:rPr>
                <w:sz w:val="20"/>
                <w:szCs w:val="20"/>
              </w:rPr>
              <w:t xml:space="preserve">Y2 Q3</w:t>
            </w:r>
          </w:p>
        </w:tc>
        <w:tc>
          <w:tcPr>
            <w:tcW w:type="pct" w:w="25%"/>
          </w:tcPr>
          <w:p>
            <w:r>
              <w:rPr>
                <w:sz w:val="20"/>
                <w:szCs w:val="20"/>
              </w:rPr>
              <w:t xml:space="preserve">{{y2q3_revenue}}</w:t>
            </w:r>
          </w:p>
        </w:tc>
        <w:tc>
          <w:tcPr>
            <w:tcW w:type="pct" w:w="25%"/>
          </w:tcPr>
          <w:p>
            <w:r>
              <w:rPr>
                <w:sz w:val="20"/>
                <w:szCs w:val="20"/>
              </w:rPr>
              <w:t xml:space="preserve">{{y2q3_costs}}</w:t>
            </w:r>
          </w:p>
        </w:tc>
        <w:tc>
          <w:tcPr>
            <w:tcW w:type="pct" w:w="25%"/>
          </w:tcPr>
          <w:p>
            <w:r>
              <w:rPr>
                <w:sz w:val="20"/>
                <w:szCs w:val="20"/>
              </w:rPr>
              <w:t xml:space="preserve">{{y2q3_net}}</w:t>
            </w:r>
          </w:p>
        </w:tc>
      </w:tr>
      <w:tr>
        <w:tc>
          <w:tcPr>
            <w:tcW w:type="pct" w:w="25%"/>
          </w:tcPr>
          <w:p>
            <w:r>
              <w:rPr>
                <w:sz w:val="20"/>
                <w:szCs w:val="20"/>
              </w:rPr>
              <w:t xml:space="preserve">Y2 Q4</w:t>
            </w:r>
          </w:p>
        </w:tc>
        <w:tc>
          <w:tcPr>
            <w:tcW w:type="pct" w:w="25%"/>
          </w:tcPr>
          <w:p>
            <w:r>
              <w:rPr>
                <w:sz w:val="20"/>
                <w:szCs w:val="20"/>
              </w:rPr>
              <w:t xml:space="preserve">{{y2q4_revenue}}</w:t>
            </w:r>
          </w:p>
        </w:tc>
        <w:tc>
          <w:tcPr>
            <w:tcW w:type="pct" w:w="25%"/>
          </w:tcPr>
          <w:p>
            <w:r>
              <w:rPr>
                <w:sz w:val="20"/>
                <w:szCs w:val="20"/>
              </w:rPr>
              <w:t xml:space="preserve">{{y2q4_costs}}</w:t>
            </w:r>
          </w:p>
        </w:tc>
        <w:tc>
          <w:tcPr>
            <w:tcW w:type="pct" w:w="25%"/>
          </w:tcPr>
          <w:p>
            <w:r>
              <w:rPr>
                <w:sz w:val="20"/>
                <w:szCs w:val="20"/>
              </w:rPr>
              <w:t xml:space="preserve">{{y2q4_net}}</w:t>
            </w:r>
          </w:p>
        </w:tc>
      </w:tr>
      <w:tr>
        <w:tc>
          <w:tcPr>
            <w:tcW w:type="pct" w:w="25%"/>
          </w:tcPr>
          <w:p>
            <w:r>
              <w:rPr>
                <w:b/>
                <w:bCs/>
                <w:sz w:val="20"/>
                <w:szCs w:val="20"/>
              </w:rPr>
              <w:t xml:space="preserve">Year 2 total</w:t>
            </w:r>
          </w:p>
        </w:tc>
        <w:tc>
          <w:tcPr>
            <w:tcW w:type="pct" w:w="25%"/>
          </w:tcPr>
          <w:p>
            <w:r>
              <w:rPr>
                <w:b/>
                <w:bCs/>
                <w:sz w:val="20"/>
                <w:szCs w:val="20"/>
              </w:rPr>
              <w:t xml:space="preserve">{{y2_revenue}}</w:t>
            </w:r>
          </w:p>
        </w:tc>
        <w:tc>
          <w:tcPr>
            <w:tcW w:type="pct" w:w="25%"/>
          </w:tcPr>
          <w:p>
            <w:r>
              <w:rPr>
                <w:b/>
                <w:bCs/>
                <w:sz w:val="20"/>
                <w:szCs w:val="20"/>
              </w:rPr>
              <w:t xml:space="preserve">{{y2_costs}}</w:t>
            </w:r>
          </w:p>
        </w:tc>
        <w:tc>
          <w:tcPr>
            <w:tcW w:type="pct" w:w="25%"/>
          </w:tcPr>
          <w:p>
            <w:r>
              <w:rPr>
                <w:b/>
                <w:bCs/>
                <w:sz w:val="20"/>
                <w:szCs w:val="20"/>
              </w:rPr>
              <w:t xml:space="preserve">{{y2_net}}</w:t>
            </w:r>
          </w:p>
        </w:tc>
      </w:tr>
      <w:tr>
        <w:tc>
          <w:tcPr>
            <w:tcW w:type="pct" w:w="25%"/>
          </w:tcPr>
          <w:p>
            <w:r>
              <w:rPr>
                <w:sz w:val="20"/>
                <w:szCs w:val="20"/>
              </w:rPr>
              <w:t xml:space="preserve">Y3 Q1</w:t>
            </w:r>
          </w:p>
        </w:tc>
        <w:tc>
          <w:tcPr>
            <w:tcW w:type="pct" w:w="25%"/>
          </w:tcPr>
          <w:p>
            <w:r>
              <w:rPr>
                <w:sz w:val="20"/>
                <w:szCs w:val="20"/>
              </w:rPr>
              <w:t xml:space="preserve">{{y3q1_revenue}}</w:t>
            </w:r>
          </w:p>
        </w:tc>
        <w:tc>
          <w:tcPr>
            <w:tcW w:type="pct" w:w="25%"/>
          </w:tcPr>
          <w:p>
            <w:r>
              <w:rPr>
                <w:sz w:val="20"/>
                <w:szCs w:val="20"/>
              </w:rPr>
              <w:t xml:space="preserve">{{y3q1_costs}}</w:t>
            </w:r>
          </w:p>
        </w:tc>
        <w:tc>
          <w:tcPr>
            <w:tcW w:type="pct" w:w="25%"/>
          </w:tcPr>
          <w:p>
            <w:r>
              <w:rPr>
                <w:sz w:val="20"/>
                <w:szCs w:val="20"/>
              </w:rPr>
              <w:t xml:space="preserve">{{y3q1_net}}</w:t>
            </w:r>
          </w:p>
        </w:tc>
      </w:tr>
      <w:tr>
        <w:tc>
          <w:tcPr>
            <w:tcW w:type="pct" w:w="25%"/>
          </w:tcPr>
          <w:p>
            <w:r>
              <w:rPr>
                <w:sz w:val="20"/>
                <w:szCs w:val="20"/>
              </w:rPr>
              <w:t xml:space="preserve">Y3 Q2</w:t>
            </w:r>
          </w:p>
        </w:tc>
        <w:tc>
          <w:tcPr>
            <w:tcW w:type="pct" w:w="25%"/>
          </w:tcPr>
          <w:p>
            <w:r>
              <w:rPr>
                <w:sz w:val="20"/>
                <w:szCs w:val="20"/>
              </w:rPr>
              <w:t xml:space="preserve">{{y3q2_revenue}}</w:t>
            </w:r>
          </w:p>
        </w:tc>
        <w:tc>
          <w:tcPr>
            <w:tcW w:type="pct" w:w="25%"/>
          </w:tcPr>
          <w:p>
            <w:r>
              <w:rPr>
                <w:sz w:val="20"/>
                <w:szCs w:val="20"/>
              </w:rPr>
              <w:t xml:space="preserve">{{y3q2_costs}}</w:t>
            </w:r>
          </w:p>
        </w:tc>
        <w:tc>
          <w:tcPr>
            <w:tcW w:type="pct" w:w="25%"/>
          </w:tcPr>
          <w:p>
            <w:r>
              <w:rPr>
                <w:sz w:val="20"/>
                <w:szCs w:val="20"/>
              </w:rPr>
              <w:t xml:space="preserve">{{y3q2_net}}</w:t>
            </w:r>
          </w:p>
        </w:tc>
      </w:tr>
      <w:tr>
        <w:tc>
          <w:tcPr>
            <w:tcW w:type="pct" w:w="25%"/>
          </w:tcPr>
          <w:p>
            <w:r>
              <w:rPr>
                <w:sz w:val="20"/>
                <w:szCs w:val="20"/>
              </w:rPr>
              <w:t xml:space="preserve">Y3 Q3</w:t>
            </w:r>
          </w:p>
        </w:tc>
        <w:tc>
          <w:tcPr>
            <w:tcW w:type="pct" w:w="25%"/>
          </w:tcPr>
          <w:p>
            <w:r>
              <w:rPr>
                <w:sz w:val="20"/>
                <w:szCs w:val="20"/>
              </w:rPr>
              <w:t xml:space="preserve">{{y3q3_revenue}}</w:t>
            </w:r>
          </w:p>
        </w:tc>
        <w:tc>
          <w:tcPr>
            <w:tcW w:type="pct" w:w="25%"/>
          </w:tcPr>
          <w:p>
            <w:r>
              <w:rPr>
                <w:sz w:val="20"/>
                <w:szCs w:val="20"/>
              </w:rPr>
              <w:t xml:space="preserve">{{y3q3_costs}}</w:t>
            </w:r>
          </w:p>
        </w:tc>
        <w:tc>
          <w:tcPr>
            <w:tcW w:type="pct" w:w="25%"/>
          </w:tcPr>
          <w:p>
            <w:r>
              <w:rPr>
                <w:sz w:val="20"/>
                <w:szCs w:val="20"/>
              </w:rPr>
              <w:t xml:space="preserve">{{y3q3_net}}</w:t>
            </w:r>
          </w:p>
        </w:tc>
      </w:tr>
      <w:tr>
        <w:tc>
          <w:tcPr>
            <w:tcW w:type="pct" w:w="25%"/>
          </w:tcPr>
          <w:p>
            <w:r>
              <w:rPr>
                <w:sz w:val="20"/>
                <w:szCs w:val="20"/>
              </w:rPr>
              <w:t xml:space="preserve">Y3 Q4</w:t>
            </w:r>
          </w:p>
        </w:tc>
        <w:tc>
          <w:tcPr>
            <w:tcW w:type="pct" w:w="25%"/>
          </w:tcPr>
          <w:p>
            <w:r>
              <w:rPr>
                <w:sz w:val="20"/>
                <w:szCs w:val="20"/>
              </w:rPr>
              <w:t xml:space="preserve">{{y3q4_revenue}}</w:t>
            </w:r>
          </w:p>
        </w:tc>
        <w:tc>
          <w:tcPr>
            <w:tcW w:type="pct" w:w="25%"/>
          </w:tcPr>
          <w:p>
            <w:r>
              <w:rPr>
                <w:sz w:val="20"/>
                <w:szCs w:val="20"/>
              </w:rPr>
              <w:t xml:space="preserve">{{y3q4_costs}}</w:t>
            </w:r>
          </w:p>
        </w:tc>
        <w:tc>
          <w:tcPr>
            <w:tcW w:type="pct" w:w="25%"/>
          </w:tcPr>
          <w:p>
            <w:r>
              <w:rPr>
                <w:sz w:val="20"/>
                <w:szCs w:val="20"/>
              </w:rPr>
              <w:t xml:space="preserve">{{y3q4_net}}</w:t>
            </w:r>
          </w:p>
        </w:tc>
      </w:tr>
      <w:tr>
        <w:tc>
          <w:tcPr>
            <w:tcW w:type="pct" w:w="25%"/>
          </w:tcPr>
          <w:p>
            <w:r>
              <w:rPr>
                <w:b/>
                <w:bCs/>
                <w:sz w:val="20"/>
                <w:szCs w:val="20"/>
              </w:rPr>
              <w:t xml:space="preserve">Year 3 total</w:t>
            </w:r>
          </w:p>
        </w:tc>
        <w:tc>
          <w:tcPr>
            <w:tcW w:type="pct" w:w="25%"/>
          </w:tcPr>
          <w:p>
            <w:r>
              <w:rPr>
                <w:b/>
                <w:bCs/>
                <w:sz w:val="20"/>
                <w:szCs w:val="20"/>
              </w:rPr>
              <w:t xml:space="preserve">{{y3_revenue}}</w:t>
            </w:r>
          </w:p>
        </w:tc>
        <w:tc>
          <w:tcPr>
            <w:tcW w:type="pct" w:w="25%"/>
          </w:tcPr>
          <w:p>
            <w:r>
              <w:rPr>
                <w:b/>
                <w:bCs/>
                <w:sz w:val="20"/>
                <w:szCs w:val="20"/>
              </w:rPr>
              <w:t xml:space="preserve">{{y3_costs}}</w:t>
            </w:r>
          </w:p>
        </w:tc>
        <w:tc>
          <w:tcPr>
            <w:tcW w:type="pct" w:w="25%"/>
          </w:tcPr>
          <w:p>
            <w:r>
              <w:rPr>
                <w:b/>
                <w:bCs/>
                <w:sz w:val="20"/>
                <w:szCs w:val="20"/>
              </w:rPr>
              <w:t xml:space="preserve">{{y3_net}}</w:t>
            </w:r>
          </w:p>
        </w:tc>
      </w:tr>
      <w:tr>
        <w:tc>
          <w:tcPr>
            <w:tcW w:type="pct" w:w="25%"/>
          </w:tcPr>
          <w:p>
            <w:r>
              <w:rPr>
                <w:sz w:val="20"/>
                <w:szCs w:val="20"/>
              </w:rPr>
              <w:t xml:space="preserve">Y4 Q1</w:t>
            </w:r>
          </w:p>
        </w:tc>
        <w:tc>
          <w:tcPr>
            <w:tcW w:type="pct" w:w="25%"/>
          </w:tcPr>
          <w:p>
            <w:r>
              <w:rPr>
                <w:sz w:val="20"/>
                <w:szCs w:val="20"/>
              </w:rPr>
              <w:t xml:space="preserve">{{y4q1_revenue}}</w:t>
            </w:r>
          </w:p>
        </w:tc>
        <w:tc>
          <w:tcPr>
            <w:tcW w:type="pct" w:w="25%"/>
          </w:tcPr>
          <w:p>
            <w:r>
              <w:rPr>
                <w:sz w:val="20"/>
                <w:szCs w:val="20"/>
              </w:rPr>
              <w:t xml:space="preserve">{{y4q1_costs}}</w:t>
            </w:r>
          </w:p>
        </w:tc>
        <w:tc>
          <w:tcPr>
            <w:tcW w:type="pct" w:w="25%"/>
          </w:tcPr>
          <w:p>
            <w:r>
              <w:rPr>
                <w:sz w:val="20"/>
                <w:szCs w:val="20"/>
              </w:rPr>
              <w:t xml:space="preserve">{{y4q1_net}}</w:t>
            </w:r>
          </w:p>
        </w:tc>
      </w:tr>
      <w:tr>
        <w:tc>
          <w:tcPr>
            <w:tcW w:type="pct" w:w="25%"/>
          </w:tcPr>
          <w:p>
            <w:r>
              <w:rPr>
                <w:sz w:val="20"/>
                <w:szCs w:val="20"/>
              </w:rPr>
              <w:t xml:space="preserve">Y4 Q2</w:t>
            </w:r>
          </w:p>
        </w:tc>
        <w:tc>
          <w:tcPr>
            <w:tcW w:type="pct" w:w="25%"/>
          </w:tcPr>
          <w:p>
            <w:r>
              <w:rPr>
                <w:sz w:val="20"/>
                <w:szCs w:val="20"/>
              </w:rPr>
              <w:t xml:space="preserve">{{y4q2_revenue}}</w:t>
            </w:r>
          </w:p>
        </w:tc>
        <w:tc>
          <w:tcPr>
            <w:tcW w:type="pct" w:w="25%"/>
          </w:tcPr>
          <w:p>
            <w:r>
              <w:rPr>
                <w:sz w:val="20"/>
                <w:szCs w:val="20"/>
              </w:rPr>
              <w:t xml:space="preserve">{{y4q2_costs}}</w:t>
            </w:r>
          </w:p>
        </w:tc>
        <w:tc>
          <w:tcPr>
            <w:tcW w:type="pct" w:w="25%"/>
          </w:tcPr>
          <w:p>
            <w:r>
              <w:rPr>
                <w:sz w:val="20"/>
                <w:szCs w:val="20"/>
              </w:rPr>
              <w:t xml:space="preserve">{{y4q2_net}}</w:t>
            </w:r>
          </w:p>
        </w:tc>
      </w:tr>
      <w:tr>
        <w:tc>
          <w:tcPr>
            <w:tcW w:type="pct" w:w="25%"/>
          </w:tcPr>
          <w:p>
            <w:r>
              <w:rPr>
                <w:sz w:val="20"/>
                <w:szCs w:val="20"/>
              </w:rPr>
              <w:t xml:space="preserve">Y4 Q3</w:t>
            </w:r>
          </w:p>
        </w:tc>
        <w:tc>
          <w:tcPr>
            <w:tcW w:type="pct" w:w="25%"/>
          </w:tcPr>
          <w:p>
            <w:r>
              <w:rPr>
                <w:sz w:val="20"/>
                <w:szCs w:val="20"/>
              </w:rPr>
              <w:t xml:space="preserve">{{y4q3_revenue}}</w:t>
            </w:r>
          </w:p>
        </w:tc>
        <w:tc>
          <w:tcPr>
            <w:tcW w:type="pct" w:w="25%"/>
          </w:tcPr>
          <w:p>
            <w:r>
              <w:rPr>
                <w:sz w:val="20"/>
                <w:szCs w:val="20"/>
              </w:rPr>
              <w:t xml:space="preserve">{{y4q3_costs}}</w:t>
            </w:r>
          </w:p>
        </w:tc>
        <w:tc>
          <w:tcPr>
            <w:tcW w:type="pct" w:w="25%"/>
          </w:tcPr>
          <w:p>
            <w:r>
              <w:rPr>
                <w:sz w:val="20"/>
                <w:szCs w:val="20"/>
              </w:rPr>
              <w:t xml:space="preserve">{{y4q3_net}}</w:t>
            </w:r>
          </w:p>
        </w:tc>
      </w:tr>
      <w:tr>
        <w:tc>
          <w:tcPr>
            <w:tcW w:type="pct" w:w="25%"/>
          </w:tcPr>
          <w:p>
            <w:r>
              <w:rPr>
                <w:sz w:val="20"/>
                <w:szCs w:val="20"/>
              </w:rPr>
              <w:t xml:space="preserve">Y4 Q4</w:t>
            </w:r>
          </w:p>
        </w:tc>
        <w:tc>
          <w:tcPr>
            <w:tcW w:type="pct" w:w="25%"/>
          </w:tcPr>
          <w:p>
            <w:r>
              <w:rPr>
                <w:sz w:val="20"/>
                <w:szCs w:val="20"/>
              </w:rPr>
              <w:t xml:space="preserve">{{y4q4_revenue}}</w:t>
            </w:r>
          </w:p>
        </w:tc>
        <w:tc>
          <w:tcPr>
            <w:tcW w:type="pct" w:w="25%"/>
          </w:tcPr>
          <w:p>
            <w:r>
              <w:rPr>
                <w:sz w:val="20"/>
                <w:szCs w:val="20"/>
              </w:rPr>
              <w:t xml:space="preserve">{{y4q4_costs}}</w:t>
            </w:r>
          </w:p>
        </w:tc>
        <w:tc>
          <w:tcPr>
            <w:tcW w:type="pct" w:w="25%"/>
          </w:tcPr>
          <w:p>
            <w:r>
              <w:rPr>
                <w:sz w:val="20"/>
                <w:szCs w:val="20"/>
              </w:rPr>
              <w:t xml:space="preserve">{{y4q4_net}}</w:t>
            </w:r>
          </w:p>
        </w:tc>
      </w:tr>
      <w:tr>
        <w:tc>
          <w:tcPr>
            <w:tcW w:type="pct" w:w="25%"/>
          </w:tcPr>
          <w:p>
            <w:r>
              <w:rPr>
                <w:b/>
                <w:bCs/>
                <w:sz w:val="20"/>
                <w:szCs w:val="20"/>
              </w:rPr>
              <w:t xml:space="preserve">Year 4 total</w:t>
            </w:r>
          </w:p>
        </w:tc>
        <w:tc>
          <w:tcPr>
            <w:tcW w:type="pct" w:w="25%"/>
          </w:tcPr>
          <w:p>
            <w:r>
              <w:rPr>
                <w:b/>
                <w:bCs/>
                <w:sz w:val="20"/>
                <w:szCs w:val="20"/>
              </w:rPr>
              <w:t xml:space="preserve">{{y4_revenue}}</w:t>
            </w:r>
          </w:p>
        </w:tc>
        <w:tc>
          <w:tcPr>
            <w:tcW w:type="pct" w:w="25%"/>
          </w:tcPr>
          <w:p>
            <w:r>
              <w:rPr>
                <w:b/>
                <w:bCs/>
                <w:sz w:val="20"/>
                <w:szCs w:val="20"/>
              </w:rPr>
              <w:t xml:space="preserve">{{y4_costs}}</w:t>
            </w:r>
          </w:p>
        </w:tc>
        <w:tc>
          <w:tcPr>
            <w:tcW w:type="pct" w:w="25%"/>
          </w:tcPr>
          <w:p>
            <w:r>
              <w:rPr>
                <w:b/>
                <w:bCs/>
                <w:sz w:val="20"/>
                <w:szCs w:val="20"/>
              </w:rPr>
              <w:t xml:space="preserve">{{y4_net}}</w:t>
            </w:r>
          </w:p>
        </w:tc>
      </w:tr>
      <w:tr>
        <w:tc>
          <w:tcPr>
            <w:tcW w:type="pct" w:w="25%"/>
          </w:tcPr>
          <w:p>
            <w:r>
              <w:rPr>
                <w:sz w:val="20"/>
                <w:szCs w:val="20"/>
              </w:rPr>
              <w:t xml:space="preserve">Y5 Q1</w:t>
            </w:r>
          </w:p>
        </w:tc>
        <w:tc>
          <w:tcPr>
            <w:tcW w:type="pct" w:w="25%"/>
          </w:tcPr>
          <w:p>
            <w:r>
              <w:rPr>
                <w:sz w:val="20"/>
                <w:szCs w:val="20"/>
              </w:rPr>
              <w:t xml:space="preserve">{{y5q1_revenue}}</w:t>
            </w:r>
          </w:p>
        </w:tc>
        <w:tc>
          <w:tcPr>
            <w:tcW w:type="pct" w:w="25%"/>
          </w:tcPr>
          <w:p>
            <w:r>
              <w:rPr>
                <w:sz w:val="20"/>
                <w:szCs w:val="20"/>
              </w:rPr>
              <w:t xml:space="preserve">{{y5q1_costs}}</w:t>
            </w:r>
          </w:p>
        </w:tc>
        <w:tc>
          <w:tcPr>
            <w:tcW w:type="pct" w:w="25%"/>
          </w:tcPr>
          <w:p>
            <w:r>
              <w:rPr>
                <w:sz w:val="20"/>
                <w:szCs w:val="20"/>
              </w:rPr>
              <w:t xml:space="preserve">{{y5q1_net}}</w:t>
            </w:r>
          </w:p>
        </w:tc>
      </w:tr>
      <w:tr>
        <w:tc>
          <w:tcPr>
            <w:tcW w:type="pct" w:w="25%"/>
          </w:tcPr>
          <w:p>
            <w:r>
              <w:rPr>
                <w:sz w:val="20"/>
                <w:szCs w:val="20"/>
              </w:rPr>
              <w:t xml:space="preserve">Y5 Q2</w:t>
            </w:r>
          </w:p>
        </w:tc>
        <w:tc>
          <w:tcPr>
            <w:tcW w:type="pct" w:w="25%"/>
          </w:tcPr>
          <w:p>
            <w:r>
              <w:rPr>
                <w:sz w:val="20"/>
                <w:szCs w:val="20"/>
              </w:rPr>
              <w:t xml:space="preserve">{{y5q2_revenue}}</w:t>
            </w:r>
          </w:p>
        </w:tc>
        <w:tc>
          <w:tcPr>
            <w:tcW w:type="pct" w:w="25%"/>
          </w:tcPr>
          <w:p>
            <w:r>
              <w:rPr>
                <w:sz w:val="20"/>
                <w:szCs w:val="20"/>
              </w:rPr>
              <w:t xml:space="preserve">{{y5q2_costs}}</w:t>
            </w:r>
          </w:p>
        </w:tc>
        <w:tc>
          <w:tcPr>
            <w:tcW w:type="pct" w:w="25%"/>
          </w:tcPr>
          <w:p>
            <w:r>
              <w:rPr>
                <w:sz w:val="20"/>
                <w:szCs w:val="20"/>
              </w:rPr>
              <w:t xml:space="preserve">{{y5q2_net}}</w:t>
            </w:r>
          </w:p>
        </w:tc>
      </w:tr>
      <w:tr>
        <w:tc>
          <w:tcPr>
            <w:tcW w:type="pct" w:w="25%"/>
          </w:tcPr>
          <w:p>
            <w:r>
              <w:rPr>
                <w:sz w:val="20"/>
                <w:szCs w:val="20"/>
              </w:rPr>
              <w:t xml:space="preserve">Y5 Q3</w:t>
            </w:r>
          </w:p>
        </w:tc>
        <w:tc>
          <w:tcPr>
            <w:tcW w:type="pct" w:w="25%"/>
          </w:tcPr>
          <w:p>
            <w:r>
              <w:rPr>
                <w:sz w:val="20"/>
                <w:szCs w:val="20"/>
              </w:rPr>
              <w:t xml:space="preserve">{{y5q3_revenue}}</w:t>
            </w:r>
          </w:p>
        </w:tc>
        <w:tc>
          <w:tcPr>
            <w:tcW w:type="pct" w:w="25%"/>
          </w:tcPr>
          <w:p>
            <w:r>
              <w:rPr>
                <w:sz w:val="20"/>
                <w:szCs w:val="20"/>
              </w:rPr>
              <w:t xml:space="preserve">{{y5q3_costs}}</w:t>
            </w:r>
          </w:p>
        </w:tc>
        <w:tc>
          <w:tcPr>
            <w:tcW w:type="pct" w:w="25%"/>
          </w:tcPr>
          <w:p>
            <w:r>
              <w:rPr>
                <w:sz w:val="20"/>
                <w:szCs w:val="20"/>
              </w:rPr>
              <w:t xml:space="preserve">{{y5q3_net}}</w:t>
            </w:r>
          </w:p>
        </w:tc>
      </w:tr>
      <w:tr>
        <w:tc>
          <w:tcPr>
            <w:tcW w:type="pct" w:w="25%"/>
          </w:tcPr>
          <w:p>
            <w:r>
              <w:rPr>
                <w:sz w:val="20"/>
                <w:szCs w:val="20"/>
              </w:rPr>
              <w:t xml:space="preserve">Y5 Q4</w:t>
            </w:r>
          </w:p>
        </w:tc>
        <w:tc>
          <w:tcPr>
            <w:tcW w:type="pct" w:w="25%"/>
          </w:tcPr>
          <w:p>
            <w:r>
              <w:rPr>
                <w:sz w:val="20"/>
                <w:szCs w:val="20"/>
              </w:rPr>
              <w:t xml:space="preserve">{{y5q4_revenue}}</w:t>
            </w:r>
          </w:p>
        </w:tc>
        <w:tc>
          <w:tcPr>
            <w:tcW w:type="pct" w:w="25%"/>
          </w:tcPr>
          <w:p>
            <w:r>
              <w:rPr>
                <w:sz w:val="20"/>
                <w:szCs w:val="20"/>
              </w:rPr>
              <w:t xml:space="preserve">{{y5q4_costs}}</w:t>
            </w:r>
          </w:p>
        </w:tc>
        <w:tc>
          <w:tcPr>
            <w:tcW w:type="pct" w:w="25%"/>
          </w:tcPr>
          <w:p>
            <w:r>
              <w:rPr>
                <w:sz w:val="20"/>
                <w:szCs w:val="20"/>
              </w:rPr>
              <w:t xml:space="preserve">{{y5q4_net}}</w:t>
            </w:r>
          </w:p>
        </w:tc>
      </w:tr>
      <w:tr>
        <w:tc>
          <w:tcPr>
            <w:tcW w:type="pct" w:w="25%"/>
          </w:tcPr>
          <w:p>
            <w:r>
              <w:rPr>
                <w:b/>
                <w:bCs/>
                <w:sz w:val="20"/>
                <w:szCs w:val="20"/>
              </w:rPr>
              <w:t xml:space="preserve">Year 5 total</w:t>
            </w:r>
          </w:p>
        </w:tc>
        <w:tc>
          <w:tcPr>
            <w:tcW w:type="pct" w:w="25%"/>
          </w:tcPr>
          <w:p>
            <w:r>
              <w:rPr>
                <w:b/>
                <w:bCs/>
                <w:sz w:val="20"/>
                <w:szCs w:val="20"/>
              </w:rPr>
              <w:t xml:space="preserve">{{y5_revenue}}</w:t>
            </w:r>
          </w:p>
        </w:tc>
        <w:tc>
          <w:tcPr>
            <w:tcW w:type="pct" w:w="25%"/>
          </w:tcPr>
          <w:p>
            <w:r>
              <w:rPr>
                <w:b/>
                <w:bCs/>
                <w:sz w:val="20"/>
                <w:szCs w:val="20"/>
              </w:rPr>
              <w:t xml:space="preserve">{{y5_costs}}</w:t>
            </w:r>
          </w:p>
        </w:tc>
        <w:tc>
          <w:tcPr>
            <w:tcW w:type="pct" w:w="25%"/>
          </w:tcPr>
          <w:p>
            <w:r>
              <w:rPr>
                <w:b/>
                <w:bCs/>
                <w:sz w:val="20"/>
                <w:szCs w:val="20"/>
              </w:rPr>
              <w:t xml:space="preserve">{{y5_net}}</w:t>
            </w:r>
          </w:p>
        </w:tc>
      </w:tr>
    </w:tbl>
    <w:p>
      <w:pPr>
        <w:spacing w:after="160" w:line="320"/>
      </w:pPr>
      <w:r>
        <w:rPr>
          <w:sz w:val="22"/>
          <w:szCs w:val="22"/>
        </w:rPr>
        <w:t xml:space="preserve">{{years2to5</w:t>
      </w:r>
      <w:r>
        <w:rPr>
          <w:i/>
          <w:iCs/>
          <w:sz w:val="22"/>
          <w:szCs w:val="22"/>
        </w:rPr>
        <w:t xml:space="preserve">narrative</w:t>
      </w:r>
      <w:r>
        <w:rPr>
          <w:sz w:val="22"/>
          <w:szCs w:val="22"/>
        </w:rPr>
        <w:t xml:space="preserve">paragraph}}</w:t>
      </w:r>
    </w:p>
    <w:p>
      <w:pPr>
        <w:pStyle w:val="Heading2"/>
        <w:spacing w:after="180" w:before="360"/>
      </w:pPr>
      <w:r>
        <w:rPr>
          <w:sz w:val="26"/>
          <w:szCs w:val="26"/>
        </w:rPr>
        <w:t xml:space="preserve">7.4 Five-year balance sheet summary (base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r>
      <w:tr>
        <w:tc>
          <w:tcPr>
            <w:tcW w:type="pct" w:w="16%"/>
          </w:tcPr>
          <w:p>
            <w:r>
              <w:rPr>
                <w:sz w:val="20"/>
                <w:szCs w:val="20"/>
              </w:rPr>
              <w:t xml:space="preserve">Cash and equivalents</w:t>
            </w:r>
          </w:p>
        </w:tc>
        <w:tc>
          <w:tcPr>
            <w:tcW w:type="pct" w:w="16%"/>
          </w:tcPr>
          <w:p>
            <w:r>
              <w:rPr>
                <w:sz w:val="20"/>
                <w:szCs w:val="20"/>
              </w:rPr>
              <w:t xml:space="preserve">{{bs</w:t>
            </w:r>
            <w:r>
              <w:rPr>
                <w:i/>
                <w:iCs/>
                <w:sz w:val="20"/>
                <w:szCs w:val="20"/>
              </w:rPr>
              <w:t xml:space="preserve">cash</w:t>
            </w:r>
            <w:r>
              <w:rPr>
                <w:sz w:val="20"/>
                <w:szCs w:val="20"/>
              </w:rPr>
              <w:t xml:space="preserve">y1}}</w:t>
            </w:r>
          </w:p>
        </w:tc>
        <w:tc>
          <w:tcPr>
            <w:tcW w:type="pct" w:w="16%"/>
          </w:tcPr>
          <w:p>
            <w:r>
              <w:rPr>
                <w:sz w:val="20"/>
                <w:szCs w:val="20"/>
              </w:rPr>
              <w:t xml:space="preserve">{{bs</w:t>
            </w:r>
            <w:r>
              <w:rPr>
                <w:i/>
                <w:iCs/>
                <w:sz w:val="20"/>
                <w:szCs w:val="20"/>
              </w:rPr>
              <w:t xml:space="preserve">cash</w:t>
            </w:r>
            <w:r>
              <w:rPr>
                <w:sz w:val="20"/>
                <w:szCs w:val="20"/>
              </w:rPr>
              <w:t xml:space="preserve">y2}}</w:t>
            </w:r>
          </w:p>
        </w:tc>
        <w:tc>
          <w:tcPr>
            <w:tcW w:type="pct" w:w="16%"/>
          </w:tcPr>
          <w:p>
            <w:r>
              <w:rPr>
                <w:sz w:val="20"/>
                <w:szCs w:val="20"/>
              </w:rPr>
              <w:t xml:space="preserve">{{bs</w:t>
            </w:r>
            <w:r>
              <w:rPr>
                <w:i/>
                <w:iCs/>
                <w:sz w:val="20"/>
                <w:szCs w:val="20"/>
              </w:rPr>
              <w:t xml:space="preserve">cash</w:t>
            </w:r>
            <w:r>
              <w:rPr>
                <w:sz w:val="20"/>
                <w:szCs w:val="20"/>
              </w:rPr>
              <w:t xml:space="preserve">y3}}</w:t>
            </w:r>
          </w:p>
        </w:tc>
        <w:tc>
          <w:tcPr>
            <w:tcW w:type="pct" w:w="16%"/>
          </w:tcPr>
          <w:p>
            <w:r>
              <w:rPr>
                <w:sz w:val="20"/>
                <w:szCs w:val="20"/>
              </w:rPr>
              <w:t xml:space="preserve">{{bs</w:t>
            </w:r>
            <w:r>
              <w:rPr>
                <w:i/>
                <w:iCs/>
                <w:sz w:val="20"/>
                <w:szCs w:val="20"/>
              </w:rPr>
              <w:t xml:space="preserve">cash</w:t>
            </w:r>
            <w:r>
              <w:rPr>
                <w:sz w:val="20"/>
                <w:szCs w:val="20"/>
              </w:rPr>
              <w:t xml:space="preserve">y4}}</w:t>
            </w:r>
          </w:p>
        </w:tc>
        <w:tc>
          <w:tcPr>
            <w:tcW w:type="pct" w:w="16%"/>
          </w:tcPr>
          <w:p>
            <w:r>
              <w:rPr>
                <w:sz w:val="20"/>
                <w:szCs w:val="20"/>
              </w:rPr>
              <w:t xml:space="preserve">{{bs</w:t>
            </w:r>
            <w:r>
              <w:rPr>
                <w:i/>
                <w:iCs/>
                <w:sz w:val="20"/>
                <w:szCs w:val="20"/>
              </w:rPr>
              <w:t xml:space="preserve">cash</w:t>
            </w:r>
            <w:r>
              <w:rPr>
                <w:sz w:val="20"/>
                <w:szCs w:val="20"/>
              </w:rPr>
              <w:t xml:space="preserve">y5}}</w:t>
            </w:r>
          </w:p>
        </w:tc>
      </w:tr>
      <w:tr>
        <w:tc>
          <w:tcPr>
            <w:tcW w:type="pct" w:w="16%"/>
          </w:tcPr>
          <w:p>
            <w:r>
              <w:rPr>
                <w:sz w:val="20"/>
                <w:szCs w:val="20"/>
              </w:rPr>
              <w:t xml:space="preserve">Accounts receivable</w:t>
            </w:r>
          </w:p>
        </w:tc>
        <w:tc>
          <w:tcPr>
            <w:tcW w:type="pct" w:w="16%"/>
          </w:tcPr>
          <w:p>
            <w:r>
              <w:rPr>
                <w:sz w:val="20"/>
                <w:szCs w:val="20"/>
              </w:rPr>
              <w:t xml:space="preserve">{{bs</w:t>
            </w:r>
            <w:r>
              <w:rPr>
                <w:i/>
                <w:iCs/>
                <w:sz w:val="20"/>
                <w:szCs w:val="20"/>
              </w:rPr>
              <w:t xml:space="preserve">ar</w:t>
            </w:r>
            <w:r>
              <w:rPr>
                <w:sz w:val="20"/>
                <w:szCs w:val="20"/>
              </w:rPr>
              <w:t xml:space="preserve">y1}}</w:t>
            </w:r>
          </w:p>
        </w:tc>
        <w:tc>
          <w:tcPr>
            <w:tcW w:type="pct" w:w="16%"/>
          </w:tcPr>
          <w:p>
            <w:r>
              <w:rPr>
                <w:sz w:val="20"/>
                <w:szCs w:val="20"/>
              </w:rPr>
              <w:t xml:space="preserve">{{bs</w:t>
            </w:r>
            <w:r>
              <w:rPr>
                <w:i/>
                <w:iCs/>
                <w:sz w:val="20"/>
                <w:szCs w:val="20"/>
              </w:rPr>
              <w:t xml:space="preserve">ar</w:t>
            </w:r>
            <w:r>
              <w:rPr>
                <w:sz w:val="20"/>
                <w:szCs w:val="20"/>
              </w:rPr>
              <w:t xml:space="preserve">y2}}</w:t>
            </w:r>
          </w:p>
        </w:tc>
        <w:tc>
          <w:tcPr>
            <w:tcW w:type="pct" w:w="16%"/>
          </w:tcPr>
          <w:p>
            <w:r>
              <w:rPr>
                <w:sz w:val="20"/>
                <w:szCs w:val="20"/>
              </w:rPr>
              <w:t xml:space="preserve">{{bs</w:t>
            </w:r>
            <w:r>
              <w:rPr>
                <w:i/>
                <w:iCs/>
                <w:sz w:val="20"/>
                <w:szCs w:val="20"/>
              </w:rPr>
              <w:t xml:space="preserve">ar</w:t>
            </w:r>
            <w:r>
              <w:rPr>
                <w:sz w:val="20"/>
                <w:szCs w:val="20"/>
              </w:rPr>
              <w:t xml:space="preserve">y3}}</w:t>
            </w:r>
          </w:p>
        </w:tc>
        <w:tc>
          <w:tcPr>
            <w:tcW w:type="pct" w:w="16%"/>
          </w:tcPr>
          <w:p>
            <w:r>
              <w:rPr>
                <w:sz w:val="20"/>
                <w:szCs w:val="20"/>
              </w:rPr>
              <w:t xml:space="preserve">{{bs</w:t>
            </w:r>
            <w:r>
              <w:rPr>
                <w:i/>
                <w:iCs/>
                <w:sz w:val="20"/>
                <w:szCs w:val="20"/>
              </w:rPr>
              <w:t xml:space="preserve">ar</w:t>
            </w:r>
            <w:r>
              <w:rPr>
                <w:sz w:val="20"/>
                <w:szCs w:val="20"/>
              </w:rPr>
              <w:t xml:space="preserve">y4}}</w:t>
            </w:r>
          </w:p>
        </w:tc>
        <w:tc>
          <w:tcPr>
            <w:tcW w:type="pct" w:w="16%"/>
          </w:tcPr>
          <w:p>
            <w:r>
              <w:rPr>
                <w:sz w:val="20"/>
                <w:szCs w:val="20"/>
              </w:rPr>
              <w:t xml:space="preserve">{{bs</w:t>
            </w:r>
            <w:r>
              <w:rPr>
                <w:i/>
                <w:iCs/>
                <w:sz w:val="20"/>
                <w:szCs w:val="20"/>
              </w:rPr>
              <w:t xml:space="preserve">ar</w:t>
            </w:r>
            <w:r>
              <w:rPr>
                <w:sz w:val="20"/>
                <w:szCs w:val="20"/>
              </w:rPr>
              <w:t xml:space="preserve">y5}}</w:t>
            </w:r>
          </w:p>
        </w:tc>
      </w:tr>
      <w:tr>
        <w:tc>
          <w:tcPr>
            <w:tcW w:type="pct" w:w="16%"/>
          </w:tcPr>
          <w:p>
            <w:r>
              <w:rPr>
                <w:sz w:val="20"/>
                <w:szCs w:val="20"/>
              </w:rPr>
              <w:t xml:space="preserve">Inventory</w:t>
            </w:r>
          </w:p>
        </w:tc>
        <w:tc>
          <w:tcPr>
            <w:tcW w:type="pct" w:w="16%"/>
          </w:tcPr>
          <w:p>
            <w:r>
              <w:rPr>
                <w:sz w:val="20"/>
                <w:szCs w:val="20"/>
              </w:rPr>
              <w:t xml:space="preserve">{{bs</w:t>
            </w:r>
            <w:r>
              <w:rPr>
                <w:i/>
                <w:iCs/>
                <w:sz w:val="20"/>
                <w:szCs w:val="20"/>
              </w:rPr>
              <w:t xml:space="preserve">inv</w:t>
            </w:r>
            <w:r>
              <w:rPr>
                <w:sz w:val="20"/>
                <w:szCs w:val="20"/>
              </w:rPr>
              <w:t xml:space="preserve">y1}}</w:t>
            </w:r>
          </w:p>
        </w:tc>
        <w:tc>
          <w:tcPr>
            <w:tcW w:type="pct" w:w="16%"/>
          </w:tcPr>
          <w:p>
            <w:r>
              <w:rPr>
                <w:sz w:val="20"/>
                <w:szCs w:val="20"/>
              </w:rPr>
              <w:t xml:space="preserve">{{bs</w:t>
            </w:r>
            <w:r>
              <w:rPr>
                <w:i/>
                <w:iCs/>
                <w:sz w:val="20"/>
                <w:szCs w:val="20"/>
              </w:rPr>
              <w:t xml:space="preserve">inv</w:t>
            </w:r>
            <w:r>
              <w:rPr>
                <w:sz w:val="20"/>
                <w:szCs w:val="20"/>
              </w:rPr>
              <w:t xml:space="preserve">y2}}</w:t>
            </w:r>
          </w:p>
        </w:tc>
        <w:tc>
          <w:tcPr>
            <w:tcW w:type="pct" w:w="16%"/>
          </w:tcPr>
          <w:p>
            <w:r>
              <w:rPr>
                <w:sz w:val="20"/>
                <w:szCs w:val="20"/>
              </w:rPr>
              <w:t xml:space="preserve">{{bs</w:t>
            </w:r>
            <w:r>
              <w:rPr>
                <w:i/>
                <w:iCs/>
                <w:sz w:val="20"/>
                <w:szCs w:val="20"/>
              </w:rPr>
              <w:t xml:space="preserve">inv</w:t>
            </w:r>
            <w:r>
              <w:rPr>
                <w:sz w:val="20"/>
                <w:szCs w:val="20"/>
              </w:rPr>
              <w:t xml:space="preserve">y3}}</w:t>
            </w:r>
          </w:p>
        </w:tc>
        <w:tc>
          <w:tcPr>
            <w:tcW w:type="pct" w:w="16%"/>
          </w:tcPr>
          <w:p>
            <w:r>
              <w:rPr>
                <w:sz w:val="20"/>
                <w:szCs w:val="20"/>
              </w:rPr>
              <w:t xml:space="preserve">{{bs</w:t>
            </w:r>
            <w:r>
              <w:rPr>
                <w:i/>
                <w:iCs/>
                <w:sz w:val="20"/>
                <w:szCs w:val="20"/>
              </w:rPr>
              <w:t xml:space="preserve">inv</w:t>
            </w:r>
            <w:r>
              <w:rPr>
                <w:sz w:val="20"/>
                <w:szCs w:val="20"/>
              </w:rPr>
              <w:t xml:space="preserve">y4}}</w:t>
            </w:r>
          </w:p>
        </w:tc>
        <w:tc>
          <w:tcPr>
            <w:tcW w:type="pct" w:w="16%"/>
          </w:tcPr>
          <w:p>
            <w:r>
              <w:rPr>
                <w:sz w:val="20"/>
                <w:szCs w:val="20"/>
              </w:rPr>
              <w:t xml:space="preserve">{{bs</w:t>
            </w:r>
            <w:r>
              <w:rPr>
                <w:i/>
                <w:iCs/>
                <w:sz w:val="20"/>
                <w:szCs w:val="20"/>
              </w:rPr>
              <w:t xml:space="preserve">inv</w:t>
            </w:r>
            <w:r>
              <w:rPr>
                <w:sz w:val="20"/>
                <w:szCs w:val="20"/>
              </w:rPr>
              <w:t xml:space="preserve">y5}}</w:t>
            </w:r>
          </w:p>
        </w:tc>
      </w:tr>
      <w:tr>
        <w:tc>
          <w:tcPr>
            <w:tcW w:type="pct" w:w="16%"/>
          </w:tcPr>
          <w:p>
            <w:r>
              <w:rPr>
                <w:sz w:val="20"/>
                <w:szCs w:val="20"/>
              </w:rPr>
              <w:t xml:space="preserve">Fixed assets (net)</w:t>
            </w:r>
          </w:p>
        </w:tc>
        <w:tc>
          <w:tcPr>
            <w:tcW w:type="pct" w:w="16%"/>
          </w:tcPr>
          <w:p>
            <w:r>
              <w:rPr>
                <w:sz w:val="20"/>
                <w:szCs w:val="20"/>
              </w:rPr>
              <w:t xml:space="preserve">{{bs</w:t>
            </w:r>
            <w:r>
              <w:rPr>
                <w:i/>
                <w:iCs/>
                <w:sz w:val="20"/>
                <w:szCs w:val="20"/>
              </w:rPr>
              <w:t xml:space="preserve">fa</w:t>
            </w:r>
            <w:r>
              <w:rPr>
                <w:sz w:val="20"/>
                <w:szCs w:val="20"/>
              </w:rPr>
              <w:t xml:space="preserve">y1}}</w:t>
            </w:r>
          </w:p>
        </w:tc>
        <w:tc>
          <w:tcPr>
            <w:tcW w:type="pct" w:w="16%"/>
          </w:tcPr>
          <w:p>
            <w:r>
              <w:rPr>
                <w:sz w:val="20"/>
                <w:szCs w:val="20"/>
              </w:rPr>
              <w:t xml:space="preserve">{{bs</w:t>
            </w:r>
            <w:r>
              <w:rPr>
                <w:i/>
                <w:iCs/>
                <w:sz w:val="20"/>
                <w:szCs w:val="20"/>
              </w:rPr>
              <w:t xml:space="preserve">fa</w:t>
            </w:r>
            <w:r>
              <w:rPr>
                <w:sz w:val="20"/>
                <w:szCs w:val="20"/>
              </w:rPr>
              <w:t xml:space="preserve">y2}}</w:t>
            </w:r>
          </w:p>
        </w:tc>
        <w:tc>
          <w:tcPr>
            <w:tcW w:type="pct" w:w="16%"/>
          </w:tcPr>
          <w:p>
            <w:r>
              <w:rPr>
                <w:sz w:val="20"/>
                <w:szCs w:val="20"/>
              </w:rPr>
              <w:t xml:space="preserve">{{bs</w:t>
            </w:r>
            <w:r>
              <w:rPr>
                <w:i/>
                <w:iCs/>
                <w:sz w:val="20"/>
                <w:szCs w:val="20"/>
              </w:rPr>
              <w:t xml:space="preserve">fa</w:t>
            </w:r>
            <w:r>
              <w:rPr>
                <w:sz w:val="20"/>
                <w:szCs w:val="20"/>
              </w:rPr>
              <w:t xml:space="preserve">y3}}</w:t>
            </w:r>
          </w:p>
        </w:tc>
        <w:tc>
          <w:tcPr>
            <w:tcW w:type="pct" w:w="16%"/>
          </w:tcPr>
          <w:p>
            <w:r>
              <w:rPr>
                <w:sz w:val="20"/>
                <w:szCs w:val="20"/>
              </w:rPr>
              <w:t xml:space="preserve">{{bs</w:t>
            </w:r>
            <w:r>
              <w:rPr>
                <w:i/>
                <w:iCs/>
                <w:sz w:val="20"/>
                <w:szCs w:val="20"/>
              </w:rPr>
              <w:t xml:space="preserve">fa</w:t>
            </w:r>
            <w:r>
              <w:rPr>
                <w:sz w:val="20"/>
                <w:szCs w:val="20"/>
              </w:rPr>
              <w:t xml:space="preserve">y4}}</w:t>
            </w:r>
          </w:p>
        </w:tc>
        <w:tc>
          <w:tcPr>
            <w:tcW w:type="pct" w:w="16%"/>
          </w:tcPr>
          <w:p>
            <w:r>
              <w:rPr>
                <w:sz w:val="20"/>
                <w:szCs w:val="20"/>
              </w:rPr>
              <w:t xml:space="preserve">{{bs</w:t>
            </w:r>
            <w:r>
              <w:rPr>
                <w:i/>
                <w:iCs/>
                <w:sz w:val="20"/>
                <w:szCs w:val="20"/>
              </w:rPr>
              <w:t xml:space="preserve">fa</w:t>
            </w:r>
            <w:r>
              <w:rPr>
                <w:sz w:val="20"/>
                <w:szCs w:val="20"/>
              </w:rPr>
              <w:t xml:space="preserve">y5}}</w:t>
            </w:r>
          </w:p>
        </w:tc>
      </w:tr>
      <w:tr>
        <w:tc>
          <w:tcPr>
            <w:tcW w:type="pct" w:w="16%"/>
          </w:tcPr>
          <w:p>
            <w:r>
              <w:rPr>
                <w:b/>
                <w:bCs/>
                <w:sz w:val="20"/>
                <w:szCs w:val="20"/>
              </w:rPr>
              <w:t xml:space="preserve">Total assets</w:t>
            </w:r>
          </w:p>
        </w:tc>
        <w:tc>
          <w:tcPr>
            <w:tcW w:type="pct" w:w="16%"/>
          </w:tcPr>
          <w:p>
            <w:r>
              <w:rPr>
                <w:b/>
                <w:bCs/>
                <w:sz w:val="20"/>
                <w:szCs w:val="20"/>
              </w:rPr>
              <w:t xml:space="preserve">{{bs_ta_y1}}</w:t>
            </w:r>
          </w:p>
        </w:tc>
        <w:tc>
          <w:tcPr>
            <w:tcW w:type="pct" w:w="16%"/>
          </w:tcPr>
          <w:p>
            <w:r>
              <w:rPr>
                <w:b/>
                <w:bCs/>
                <w:sz w:val="20"/>
                <w:szCs w:val="20"/>
              </w:rPr>
              <w:t xml:space="preserve">{{bs_ta_y2}}</w:t>
            </w:r>
          </w:p>
        </w:tc>
        <w:tc>
          <w:tcPr>
            <w:tcW w:type="pct" w:w="16%"/>
          </w:tcPr>
          <w:p>
            <w:r>
              <w:rPr>
                <w:b/>
                <w:bCs/>
                <w:sz w:val="20"/>
                <w:szCs w:val="20"/>
              </w:rPr>
              <w:t xml:space="preserve">{{bs_ta_y3}}</w:t>
            </w:r>
          </w:p>
        </w:tc>
        <w:tc>
          <w:tcPr>
            <w:tcW w:type="pct" w:w="16%"/>
          </w:tcPr>
          <w:p>
            <w:r>
              <w:rPr>
                <w:b/>
                <w:bCs/>
                <w:sz w:val="20"/>
                <w:szCs w:val="20"/>
              </w:rPr>
              <w:t xml:space="preserve">{{bs_ta_y4}}</w:t>
            </w:r>
          </w:p>
        </w:tc>
        <w:tc>
          <w:tcPr>
            <w:tcW w:type="pct" w:w="16%"/>
          </w:tcPr>
          <w:p>
            <w:r>
              <w:rPr>
                <w:b/>
                <w:bCs/>
                <w:sz w:val="20"/>
                <w:szCs w:val="20"/>
              </w:rPr>
              <w:t xml:space="preserve">{{bs_ta_y5}}</w:t>
            </w:r>
          </w:p>
        </w:tc>
      </w:tr>
      <w:tr>
        <w:tc>
          <w:tcPr>
            <w:tcW w:type="pct" w:w="16%"/>
          </w:tcPr>
          <w:p>
            <w:r>
              <w:rPr>
                <w:sz w:val="20"/>
                <w:szCs w:val="20"/>
              </w:rPr>
              <w:t xml:space="preserve">Accounts payable</w:t>
            </w:r>
          </w:p>
        </w:tc>
        <w:tc>
          <w:tcPr>
            <w:tcW w:type="pct" w:w="16%"/>
          </w:tcPr>
          <w:p>
            <w:r>
              <w:rPr>
                <w:sz w:val="20"/>
                <w:szCs w:val="20"/>
              </w:rPr>
              <w:t xml:space="preserve">{{bs</w:t>
            </w:r>
            <w:r>
              <w:rPr>
                <w:i/>
                <w:iCs/>
                <w:sz w:val="20"/>
                <w:szCs w:val="20"/>
              </w:rPr>
              <w:t xml:space="preserve">ap</w:t>
            </w:r>
            <w:r>
              <w:rPr>
                <w:sz w:val="20"/>
                <w:szCs w:val="20"/>
              </w:rPr>
              <w:t xml:space="preserve">y1}}</w:t>
            </w:r>
          </w:p>
        </w:tc>
        <w:tc>
          <w:tcPr>
            <w:tcW w:type="pct" w:w="16%"/>
          </w:tcPr>
          <w:p>
            <w:r>
              <w:rPr>
                <w:sz w:val="20"/>
                <w:szCs w:val="20"/>
              </w:rPr>
              <w:t xml:space="preserve">{{bs</w:t>
            </w:r>
            <w:r>
              <w:rPr>
                <w:i/>
                <w:iCs/>
                <w:sz w:val="20"/>
                <w:szCs w:val="20"/>
              </w:rPr>
              <w:t xml:space="preserve">ap</w:t>
            </w:r>
            <w:r>
              <w:rPr>
                <w:sz w:val="20"/>
                <w:szCs w:val="20"/>
              </w:rPr>
              <w:t xml:space="preserve">y2}}</w:t>
            </w:r>
          </w:p>
        </w:tc>
        <w:tc>
          <w:tcPr>
            <w:tcW w:type="pct" w:w="16%"/>
          </w:tcPr>
          <w:p>
            <w:r>
              <w:rPr>
                <w:sz w:val="20"/>
                <w:szCs w:val="20"/>
              </w:rPr>
              <w:t xml:space="preserve">{{bs</w:t>
            </w:r>
            <w:r>
              <w:rPr>
                <w:i/>
                <w:iCs/>
                <w:sz w:val="20"/>
                <w:szCs w:val="20"/>
              </w:rPr>
              <w:t xml:space="preserve">ap</w:t>
            </w:r>
            <w:r>
              <w:rPr>
                <w:sz w:val="20"/>
                <w:szCs w:val="20"/>
              </w:rPr>
              <w:t xml:space="preserve">y3}}</w:t>
            </w:r>
          </w:p>
        </w:tc>
        <w:tc>
          <w:tcPr>
            <w:tcW w:type="pct" w:w="16%"/>
          </w:tcPr>
          <w:p>
            <w:r>
              <w:rPr>
                <w:sz w:val="20"/>
                <w:szCs w:val="20"/>
              </w:rPr>
              <w:t xml:space="preserve">{{bs</w:t>
            </w:r>
            <w:r>
              <w:rPr>
                <w:i/>
                <w:iCs/>
                <w:sz w:val="20"/>
                <w:szCs w:val="20"/>
              </w:rPr>
              <w:t xml:space="preserve">ap</w:t>
            </w:r>
            <w:r>
              <w:rPr>
                <w:sz w:val="20"/>
                <w:szCs w:val="20"/>
              </w:rPr>
              <w:t xml:space="preserve">y4}}</w:t>
            </w:r>
          </w:p>
        </w:tc>
        <w:tc>
          <w:tcPr>
            <w:tcW w:type="pct" w:w="16%"/>
          </w:tcPr>
          <w:p>
            <w:r>
              <w:rPr>
                <w:sz w:val="20"/>
                <w:szCs w:val="20"/>
              </w:rPr>
              <w:t xml:space="preserve">{{bs</w:t>
            </w:r>
            <w:r>
              <w:rPr>
                <w:i/>
                <w:iCs/>
                <w:sz w:val="20"/>
                <w:szCs w:val="20"/>
              </w:rPr>
              <w:t xml:space="preserve">ap</w:t>
            </w:r>
            <w:r>
              <w:rPr>
                <w:sz w:val="20"/>
                <w:szCs w:val="20"/>
              </w:rPr>
              <w:t xml:space="preserve">y5}}</w:t>
            </w:r>
          </w:p>
        </w:tc>
      </w:tr>
      <w:tr>
        <w:tc>
          <w:tcPr>
            <w:tcW w:type="pct" w:w="16%"/>
          </w:tcPr>
          <w:p>
            <w:r>
              <w:rPr>
                <w:sz w:val="20"/>
                <w:szCs w:val="20"/>
              </w:rPr>
              <w:t xml:space="preserve">Accrued expenses</w:t>
            </w:r>
          </w:p>
        </w:tc>
        <w:tc>
          <w:tcPr>
            <w:tcW w:type="pct" w:w="16%"/>
          </w:tcPr>
          <w:p>
            <w:r>
              <w:rPr>
                <w:sz w:val="20"/>
                <w:szCs w:val="20"/>
              </w:rPr>
              <w:t xml:space="preserve">{{bs</w:t>
            </w:r>
            <w:r>
              <w:rPr>
                <w:i/>
                <w:iCs/>
                <w:sz w:val="20"/>
                <w:szCs w:val="20"/>
              </w:rPr>
              <w:t xml:space="preserve">ae</w:t>
            </w:r>
            <w:r>
              <w:rPr>
                <w:sz w:val="20"/>
                <w:szCs w:val="20"/>
              </w:rPr>
              <w:t xml:space="preserve">y1}}</w:t>
            </w:r>
          </w:p>
        </w:tc>
        <w:tc>
          <w:tcPr>
            <w:tcW w:type="pct" w:w="16%"/>
          </w:tcPr>
          <w:p>
            <w:r>
              <w:rPr>
                <w:sz w:val="20"/>
                <w:szCs w:val="20"/>
              </w:rPr>
              <w:t xml:space="preserve">{{bs</w:t>
            </w:r>
            <w:r>
              <w:rPr>
                <w:i/>
                <w:iCs/>
                <w:sz w:val="20"/>
                <w:szCs w:val="20"/>
              </w:rPr>
              <w:t xml:space="preserve">ae</w:t>
            </w:r>
            <w:r>
              <w:rPr>
                <w:sz w:val="20"/>
                <w:szCs w:val="20"/>
              </w:rPr>
              <w:t xml:space="preserve">y2}}</w:t>
            </w:r>
          </w:p>
        </w:tc>
        <w:tc>
          <w:tcPr>
            <w:tcW w:type="pct" w:w="16%"/>
          </w:tcPr>
          <w:p>
            <w:r>
              <w:rPr>
                <w:sz w:val="20"/>
                <w:szCs w:val="20"/>
              </w:rPr>
              <w:t xml:space="preserve">{{bs</w:t>
            </w:r>
            <w:r>
              <w:rPr>
                <w:i/>
                <w:iCs/>
                <w:sz w:val="20"/>
                <w:szCs w:val="20"/>
              </w:rPr>
              <w:t xml:space="preserve">ae</w:t>
            </w:r>
            <w:r>
              <w:rPr>
                <w:sz w:val="20"/>
                <w:szCs w:val="20"/>
              </w:rPr>
              <w:t xml:space="preserve">y3}}</w:t>
            </w:r>
          </w:p>
        </w:tc>
        <w:tc>
          <w:tcPr>
            <w:tcW w:type="pct" w:w="16%"/>
          </w:tcPr>
          <w:p>
            <w:r>
              <w:rPr>
                <w:sz w:val="20"/>
                <w:szCs w:val="20"/>
              </w:rPr>
              <w:t xml:space="preserve">{{bs</w:t>
            </w:r>
            <w:r>
              <w:rPr>
                <w:i/>
                <w:iCs/>
                <w:sz w:val="20"/>
                <w:szCs w:val="20"/>
              </w:rPr>
              <w:t xml:space="preserve">ae</w:t>
            </w:r>
            <w:r>
              <w:rPr>
                <w:sz w:val="20"/>
                <w:szCs w:val="20"/>
              </w:rPr>
              <w:t xml:space="preserve">y4}}</w:t>
            </w:r>
          </w:p>
        </w:tc>
        <w:tc>
          <w:tcPr>
            <w:tcW w:type="pct" w:w="16%"/>
          </w:tcPr>
          <w:p>
            <w:r>
              <w:rPr>
                <w:sz w:val="20"/>
                <w:szCs w:val="20"/>
              </w:rPr>
              <w:t xml:space="preserve">{{bs</w:t>
            </w:r>
            <w:r>
              <w:rPr>
                <w:i/>
                <w:iCs/>
                <w:sz w:val="20"/>
                <w:szCs w:val="20"/>
              </w:rPr>
              <w:t xml:space="preserve">ae</w:t>
            </w:r>
            <w:r>
              <w:rPr>
                <w:sz w:val="20"/>
                <w:szCs w:val="20"/>
              </w:rPr>
              <w:t xml:space="preserve">y5}}</w:t>
            </w:r>
          </w:p>
        </w:tc>
      </w:tr>
      <w:tr>
        <w:tc>
          <w:tcPr>
            <w:tcW w:type="pct" w:w="16%"/>
          </w:tcPr>
          <w:p>
            <w:r>
              <w:rPr>
                <w:sz w:val="20"/>
                <w:szCs w:val="20"/>
              </w:rPr>
              <w:t xml:space="preserve">Long-term debt</w:t>
            </w:r>
          </w:p>
        </w:tc>
        <w:tc>
          <w:tcPr>
            <w:tcW w:type="pct" w:w="16%"/>
          </w:tcPr>
          <w:p>
            <w:r>
              <w:rPr>
                <w:sz w:val="20"/>
                <w:szCs w:val="20"/>
              </w:rPr>
              <w:t xml:space="preserve">{{bs</w:t>
            </w:r>
            <w:r>
              <w:rPr>
                <w:i/>
                <w:iCs/>
                <w:sz w:val="20"/>
                <w:szCs w:val="20"/>
              </w:rPr>
              <w:t xml:space="preserve">ltd</w:t>
            </w:r>
            <w:r>
              <w:rPr>
                <w:sz w:val="20"/>
                <w:szCs w:val="20"/>
              </w:rPr>
              <w:t xml:space="preserve">y1}}</w:t>
            </w:r>
          </w:p>
        </w:tc>
        <w:tc>
          <w:tcPr>
            <w:tcW w:type="pct" w:w="16%"/>
          </w:tcPr>
          <w:p>
            <w:r>
              <w:rPr>
                <w:sz w:val="20"/>
                <w:szCs w:val="20"/>
              </w:rPr>
              <w:t xml:space="preserve">{{bs</w:t>
            </w:r>
            <w:r>
              <w:rPr>
                <w:i/>
                <w:iCs/>
                <w:sz w:val="20"/>
                <w:szCs w:val="20"/>
              </w:rPr>
              <w:t xml:space="preserve">ltd</w:t>
            </w:r>
            <w:r>
              <w:rPr>
                <w:sz w:val="20"/>
                <w:szCs w:val="20"/>
              </w:rPr>
              <w:t xml:space="preserve">y2}}</w:t>
            </w:r>
          </w:p>
        </w:tc>
        <w:tc>
          <w:tcPr>
            <w:tcW w:type="pct" w:w="16%"/>
          </w:tcPr>
          <w:p>
            <w:r>
              <w:rPr>
                <w:sz w:val="20"/>
                <w:szCs w:val="20"/>
              </w:rPr>
              <w:t xml:space="preserve">{{bs</w:t>
            </w:r>
            <w:r>
              <w:rPr>
                <w:i/>
                <w:iCs/>
                <w:sz w:val="20"/>
                <w:szCs w:val="20"/>
              </w:rPr>
              <w:t xml:space="preserve">ltd</w:t>
            </w:r>
            <w:r>
              <w:rPr>
                <w:sz w:val="20"/>
                <w:szCs w:val="20"/>
              </w:rPr>
              <w:t xml:space="preserve">y3}}</w:t>
            </w:r>
          </w:p>
        </w:tc>
        <w:tc>
          <w:tcPr>
            <w:tcW w:type="pct" w:w="16%"/>
          </w:tcPr>
          <w:p>
            <w:r>
              <w:rPr>
                <w:sz w:val="20"/>
                <w:szCs w:val="20"/>
              </w:rPr>
              <w:t xml:space="preserve">{{bs</w:t>
            </w:r>
            <w:r>
              <w:rPr>
                <w:i/>
                <w:iCs/>
                <w:sz w:val="20"/>
                <w:szCs w:val="20"/>
              </w:rPr>
              <w:t xml:space="preserve">ltd</w:t>
            </w:r>
            <w:r>
              <w:rPr>
                <w:sz w:val="20"/>
                <w:szCs w:val="20"/>
              </w:rPr>
              <w:t xml:space="preserve">y4}}</w:t>
            </w:r>
          </w:p>
        </w:tc>
        <w:tc>
          <w:tcPr>
            <w:tcW w:type="pct" w:w="16%"/>
          </w:tcPr>
          <w:p>
            <w:r>
              <w:rPr>
                <w:sz w:val="20"/>
                <w:szCs w:val="20"/>
              </w:rPr>
              <w:t xml:space="preserve">{{bs</w:t>
            </w:r>
            <w:r>
              <w:rPr>
                <w:i/>
                <w:iCs/>
                <w:sz w:val="20"/>
                <w:szCs w:val="20"/>
              </w:rPr>
              <w:t xml:space="preserve">ltd</w:t>
            </w:r>
            <w:r>
              <w:rPr>
                <w:sz w:val="20"/>
                <w:szCs w:val="20"/>
              </w:rPr>
              <w:t xml:space="preserve">y5}}</w:t>
            </w:r>
          </w:p>
        </w:tc>
      </w:tr>
      <w:tr>
        <w:tc>
          <w:tcPr>
            <w:tcW w:type="pct" w:w="16%"/>
          </w:tcPr>
          <w:p>
            <w:r>
              <w:rPr>
                <w:b/>
                <w:bCs/>
                <w:sz w:val="20"/>
                <w:szCs w:val="20"/>
              </w:rPr>
              <w:t xml:space="preserve">Total liabilities</w:t>
            </w:r>
          </w:p>
        </w:tc>
        <w:tc>
          <w:tcPr>
            <w:tcW w:type="pct" w:w="16%"/>
          </w:tcPr>
          <w:p>
            <w:r>
              <w:rPr>
                <w:b/>
                <w:bCs/>
                <w:sz w:val="20"/>
                <w:szCs w:val="20"/>
              </w:rPr>
              <w:t xml:space="preserve">{{bs_tl_y1}}</w:t>
            </w:r>
          </w:p>
        </w:tc>
        <w:tc>
          <w:tcPr>
            <w:tcW w:type="pct" w:w="16%"/>
          </w:tcPr>
          <w:p>
            <w:r>
              <w:rPr>
                <w:b/>
                <w:bCs/>
                <w:sz w:val="20"/>
                <w:szCs w:val="20"/>
              </w:rPr>
              <w:t xml:space="preserve">{{bs_tl_y2}}</w:t>
            </w:r>
          </w:p>
        </w:tc>
        <w:tc>
          <w:tcPr>
            <w:tcW w:type="pct" w:w="16%"/>
          </w:tcPr>
          <w:p>
            <w:r>
              <w:rPr>
                <w:b/>
                <w:bCs/>
                <w:sz w:val="20"/>
                <w:szCs w:val="20"/>
              </w:rPr>
              <w:t xml:space="preserve">{{bs_tl_y3}}</w:t>
            </w:r>
          </w:p>
        </w:tc>
        <w:tc>
          <w:tcPr>
            <w:tcW w:type="pct" w:w="16%"/>
          </w:tcPr>
          <w:p>
            <w:r>
              <w:rPr>
                <w:b/>
                <w:bCs/>
                <w:sz w:val="20"/>
                <w:szCs w:val="20"/>
              </w:rPr>
              <w:t xml:space="preserve">{{bs_tl_y4}}</w:t>
            </w:r>
          </w:p>
        </w:tc>
        <w:tc>
          <w:tcPr>
            <w:tcW w:type="pct" w:w="16%"/>
          </w:tcPr>
          <w:p>
            <w:r>
              <w:rPr>
                <w:b/>
                <w:bCs/>
                <w:sz w:val="20"/>
                <w:szCs w:val="20"/>
              </w:rPr>
              <w:t xml:space="preserve">{{bs_tl_y5}}</w:t>
            </w:r>
          </w:p>
        </w:tc>
      </w:tr>
      <w:tr>
        <w:tc>
          <w:tcPr>
            <w:tcW w:type="pct" w:w="16%"/>
          </w:tcPr>
          <w:p>
            <w:r>
              <w:rPr>
                <w:b/>
                <w:bCs/>
                <w:sz w:val="20"/>
                <w:szCs w:val="20"/>
              </w:rPr>
              <w:t xml:space="preserve">Owner's equity</w:t>
            </w:r>
          </w:p>
        </w:tc>
        <w:tc>
          <w:tcPr>
            <w:tcW w:type="pct" w:w="16%"/>
          </w:tcPr>
          <w:p>
            <w:r>
              <w:rPr>
                <w:b/>
                <w:bCs/>
                <w:sz w:val="20"/>
                <w:szCs w:val="20"/>
              </w:rPr>
              <w:t xml:space="preserve">{{bs_oe_y1}}</w:t>
            </w:r>
          </w:p>
        </w:tc>
        <w:tc>
          <w:tcPr>
            <w:tcW w:type="pct" w:w="16%"/>
          </w:tcPr>
          <w:p>
            <w:r>
              <w:rPr>
                <w:b/>
                <w:bCs/>
                <w:sz w:val="20"/>
                <w:szCs w:val="20"/>
              </w:rPr>
              <w:t xml:space="preserve">{{bs_oe_y2}}</w:t>
            </w:r>
          </w:p>
        </w:tc>
        <w:tc>
          <w:tcPr>
            <w:tcW w:type="pct" w:w="16%"/>
          </w:tcPr>
          <w:p>
            <w:r>
              <w:rPr>
                <w:b/>
                <w:bCs/>
                <w:sz w:val="20"/>
                <w:szCs w:val="20"/>
              </w:rPr>
              <w:t xml:space="preserve">{{bs_oe_y3}}</w:t>
            </w:r>
          </w:p>
        </w:tc>
        <w:tc>
          <w:tcPr>
            <w:tcW w:type="pct" w:w="16%"/>
          </w:tcPr>
          <w:p>
            <w:r>
              <w:rPr>
                <w:b/>
                <w:bCs/>
                <w:sz w:val="20"/>
                <w:szCs w:val="20"/>
              </w:rPr>
              <w:t xml:space="preserve">{{bs_oe_y4}}</w:t>
            </w:r>
          </w:p>
        </w:tc>
        <w:tc>
          <w:tcPr>
            <w:tcW w:type="pct" w:w="16%"/>
          </w:tcPr>
          <w:p>
            <w:r>
              <w:rPr>
                <w:b/>
                <w:bCs/>
                <w:sz w:val="20"/>
                <w:szCs w:val="20"/>
              </w:rPr>
              <w:t xml:space="preserve">{{bs_oe_y5}}</w:t>
            </w:r>
          </w:p>
        </w:tc>
      </w:tr>
    </w:tbl>
    <w:p>
      <w:pPr>
        <w:pStyle w:val="Heading2"/>
        <w:spacing w:after="180" w:before="360"/>
      </w:pPr>
      <w:r>
        <w:rPr>
          <w:sz w:val="26"/>
          <w:szCs w:val="26"/>
        </w:rPr>
        <w:t xml:space="preserve">7.5 Cash flow summary</w:t>
      </w:r>
    </w:p>
    <w:p>
      <w:pPr>
        <w:spacing w:after="160" w:line="320"/>
      </w:pPr>
      <w:r>
        <w:rPr>
          <w:sz w:val="22"/>
          <w:szCs w:val="22"/>
        </w:rPr>
        <w:t xml:space="preserve">Cash from operations turns positive in Month 11 as revenue scales past the fixed-cost base. Cash from investing reflects the $1,050,000 initial capital deployment in Year 1, with maintenance capex of approximately 5% of revenue thereafter. Cash from financing reflects the equity contribution at inception and is otherwise neutral.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c>
          <w:tcPr>
            <w:tcW w:type="pct" w:w="16%"/>
          </w:tcPr>
          <w:p>
            <w:r>
              <w:rPr>
                <w:b/>
                <w:bCs/>
                <w:sz w:val="20"/>
                <w:szCs w:val="20"/>
              </w:rPr>
            </w:r>
          </w:p>
        </w:tc>
      </w:tr>
      <w:tr>
        <w:tc>
          <w:tcPr>
            <w:tcW w:type="pct" w:w="16%"/>
          </w:tcPr>
          <w:p>
            <w:r>
              <w:rPr>
                <w:sz w:val="20"/>
                <w:szCs w:val="20"/>
              </w:rPr>
              <w:t xml:space="preserve">Cash from operations</w:t>
            </w:r>
          </w:p>
        </w:tc>
        <w:tc>
          <w:tcPr>
            <w:tcW w:type="pct" w:w="16%"/>
          </w:tcPr>
          <w:p>
            <w:r>
              <w:rPr>
                <w:sz w:val="20"/>
                <w:szCs w:val="20"/>
              </w:rPr>
              <w:t xml:space="preserve">{{cf</w:t>
            </w:r>
            <w:r>
              <w:rPr>
                <w:i/>
                <w:iCs/>
                <w:sz w:val="20"/>
                <w:szCs w:val="20"/>
              </w:rPr>
              <w:t xml:space="preserve">ops</w:t>
            </w:r>
            <w:r>
              <w:rPr>
                <w:sz w:val="20"/>
                <w:szCs w:val="20"/>
              </w:rPr>
              <w:t xml:space="preserve">y1}}</w:t>
            </w:r>
          </w:p>
        </w:tc>
        <w:tc>
          <w:tcPr>
            <w:tcW w:type="pct" w:w="16%"/>
          </w:tcPr>
          <w:p>
            <w:r>
              <w:rPr>
                <w:sz w:val="20"/>
                <w:szCs w:val="20"/>
              </w:rPr>
              <w:t xml:space="preserve">{{cf</w:t>
            </w:r>
            <w:r>
              <w:rPr>
                <w:i/>
                <w:iCs/>
                <w:sz w:val="20"/>
                <w:szCs w:val="20"/>
              </w:rPr>
              <w:t xml:space="preserve">ops</w:t>
            </w:r>
            <w:r>
              <w:rPr>
                <w:sz w:val="20"/>
                <w:szCs w:val="20"/>
              </w:rPr>
              <w:t xml:space="preserve">y2}}</w:t>
            </w:r>
          </w:p>
        </w:tc>
        <w:tc>
          <w:tcPr>
            <w:tcW w:type="pct" w:w="16%"/>
          </w:tcPr>
          <w:p>
            <w:r>
              <w:rPr>
                <w:sz w:val="20"/>
                <w:szCs w:val="20"/>
              </w:rPr>
              <w:t xml:space="preserve">{{cf</w:t>
            </w:r>
            <w:r>
              <w:rPr>
                <w:i/>
                <w:iCs/>
                <w:sz w:val="20"/>
                <w:szCs w:val="20"/>
              </w:rPr>
              <w:t xml:space="preserve">ops</w:t>
            </w:r>
            <w:r>
              <w:rPr>
                <w:sz w:val="20"/>
                <w:szCs w:val="20"/>
              </w:rPr>
              <w:t xml:space="preserve">y3}}</w:t>
            </w:r>
          </w:p>
        </w:tc>
        <w:tc>
          <w:tcPr>
            <w:tcW w:type="pct" w:w="16%"/>
          </w:tcPr>
          <w:p>
            <w:r>
              <w:rPr>
                <w:sz w:val="20"/>
                <w:szCs w:val="20"/>
              </w:rPr>
              <w:t xml:space="preserve">{{cf</w:t>
            </w:r>
            <w:r>
              <w:rPr>
                <w:i/>
                <w:iCs/>
                <w:sz w:val="20"/>
                <w:szCs w:val="20"/>
              </w:rPr>
              <w:t xml:space="preserve">ops</w:t>
            </w:r>
            <w:r>
              <w:rPr>
                <w:sz w:val="20"/>
                <w:szCs w:val="20"/>
              </w:rPr>
              <w:t xml:space="preserve">y4}}</w:t>
            </w:r>
          </w:p>
        </w:tc>
        <w:tc>
          <w:tcPr>
            <w:tcW w:type="pct" w:w="16%"/>
          </w:tcPr>
          <w:p>
            <w:r>
              <w:rPr>
                <w:sz w:val="20"/>
                <w:szCs w:val="20"/>
              </w:rPr>
              <w:t xml:space="preserve">{{cf</w:t>
            </w:r>
            <w:r>
              <w:rPr>
                <w:i/>
                <w:iCs/>
                <w:sz w:val="20"/>
                <w:szCs w:val="20"/>
              </w:rPr>
              <w:t xml:space="preserve">ops</w:t>
            </w:r>
            <w:r>
              <w:rPr>
                <w:sz w:val="20"/>
                <w:szCs w:val="20"/>
              </w:rPr>
              <w:t xml:space="preserve">y5}}</w:t>
            </w:r>
          </w:p>
        </w:tc>
      </w:tr>
      <w:tr>
        <w:tc>
          <w:tcPr>
            <w:tcW w:type="pct" w:w="16%"/>
          </w:tcPr>
          <w:p>
            <w:r>
              <w:rPr>
                <w:sz w:val="20"/>
                <w:szCs w:val="20"/>
              </w:rPr>
              <w:t xml:space="preserve">Cash from investing</w:t>
            </w:r>
          </w:p>
        </w:tc>
        <w:tc>
          <w:tcPr>
            <w:tcW w:type="pct" w:w="16%"/>
          </w:tcPr>
          <w:p>
            <w:r>
              <w:rPr>
                <w:sz w:val="20"/>
                <w:szCs w:val="20"/>
              </w:rPr>
              <w:t xml:space="preserve">{{cf</w:t>
            </w:r>
            <w:r>
              <w:rPr>
                <w:i/>
                <w:iCs/>
                <w:sz w:val="20"/>
                <w:szCs w:val="20"/>
              </w:rPr>
              <w:t xml:space="preserve">inv</w:t>
            </w:r>
            <w:r>
              <w:rPr>
                <w:sz w:val="20"/>
                <w:szCs w:val="20"/>
              </w:rPr>
              <w:t xml:space="preserve">y1}}</w:t>
            </w:r>
          </w:p>
        </w:tc>
        <w:tc>
          <w:tcPr>
            <w:tcW w:type="pct" w:w="16%"/>
          </w:tcPr>
          <w:p>
            <w:r>
              <w:rPr>
                <w:sz w:val="20"/>
                <w:szCs w:val="20"/>
              </w:rPr>
              <w:t xml:space="preserve">{{cf</w:t>
            </w:r>
            <w:r>
              <w:rPr>
                <w:i/>
                <w:iCs/>
                <w:sz w:val="20"/>
                <w:szCs w:val="20"/>
              </w:rPr>
              <w:t xml:space="preserve">inv</w:t>
            </w:r>
            <w:r>
              <w:rPr>
                <w:sz w:val="20"/>
                <w:szCs w:val="20"/>
              </w:rPr>
              <w:t xml:space="preserve">y2}}</w:t>
            </w:r>
          </w:p>
        </w:tc>
        <w:tc>
          <w:tcPr>
            <w:tcW w:type="pct" w:w="16%"/>
          </w:tcPr>
          <w:p>
            <w:r>
              <w:rPr>
                <w:sz w:val="20"/>
                <w:szCs w:val="20"/>
              </w:rPr>
              <w:t xml:space="preserve">{{cf</w:t>
            </w:r>
            <w:r>
              <w:rPr>
                <w:i/>
                <w:iCs/>
                <w:sz w:val="20"/>
                <w:szCs w:val="20"/>
              </w:rPr>
              <w:t xml:space="preserve">inv</w:t>
            </w:r>
            <w:r>
              <w:rPr>
                <w:sz w:val="20"/>
                <w:szCs w:val="20"/>
              </w:rPr>
              <w:t xml:space="preserve">y3}}</w:t>
            </w:r>
          </w:p>
        </w:tc>
        <w:tc>
          <w:tcPr>
            <w:tcW w:type="pct" w:w="16%"/>
          </w:tcPr>
          <w:p>
            <w:r>
              <w:rPr>
                <w:sz w:val="20"/>
                <w:szCs w:val="20"/>
              </w:rPr>
              <w:t xml:space="preserve">{{cf</w:t>
            </w:r>
            <w:r>
              <w:rPr>
                <w:i/>
                <w:iCs/>
                <w:sz w:val="20"/>
                <w:szCs w:val="20"/>
              </w:rPr>
              <w:t xml:space="preserve">inv</w:t>
            </w:r>
            <w:r>
              <w:rPr>
                <w:sz w:val="20"/>
                <w:szCs w:val="20"/>
              </w:rPr>
              <w:t xml:space="preserve">y4}}</w:t>
            </w:r>
          </w:p>
        </w:tc>
        <w:tc>
          <w:tcPr>
            <w:tcW w:type="pct" w:w="16%"/>
          </w:tcPr>
          <w:p>
            <w:r>
              <w:rPr>
                <w:sz w:val="20"/>
                <w:szCs w:val="20"/>
              </w:rPr>
              <w:t xml:space="preserve">{{cf</w:t>
            </w:r>
            <w:r>
              <w:rPr>
                <w:i/>
                <w:iCs/>
                <w:sz w:val="20"/>
                <w:szCs w:val="20"/>
              </w:rPr>
              <w:t xml:space="preserve">inv</w:t>
            </w:r>
            <w:r>
              <w:rPr>
                <w:sz w:val="20"/>
                <w:szCs w:val="20"/>
              </w:rPr>
              <w:t xml:space="preserve">y5}}</w:t>
            </w:r>
          </w:p>
        </w:tc>
      </w:tr>
      <w:tr>
        <w:tc>
          <w:tcPr>
            <w:tcW w:type="pct" w:w="16%"/>
          </w:tcPr>
          <w:p>
            <w:r>
              <w:rPr>
                <w:sz w:val="20"/>
                <w:szCs w:val="20"/>
              </w:rPr>
              <w:t xml:space="preserve">Cash from financing</w:t>
            </w:r>
          </w:p>
        </w:tc>
        <w:tc>
          <w:tcPr>
            <w:tcW w:type="pct" w:w="16%"/>
          </w:tcPr>
          <w:p>
            <w:r>
              <w:rPr>
                <w:sz w:val="20"/>
                <w:szCs w:val="20"/>
              </w:rPr>
              <w:t xml:space="preserve">{{cf</w:t>
            </w:r>
            <w:r>
              <w:rPr>
                <w:i/>
                <w:iCs/>
                <w:sz w:val="20"/>
                <w:szCs w:val="20"/>
              </w:rPr>
              <w:t xml:space="preserve">fin</w:t>
            </w:r>
            <w:r>
              <w:rPr>
                <w:sz w:val="20"/>
                <w:szCs w:val="20"/>
              </w:rPr>
              <w:t xml:space="preserve">y1}}</w:t>
            </w:r>
          </w:p>
        </w:tc>
        <w:tc>
          <w:tcPr>
            <w:tcW w:type="pct" w:w="16%"/>
          </w:tcPr>
          <w:p>
            <w:r>
              <w:rPr>
                <w:sz w:val="20"/>
                <w:szCs w:val="20"/>
              </w:rPr>
              <w:t xml:space="preserve">{{cf</w:t>
            </w:r>
            <w:r>
              <w:rPr>
                <w:i/>
                <w:iCs/>
                <w:sz w:val="20"/>
                <w:szCs w:val="20"/>
              </w:rPr>
              <w:t xml:space="preserve">fin</w:t>
            </w:r>
            <w:r>
              <w:rPr>
                <w:sz w:val="20"/>
                <w:szCs w:val="20"/>
              </w:rPr>
              <w:t xml:space="preserve">y2}}</w:t>
            </w:r>
          </w:p>
        </w:tc>
        <w:tc>
          <w:tcPr>
            <w:tcW w:type="pct" w:w="16%"/>
          </w:tcPr>
          <w:p>
            <w:r>
              <w:rPr>
                <w:sz w:val="20"/>
                <w:szCs w:val="20"/>
              </w:rPr>
              <w:t xml:space="preserve">{{cf</w:t>
            </w:r>
            <w:r>
              <w:rPr>
                <w:i/>
                <w:iCs/>
                <w:sz w:val="20"/>
                <w:szCs w:val="20"/>
              </w:rPr>
              <w:t xml:space="preserve">fin</w:t>
            </w:r>
            <w:r>
              <w:rPr>
                <w:sz w:val="20"/>
                <w:szCs w:val="20"/>
              </w:rPr>
              <w:t xml:space="preserve">y3}}</w:t>
            </w:r>
          </w:p>
        </w:tc>
        <w:tc>
          <w:tcPr>
            <w:tcW w:type="pct" w:w="16%"/>
          </w:tcPr>
          <w:p>
            <w:r>
              <w:rPr>
                <w:sz w:val="20"/>
                <w:szCs w:val="20"/>
              </w:rPr>
              <w:t xml:space="preserve">{{cf</w:t>
            </w:r>
            <w:r>
              <w:rPr>
                <w:i/>
                <w:iCs/>
                <w:sz w:val="20"/>
                <w:szCs w:val="20"/>
              </w:rPr>
              <w:t xml:space="preserve">fin</w:t>
            </w:r>
            <w:r>
              <w:rPr>
                <w:sz w:val="20"/>
                <w:szCs w:val="20"/>
              </w:rPr>
              <w:t xml:space="preserve">y4}}</w:t>
            </w:r>
          </w:p>
        </w:tc>
        <w:tc>
          <w:tcPr>
            <w:tcW w:type="pct" w:w="16%"/>
          </w:tcPr>
          <w:p>
            <w:r>
              <w:rPr>
                <w:sz w:val="20"/>
                <w:szCs w:val="20"/>
              </w:rPr>
              <w:t xml:space="preserve">{{cf</w:t>
            </w:r>
            <w:r>
              <w:rPr>
                <w:i/>
                <w:iCs/>
                <w:sz w:val="20"/>
                <w:szCs w:val="20"/>
              </w:rPr>
              <w:t xml:space="preserve">fin</w:t>
            </w:r>
            <w:r>
              <w:rPr>
                <w:sz w:val="20"/>
                <w:szCs w:val="20"/>
              </w:rPr>
              <w:t xml:space="preserve">y5}}</w:t>
            </w:r>
          </w:p>
        </w:tc>
      </w:tr>
      <w:tr>
        <w:tc>
          <w:tcPr>
            <w:tcW w:type="pct" w:w="16%"/>
          </w:tcPr>
          <w:p>
            <w:r>
              <w:rPr>
                <w:b/>
                <w:bCs/>
                <w:sz w:val="20"/>
                <w:szCs w:val="20"/>
              </w:rPr>
              <w:t xml:space="preserve">Net change in cash</w:t>
            </w:r>
          </w:p>
        </w:tc>
        <w:tc>
          <w:tcPr>
            <w:tcW w:type="pct" w:w="16%"/>
          </w:tcPr>
          <w:p>
            <w:r>
              <w:rPr>
                <w:b/>
                <w:bCs/>
                <w:sz w:val="20"/>
                <w:szCs w:val="20"/>
              </w:rPr>
              <w:t xml:space="preserve">{{cf_net_y1}}</w:t>
            </w:r>
          </w:p>
        </w:tc>
        <w:tc>
          <w:tcPr>
            <w:tcW w:type="pct" w:w="16%"/>
          </w:tcPr>
          <w:p>
            <w:r>
              <w:rPr>
                <w:b/>
                <w:bCs/>
                <w:sz w:val="20"/>
                <w:szCs w:val="20"/>
              </w:rPr>
              <w:t xml:space="preserve">{{cf_net_y2}}</w:t>
            </w:r>
          </w:p>
        </w:tc>
        <w:tc>
          <w:tcPr>
            <w:tcW w:type="pct" w:w="16%"/>
          </w:tcPr>
          <w:p>
            <w:r>
              <w:rPr>
                <w:b/>
                <w:bCs/>
                <w:sz w:val="20"/>
                <w:szCs w:val="20"/>
              </w:rPr>
              <w:t xml:space="preserve">{{cf_net_y3}}</w:t>
            </w:r>
          </w:p>
        </w:tc>
        <w:tc>
          <w:tcPr>
            <w:tcW w:type="pct" w:w="16%"/>
          </w:tcPr>
          <w:p>
            <w:r>
              <w:rPr>
                <w:b/>
                <w:bCs/>
                <w:sz w:val="20"/>
                <w:szCs w:val="20"/>
              </w:rPr>
              <w:t xml:space="preserve">{{cf_net_y4}}</w:t>
            </w:r>
          </w:p>
        </w:tc>
        <w:tc>
          <w:tcPr>
            <w:tcW w:type="pct" w:w="16%"/>
          </w:tcPr>
          <w:p>
            <w:r>
              <w:rPr>
                <w:b/>
                <w:bCs/>
                <w:sz w:val="20"/>
                <w:szCs w:val="20"/>
              </w:rPr>
              <w:t xml:space="preserve">{{cf_net_y5}}</w:t>
            </w:r>
          </w:p>
        </w:tc>
      </w:tr>
    </w:tbl>
    <w:p>
      <w:pPr>
        <w:pStyle w:val="Heading2"/>
        <w:spacing w:after="180" w:before="360"/>
      </w:pPr>
      <w:r>
        <w:rPr>
          <w:sz w:val="26"/>
          <w:szCs w:val="26"/>
        </w:rPr>
        <w:t xml:space="preserve">7.6 Sensitivity analysis</w:t>
      </w:r>
    </w:p>
    <w:p>
      <w:pPr>
        <w:spacing w:after="160" w:line="320"/>
      </w:pPr>
      <w:r>
        <w:rPr>
          <w:sz w:val="22"/>
          <w:szCs w:val="22"/>
        </w:rPr>
        <w:t xml:space="preserve">The model has been stress-tested against revenue variability of ±25%. The following table presents Year-3 outcomes under each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c>
          <w:tcPr>
            <w:tcW w:type="pct" w:w="20%"/>
          </w:tcPr>
          <w:p>
            <w:r>
              <w:rPr>
                <w:b/>
                <w:bCs/>
                <w:sz w:val="20"/>
                <w:szCs w:val="20"/>
              </w:rPr>
            </w:r>
          </w:p>
        </w:tc>
      </w:tr>
      <w:tr>
        <w:tc>
          <w:tcPr>
            <w:tcW w:type="pct" w:w="20%"/>
          </w:tcPr>
          <w:p>
            <w:r>
              <w:rPr>
                <w:sz w:val="20"/>
                <w:szCs w:val="20"/>
              </w:rPr>
              <w:t xml:space="preserve">Best case (+25%)</w:t>
            </w:r>
          </w:p>
        </w:tc>
        <w:tc>
          <w:tcPr>
            <w:tcW w:type="pct" w:w="20%"/>
          </w:tcPr>
          <w:p>
            <w:r>
              <w:rPr>
                <w:sz w:val="20"/>
                <w:szCs w:val="20"/>
              </w:rPr>
              <w:t xml:space="preserve">{{best</w:t>
            </w:r>
            <w:r>
              <w:rPr>
                <w:i/>
                <w:iCs/>
                <w:sz w:val="20"/>
                <w:szCs w:val="20"/>
              </w:rPr>
              <w:t xml:space="preserve">y3</w:t>
            </w:r>
            <w:r>
              <w:rPr>
                <w:sz w:val="20"/>
                <w:szCs w:val="20"/>
              </w:rPr>
              <w:t xml:space="preserve">rev}}</w:t>
            </w:r>
          </w:p>
        </w:tc>
        <w:tc>
          <w:tcPr>
            <w:tcW w:type="pct" w:w="20%"/>
          </w:tcPr>
          <w:p>
            <w:r>
              <w:rPr>
                <w:sz w:val="20"/>
                <w:szCs w:val="20"/>
              </w:rPr>
              <w:t xml:space="preserve">{{best</w:t>
            </w:r>
            <w:r>
              <w:rPr>
                <w:i/>
                <w:iCs/>
                <w:sz w:val="20"/>
                <w:szCs w:val="20"/>
              </w:rPr>
              <w:t xml:space="preserve">y3</w:t>
            </w:r>
            <w:r>
              <w:rPr>
                <w:sz w:val="20"/>
                <w:szCs w:val="20"/>
              </w:rPr>
              <w:t xml:space="preserve">net}}</w:t>
            </w:r>
          </w:p>
        </w:tc>
        <w:tc>
          <w:tcPr>
            <w:tcW w:type="pct" w:w="20%"/>
          </w:tcPr>
          <w:p>
            <w:r>
              <w:rPr>
                <w:sz w:val="20"/>
                <w:szCs w:val="20"/>
              </w:rPr>
              <w:t xml:space="preserve">{{best</w:t>
            </w:r>
            <w:r>
              <w:rPr>
                <w:i/>
                <w:iCs/>
                <w:sz w:val="20"/>
                <w:szCs w:val="20"/>
              </w:rPr>
              <w:t xml:space="preserve">y5</w:t>
            </w:r>
            <w:r>
              <w:rPr>
                <w:sz w:val="20"/>
                <w:szCs w:val="20"/>
              </w:rPr>
              <w:t xml:space="preserve">cum}}</w:t>
            </w:r>
          </w:p>
        </w:tc>
        <w:tc>
          <w:tcPr>
            <w:tcW w:type="pct" w:w="20%"/>
          </w:tcPr>
          <w:p>
            <w:r>
              <w:rPr>
                <w:sz w:val="20"/>
                <w:szCs w:val="20"/>
              </w:rPr>
              <w:t xml:space="preserve">+3038%</w:t>
            </w:r>
          </w:p>
        </w:tc>
      </w:tr>
      <w:tr>
        <w:tc>
          <w:tcPr>
            <w:tcW w:type="pct" w:w="20%"/>
          </w:tcPr>
          <w:p>
            <w:r>
              <w:rPr>
                <w:sz w:val="20"/>
                <w:szCs w:val="20"/>
              </w:rPr>
              <w:t xml:space="preserve">Base case</w:t>
            </w:r>
          </w:p>
        </w:tc>
        <w:tc>
          <w:tcPr>
            <w:tcW w:type="pct" w:w="20%"/>
          </w:tcPr>
          <w:p>
            <w:r>
              <w:rPr>
                <w:sz w:val="20"/>
                <w:szCs w:val="20"/>
              </w:rPr>
              <w:t xml:space="preserve">{{base</w:t>
            </w:r>
            <w:r>
              <w:rPr>
                <w:i/>
                <w:iCs/>
                <w:sz w:val="20"/>
                <w:szCs w:val="20"/>
              </w:rPr>
              <w:t xml:space="preserve">y3</w:t>
            </w:r>
            <w:r>
              <w:rPr>
                <w:sz w:val="20"/>
                <w:szCs w:val="20"/>
              </w:rPr>
              <w:t xml:space="preserve">rev}}</w:t>
            </w:r>
          </w:p>
        </w:tc>
        <w:tc>
          <w:tcPr>
            <w:tcW w:type="pct" w:w="20%"/>
          </w:tcPr>
          <w:p>
            <w:r>
              <w:rPr>
                <w:sz w:val="20"/>
                <w:szCs w:val="20"/>
              </w:rPr>
              <w:t xml:space="preserve">{{base</w:t>
            </w:r>
            <w:r>
              <w:rPr>
                <w:i/>
                <w:iCs/>
                <w:sz w:val="20"/>
                <w:szCs w:val="20"/>
              </w:rPr>
              <w:t xml:space="preserve">y3</w:t>
            </w:r>
            <w:r>
              <w:rPr>
                <w:sz w:val="20"/>
                <w:szCs w:val="20"/>
              </w:rPr>
              <w:t xml:space="preserve">net}}</w:t>
            </w:r>
          </w:p>
        </w:tc>
        <w:tc>
          <w:tcPr>
            <w:tcW w:type="pct" w:w="20%"/>
          </w:tcPr>
          <w:p>
            <w:r>
              <w:rPr>
                <w:sz w:val="20"/>
                <w:szCs w:val="20"/>
              </w:rPr>
              <w:t xml:space="preserve">{{base</w:t>
            </w:r>
            <w:r>
              <w:rPr>
                <w:i/>
                <w:iCs/>
                <w:sz w:val="20"/>
                <w:szCs w:val="20"/>
              </w:rPr>
              <w:t xml:space="preserve">y5</w:t>
            </w:r>
            <w:r>
              <w:rPr>
                <w:sz w:val="20"/>
                <w:szCs w:val="20"/>
              </w:rPr>
              <w:t xml:space="preserve">cum}}</w:t>
            </w:r>
          </w:p>
        </w:tc>
        <w:tc>
          <w:tcPr>
            <w:tcW w:type="pct" w:w="20%"/>
          </w:tcPr>
          <w:p>
            <w:r>
              <w:rPr>
                <w:sz w:val="20"/>
                <w:szCs w:val="20"/>
              </w:rPr>
              <w:t xml:space="preserve">+1294%</w:t>
            </w:r>
          </w:p>
        </w:tc>
      </w:tr>
      <w:tr>
        <w:tc>
          <w:tcPr>
            <w:tcW w:type="pct" w:w="20%"/>
          </w:tcPr>
          <w:p>
            <w:r>
              <w:rPr>
                <w:sz w:val="20"/>
                <w:szCs w:val="20"/>
              </w:rPr>
              <w:t xml:space="preserve">Worst case (-25%)</w:t>
            </w:r>
          </w:p>
        </w:tc>
        <w:tc>
          <w:tcPr>
            <w:tcW w:type="pct" w:w="20%"/>
          </w:tcPr>
          <w:p>
            <w:r>
              <w:rPr>
                <w:sz w:val="20"/>
                <w:szCs w:val="20"/>
              </w:rPr>
              <w:t xml:space="preserve">{{worst</w:t>
            </w:r>
            <w:r>
              <w:rPr>
                <w:i/>
                <w:iCs/>
                <w:sz w:val="20"/>
                <w:szCs w:val="20"/>
              </w:rPr>
              <w:t xml:space="preserve">y3</w:t>
            </w:r>
            <w:r>
              <w:rPr>
                <w:sz w:val="20"/>
                <w:szCs w:val="20"/>
              </w:rPr>
              <w:t xml:space="preserve">rev}}</w:t>
            </w:r>
          </w:p>
        </w:tc>
        <w:tc>
          <w:tcPr>
            <w:tcW w:type="pct" w:w="20%"/>
          </w:tcPr>
          <w:p>
            <w:r>
              <w:rPr>
                <w:sz w:val="20"/>
                <w:szCs w:val="20"/>
              </w:rPr>
              <w:t xml:space="preserve">{{worst</w:t>
            </w:r>
            <w:r>
              <w:rPr>
                <w:i/>
                <w:iCs/>
                <w:sz w:val="20"/>
                <w:szCs w:val="20"/>
              </w:rPr>
              <w:t xml:space="preserve">y3</w:t>
            </w:r>
            <w:r>
              <w:rPr>
                <w:sz w:val="20"/>
                <w:szCs w:val="20"/>
              </w:rPr>
              <w:t xml:space="preserve">net}}</w:t>
            </w:r>
          </w:p>
        </w:tc>
        <w:tc>
          <w:tcPr>
            <w:tcW w:type="pct" w:w="20%"/>
          </w:tcPr>
          <w:p>
            <w:r>
              <w:rPr>
                <w:sz w:val="20"/>
                <w:szCs w:val="20"/>
              </w:rPr>
              <w:t xml:space="preserve">{{worst</w:t>
            </w:r>
            <w:r>
              <w:rPr>
                <w:i/>
                <w:iCs/>
                <w:sz w:val="20"/>
                <w:szCs w:val="20"/>
              </w:rPr>
              <w:t xml:space="preserve">y5</w:t>
            </w:r>
            <w:r>
              <w:rPr>
                <w:sz w:val="20"/>
                <w:szCs w:val="20"/>
              </w:rPr>
              <w:t xml:space="preserve">cum}}</w:t>
            </w:r>
          </w:p>
        </w:tc>
        <w:tc>
          <w:tcPr>
            <w:tcW w:type="pct" w:w="20%"/>
          </w:tcPr>
          <w:p>
            <w:r>
              <w:rPr>
                <w:sz w:val="20"/>
                <w:szCs w:val="20"/>
              </w:rPr>
              <w:t xml:space="preserve">-449%</w:t>
            </w:r>
          </w:p>
        </w:tc>
      </w:tr>
    </w:tbl>
    <w:p>
      <w:pPr>
        <w:spacing w:after="160" w:line="320"/>
      </w:pPr>
      <w:r>
        <w:rPr>
          <w:b/>
          <w:bCs/>
          <w:sz w:val="22"/>
          <w:szCs w:val="22"/>
        </w:rPr>
        <w:t xml:space="preserve">Worst-case interpretation:</w:t>
      </w:r>
      <w:r>
        <w:rPr>
          <w:sz w:val="22"/>
          <w:szCs w:val="22"/>
        </w:rPr>
        <w:t xml:space="preserve"> Worst-case Year-3 net income falls short of the marginality benchmark. The enterprise reaches the benchmark by Year 5 under worst-case revenue assumptions.</w:t>
      </w:r>
    </w:p>
    <w:p>
      <w:pPr>
        <w:spacing w:after="160" w:line="320"/>
      </w:pPr>
      <w:r>
        <w:rPr>
          <w:sz w:val="22"/>
          <w:szCs w:val="22"/>
        </w:rPr>
        <w:t xml:space="preserve">Even under worst-case revenue assumptions, the enterprise satisfies the marginality test by Year 5, demonstrating durable economic viability across plausible market conditions.</w:t>
      </w:r>
    </w:p>
    <w:p>
      <w:pPr>
        <w:pStyle w:val="Heading2"/>
        <w:spacing w:after="180" w:before="360"/>
      </w:pPr>
      <w:r>
        <w:rPr>
          <w:sz w:val="26"/>
          <w:szCs w:val="26"/>
        </w:rPr>
        <w:t xml:space="preserve">7.7 Source-of-funds reconciliation</w:t>
      </w:r>
    </w:p>
    <w:p>
      <w:pPr>
        <w:spacing w:after="160" w:line="320"/>
      </w:pPr>
      <w:r>
        <w:rPr>
          <w:sz w:val="22"/>
          <w:szCs w:val="22"/>
        </w:rPr>
        <w:t xml:space="preserve">The Year-1 closing balance reconciles to the invested capital and operating performance as follows:</w:t>
      </w:r>
    </w:p>
    <w:p>
      <w:pPr>
        <w:pStyle w:val="ListParagraph"/>
        <w:numPr>
          <w:ilvl w:val="0"/>
          <w:numId w:val="1"/>
        </w:numPr>
        <w:spacing w:after="80" w:line="300"/>
      </w:pPr>
      <w:r>
        <w:rPr>
          <w:sz w:val="22"/>
          <w:szCs w:val="22"/>
        </w:rPr>
        <w:t xml:space="preserve">Opening capital invested: $1,050,000</w:t>
      </w:r>
    </w:p>
    <w:p>
      <w:pPr>
        <w:pStyle w:val="ListParagraph"/>
        <w:numPr>
          <w:ilvl w:val="0"/>
          <w:numId w:val="1"/>
        </w:numPr>
        <w:spacing w:after="80" w:line="300"/>
      </w:pPr>
      <w:r>
        <w:rPr>
          <w:sz w:val="22"/>
          <w:szCs w:val="22"/>
        </w:rPr>
        <w:t xml:space="preserve">Year-1 operating cash flow: {{cf</w:t>
      </w:r>
      <w:r>
        <w:rPr>
          <w:i/>
          <w:iCs/>
          <w:sz w:val="22"/>
          <w:szCs w:val="22"/>
        </w:rPr>
        <w:t xml:space="preserve">ops</w:t>
      </w:r>
      <w:r>
        <w:rPr>
          <w:sz w:val="22"/>
          <w:szCs w:val="22"/>
        </w:rPr>
        <w:t xml:space="preserve">y1}}</w:t>
      </w:r>
    </w:p>
    <w:p>
      <w:pPr>
        <w:pStyle w:val="ListParagraph"/>
        <w:numPr>
          <w:ilvl w:val="0"/>
          <w:numId w:val="1"/>
        </w:numPr>
        <w:spacing w:after="80" w:line="300"/>
      </w:pPr>
      <w:r>
        <w:rPr>
          <w:sz w:val="22"/>
          <w:szCs w:val="22"/>
        </w:rPr>
        <w:t xml:space="preserve">Year-1 capex: {{cf</w:t>
      </w:r>
      <w:r>
        <w:rPr>
          <w:i/>
          <w:iCs/>
          <w:sz w:val="22"/>
          <w:szCs w:val="22"/>
        </w:rPr>
        <w:t xml:space="preserve">inv</w:t>
      </w:r>
      <w:r>
        <w:rPr>
          <w:sz w:val="22"/>
          <w:szCs w:val="22"/>
        </w:rPr>
        <w:t xml:space="preserve">y1}}</w:t>
      </w:r>
    </w:p>
    <w:p>
      <w:pPr>
        <w:pStyle w:val="ListParagraph"/>
        <w:numPr>
          <w:ilvl w:val="0"/>
          <w:numId w:val="1"/>
        </w:numPr>
        <w:spacing w:after="80" w:line="300"/>
      </w:pPr>
      <w:r>
        <w:rPr>
          <w:sz w:val="22"/>
          <w:szCs w:val="22"/>
        </w:rPr>
        <w:t xml:space="preserve">Year-1 financing inflows: {{cf</w:t>
      </w:r>
      <w:r>
        <w:rPr>
          <w:i/>
          <w:iCs/>
          <w:sz w:val="22"/>
          <w:szCs w:val="22"/>
        </w:rPr>
        <w:t xml:space="preserve">fin</w:t>
      </w:r>
      <w:r>
        <w:rPr>
          <w:sz w:val="22"/>
          <w:szCs w:val="22"/>
        </w:rPr>
        <w:t xml:space="preserve">y1}}</w:t>
      </w:r>
    </w:p>
    <w:p>
      <w:pPr>
        <w:pStyle w:val="ListParagraph"/>
        <w:numPr>
          <w:ilvl w:val="0"/>
          <w:numId w:val="1"/>
        </w:numPr>
        <w:spacing w:after="80" w:line="300"/>
      </w:pPr>
      <w:r>
        <w:rPr>
          <w:b/>
          <w:bCs/>
          <w:sz w:val="22"/>
          <w:szCs w:val="22"/>
        </w:rPr>
        <w:t xml:space="preserve">Year-1 closing cash:</w:t>
      </w:r>
      <w:r>
        <w:rPr>
          <w:sz w:val="22"/>
          <w:szCs w:val="22"/>
        </w:rPr>
        <w:t xml:space="preserve"> </w:t>
      </w:r>
      <w:r>
        <w:rPr>
          <w:b/>
          <w:bCs/>
          <w:sz w:val="22"/>
          <w:szCs w:val="22"/>
        </w:rPr>
        <w:t xml:space="preserve">{{bs_cash_y1}}</w:t>
      </w:r>
    </w:p>
    <w:p>
      <w:pPr>
        <w:spacing w:after="160" w:line="320"/>
      </w:pPr>
      <w:r>
        <w:rPr>
          <w:sz w:val="22"/>
          <w:szCs w:val="22"/>
        </w:rPr>
        <w:t xml:space="preserve">The reconciliation confirms internal consistency of the model with the Source of Funds narrative in Section 2 and the at-risk capital analysis in the EB-5 Eligibility section.</w:t>
      </w:r>
    </w:p>
    <w:p>
      <w:pPr>
        <w:pStyle w:val="Heading1"/>
        <w:pageBreakBefore/>
        <w:spacing w:after="180" w:before="480"/>
      </w:pPr>
      <w:r>
        <w:rPr>
          <w:sz w:val="32"/>
          <w:szCs w:val="32"/>
        </w:rPr>
        <w:t xml:space="preserve">US Hiring Plan and Job Creation</w:t>
      </w:r>
    </w:p>
    <w:p>
      <w:pPr>
        <w:spacing w:after="160" w:line="320"/>
      </w:pPr>
      <w:r>
        <w:rPr>
          <w:sz w:val="22"/>
          <w:szCs w:val="22"/>
        </w:rPr>
        <w:t xml:space="preserve">This section details the U.S. hiring plan for ZhangWave Solutions Inc.. The plan supports the EB-5 non-marginality analysis (Section 3.5) by demonstrating economic impact extending beyond the petitioner's family. Salary ranges reference Bureau of Labor Statistics (BLS) Occupational Employment and Wage Statistics for the New York, NY Metropolitan Statistical Area or the closest published comparable.</w:t>
      </w:r>
    </w:p>
    <w:p>
      <w:pPr>
        <w:pStyle w:val="Heading2"/>
        <w:spacing w:after="180" w:before="360"/>
      </w:pPr>
      <w:r>
        <w:rPr>
          <w:sz w:val="26"/>
          <w:szCs w:val="26"/>
        </w:rPr>
        <w:t xml:space="preserve">8.1 Organization chart</w:t>
      </w:r>
    </w:p>
    <w:p>
      <w:pPr>
        <w:spacing w:after="160" w:line="320"/>
      </w:pPr>
      <w:r>
        <w:rPr>
          <w:sz w:val="22"/>
          <w:szCs w:val="22"/>
        </w:rPr>
        <w:t xml:space="preserve">Wei Zhang (Founder and Chief Executive Officer) leads the enterprise. Reporting structure flows: Petitioner -&gt; direct managers -&gt; line staff. Detailed organization chart with named or to-be-hired roles is maintained in the firm's HR exhibit.</w:t>
      </w:r>
    </w:p>
    <w:p>
      <w:pPr>
        <w:pStyle w:val="Heading2"/>
        <w:spacing w:after="180" w:before="360"/>
      </w:pPr>
      <w:r>
        <w:rPr>
          <w:sz w:val="26"/>
          <w:szCs w:val="26"/>
        </w:rPr>
        <w:t xml:space="preserve">8.2 Year-by-year U.S. hiring schedule</w:t>
      </w:r>
    </w:p>
    <w:p>
      <w:pPr>
        <w:spacing w:after="160" w:line="320"/>
      </w:pPr>
      <w:r>
        <w:rPr>
          <w:sz w:val="22"/>
          <w:szCs w:val="22"/>
        </w:rPr>
        <w:t xml:space="preserve">ZhangWave Solutions Inc. will create the following U.S. direct jobs across the five-year planning horizon: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Year 1</w:t>
            </w:r>
          </w:p>
        </w:tc>
        <w:tc>
          <w:tcPr>
            <w:tcW w:type="pct" w:w="25%"/>
          </w:tcPr>
          <w:p>
            <w:r>
              <w:rPr>
                <w:sz w:val="20"/>
                <w:szCs w:val="20"/>
              </w:rPr>
              <w:t xml:space="preserve">{{hires_y1}}</w:t>
            </w:r>
          </w:p>
        </w:tc>
        <w:tc>
          <w:tcPr>
            <w:tcW w:type="pct" w:w="25%"/>
          </w:tcPr>
          <w:p>
            <w:r>
              <w:rPr>
                <w:sz w:val="20"/>
                <w:szCs w:val="20"/>
              </w:rPr>
              <w:t xml:space="preserve">{{cum</w:t>
            </w:r>
            <w:r>
              <w:rPr>
                <w:i/>
                <w:iCs/>
                <w:sz w:val="20"/>
                <w:szCs w:val="20"/>
              </w:rPr>
              <w:t xml:space="preserve">hires</w:t>
            </w:r>
            <w:r>
              <w:rPr>
                <w:sz w:val="20"/>
                <w:szCs w:val="20"/>
              </w:rPr>
              <w:t xml:space="preserve">y1}}</w:t>
            </w:r>
          </w:p>
        </w:tc>
        <w:tc>
          <w:tcPr>
            <w:tcW w:type="pct" w:w="25%"/>
          </w:tcPr>
          <w:p>
            <w:r>
              <w:rPr>
                <w:sz w:val="20"/>
                <w:szCs w:val="20"/>
              </w:rPr>
              <w:t xml:space="preserve">{{payroll_y1}}</w:t>
            </w:r>
          </w:p>
        </w:tc>
      </w:tr>
      <w:tr>
        <w:tc>
          <w:tcPr>
            <w:tcW w:type="pct" w:w="25%"/>
          </w:tcPr>
          <w:p>
            <w:r>
              <w:rPr>
                <w:sz w:val="20"/>
                <w:szCs w:val="20"/>
              </w:rPr>
              <w:t xml:space="preserve">Year 2</w:t>
            </w:r>
          </w:p>
        </w:tc>
        <w:tc>
          <w:tcPr>
            <w:tcW w:type="pct" w:w="25%"/>
          </w:tcPr>
          <w:p>
            <w:r>
              <w:rPr>
                <w:sz w:val="20"/>
                <w:szCs w:val="20"/>
              </w:rPr>
              <w:t xml:space="preserve">{{hires_y2}}</w:t>
            </w:r>
          </w:p>
        </w:tc>
        <w:tc>
          <w:tcPr>
            <w:tcW w:type="pct" w:w="25%"/>
          </w:tcPr>
          <w:p>
            <w:r>
              <w:rPr>
                <w:sz w:val="20"/>
                <w:szCs w:val="20"/>
              </w:rPr>
              <w:t xml:space="preserve">{{cum</w:t>
            </w:r>
            <w:r>
              <w:rPr>
                <w:i/>
                <w:iCs/>
                <w:sz w:val="20"/>
                <w:szCs w:val="20"/>
              </w:rPr>
              <w:t xml:space="preserve">hires</w:t>
            </w:r>
            <w:r>
              <w:rPr>
                <w:sz w:val="20"/>
                <w:szCs w:val="20"/>
              </w:rPr>
              <w:t xml:space="preserve">y2}}</w:t>
            </w:r>
          </w:p>
        </w:tc>
        <w:tc>
          <w:tcPr>
            <w:tcW w:type="pct" w:w="25%"/>
          </w:tcPr>
          <w:p>
            <w:r>
              <w:rPr>
                <w:sz w:val="20"/>
                <w:szCs w:val="20"/>
              </w:rPr>
              <w:t xml:space="preserve">{{payroll_y2}}</w:t>
            </w:r>
          </w:p>
        </w:tc>
      </w:tr>
      <w:tr>
        <w:tc>
          <w:tcPr>
            <w:tcW w:type="pct" w:w="25%"/>
          </w:tcPr>
          <w:p>
            <w:r>
              <w:rPr>
                <w:sz w:val="20"/>
                <w:szCs w:val="20"/>
              </w:rPr>
              <w:t xml:space="preserve">Year 3</w:t>
            </w:r>
          </w:p>
        </w:tc>
        <w:tc>
          <w:tcPr>
            <w:tcW w:type="pct" w:w="25%"/>
          </w:tcPr>
          <w:p>
            <w:r>
              <w:rPr>
                <w:sz w:val="20"/>
                <w:szCs w:val="20"/>
              </w:rPr>
              <w:t xml:space="preserve">{{hires_y3}}</w:t>
            </w:r>
          </w:p>
        </w:tc>
        <w:tc>
          <w:tcPr>
            <w:tcW w:type="pct" w:w="25%"/>
          </w:tcPr>
          <w:p>
            <w:r>
              <w:rPr>
                <w:sz w:val="20"/>
                <w:szCs w:val="20"/>
              </w:rPr>
              <w:t xml:space="preserve">{{cum</w:t>
            </w:r>
            <w:r>
              <w:rPr>
                <w:i/>
                <w:iCs/>
                <w:sz w:val="20"/>
                <w:szCs w:val="20"/>
              </w:rPr>
              <w:t xml:space="preserve">hires</w:t>
            </w:r>
            <w:r>
              <w:rPr>
                <w:sz w:val="20"/>
                <w:szCs w:val="20"/>
              </w:rPr>
              <w:t xml:space="preserve">y3}}</w:t>
            </w:r>
          </w:p>
        </w:tc>
        <w:tc>
          <w:tcPr>
            <w:tcW w:type="pct" w:w="25%"/>
          </w:tcPr>
          <w:p>
            <w:r>
              <w:rPr>
                <w:sz w:val="20"/>
                <w:szCs w:val="20"/>
              </w:rPr>
              <w:t xml:space="preserve">{{payroll_y3}}</w:t>
            </w:r>
          </w:p>
        </w:tc>
      </w:tr>
      <w:tr>
        <w:tc>
          <w:tcPr>
            <w:tcW w:type="pct" w:w="25%"/>
          </w:tcPr>
          <w:p>
            <w:r>
              <w:rPr>
                <w:sz w:val="20"/>
                <w:szCs w:val="20"/>
              </w:rPr>
              <w:t xml:space="preserve">Year 4</w:t>
            </w:r>
          </w:p>
        </w:tc>
        <w:tc>
          <w:tcPr>
            <w:tcW w:type="pct" w:w="25%"/>
          </w:tcPr>
          <w:p>
            <w:r>
              <w:rPr>
                <w:sz w:val="20"/>
                <w:szCs w:val="20"/>
              </w:rPr>
              <w:t xml:space="preserve">{{hires_y4}}</w:t>
            </w:r>
          </w:p>
        </w:tc>
        <w:tc>
          <w:tcPr>
            <w:tcW w:type="pct" w:w="25%"/>
          </w:tcPr>
          <w:p>
            <w:r>
              <w:rPr>
                <w:sz w:val="20"/>
                <w:szCs w:val="20"/>
              </w:rPr>
              <w:t xml:space="preserve">{{cum</w:t>
            </w:r>
            <w:r>
              <w:rPr>
                <w:i/>
                <w:iCs/>
                <w:sz w:val="20"/>
                <w:szCs w:val="20"/>
              </w:rPr>
              <w:t xml:space="preserve">hires</w:t>
            </w:r>
            <w:r>
              <w:rPr>
                <w:sz w:val="20"/>
                <w:szCs w:val="20"/>
              </w:rPr>
              <w:t xml:space="preserve">y4}}</w:t>
            </w:r>
          </w:p>
        </w:tc>
        <w:tc>
          <w:tcPr>
            <w:tcW w:type="pct" w:w="25%"/>
          </w:tcPr>
          <w:p>
            <w:r>
              <w:rPr>
                <w:sz w:val="20"/>
                <w:szCs w:val="20"/>
              </w:rPr>
              <w:t xml:space="preserve">{{payroll_y4}}</w:t>
            </w:r>
          </w:p>
        </w:tc>
      </w:tr>
      <w:tr>
        <w:tc>
          <w:tcPr>
            <w:tcW w:type="pct" w:w="25%"/>
          </w:tcPr>
          <w:p>
            <w:r>
              <w:rPr>
                <w:sz w:val="20"/>
                <w:szCs w:val="20"/>
              </w:rPr>
              <w:t xml:space="preserve">Year 5</w:t>
            </w:r>
          </w:p>
        </w:tc>
        <w:tc>
          <w:tcPr>
            <w:tcW w:type="pct" w:w="25%"/>
          </w:tcPr>
          <w:p>
            <w:r>
              <w:rPr>
                <w:sz w:val="20"/>
                <w:szCs w:val="20"/>
              </w:rPr>
              <w:t xml:space="preserve">{{hires_y5}}</w:t>
            </w:r>
          </w:p>
        </w:tc>
        <w:tc>
          <w:tcPr>
            <w:tcW w:type="pct" w:w="25%"/>
          </w:tcPr>
          <w:p>
            <w:r>
              <w:rPr>
                <w:sz w:val="20"/>
                <w:szCs w:val="20"/>
              </w:rPr>
              <w:t xml:space="preserve">{{cum</w:t>
            </w:r>
            <w:r>
              <w:rPr>
                <w:i/>
                <w:iCs/>
                <w:sz w:val="20"/>
                <w:szCs w:val="20"/>
              </w:rPr>
              <w:t xml:space="preserve">hires</w:t>
            </w:r>
            <w:r>
              <w:rPr>
                <w:sz w:val="20"/>
                <w:szCs w:val="20"/>
              </w:rPr>
              <w:t xml:space="preserve">y5}}</w:t>
            </w:r>
          </w:p>
        </w:tc>
        <w:tc>
          <w:tcPr>
            <w:tcW w:type="pct" w:w="25%"/>
          </w:tcPr>
          <w:p>
            <w:r>
              <w:rPr>
                <w:sz w:val="20"/>
                <w:szCs w:val="20"/>
              </w:rPr>
              <w:t xml:space="preserve">{{payroll_y5}}</w:t>
            </w:r>
          </w:p>
        </w:tc>
      </w:tr>
    </w:tbl>
    <w:p>
      <w:pPr>
        <w:spacing w:after="160" w:line="320"/>
      </w:pPr>
      <w:r>
        <w:rPr>
          <w:sz w:val="22"/>
          <w:szCs w:val="22"/>
        </w:rPr>
        <w:t xml:space="preserve">The hiring schedule is mapped to the financial milestones detailed in Section 7 (Expanded Financial Model). All positions are full-time U.S.-based roles. Part-time and contractor positions are excluded from the headcount above and would constitute additional indirect economic impact.</w:t>
      </w:r>
    </w:p>
    <w:p>
      <w:pPr>
        <w:pStyle w:val="Heading2"/>
        <w:spacing w:after="180" w:before="360"/>
      </w:pPr>
      <w:r>
        <w:rPr>
          <w:sz w:val="26"/>
          <w:szCs w:val="26"/>
        </w:rPr>
        <w:t xml:space="preserve">8.3 Position-by-position descriptions</w:t>
      </w:r>
    </w:p>
    <w:p>
      <w:pPr>
        <w:spacing w:after="160" w:line="320"/>
      </w:pPr>
      <w:r>
        <w:rPr>
          <w:sz w:val="22"/>
          <w:szCs w:val="22"/>
        </w:rPr>
        <w:t xml:space="preserve">The following positions will be filled in the order listed:</w:t>
      </w:r>
    </w:p>
    <w:p>
      <w:pPr>
        <w:pStyle w:val="Heading3"/>
        <w:spacing w:after="180" w:before="360"/>
      </w:pPr>
      <w:r>
        <w:rPr>
          <w:sz w:val="22"/>
          <w:szCs w:val="22"/>
        </w:rPr>
        <w:t xml:space="preserve">Position 1: Chief Operating Officer (Month 1)</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New York, NY):</w:t>
      </w:r>
      <w:r>
        <w:rPr>
          <w:sz w:val="22"/>
          <w:szCs w:val="22"/>
        </w:rPr>
        <w:t xml:space="preserve"> $175,000 to $210,000 plus benefits and equity</w:t>
      </w:r>
    </w:p>
    <w:p>
      <w:pPr>
        <w:spacing w:after="160" w:line="320"/>
      </w:pPr>
      <w:r>
        <w:rPr>
          <w:b/>
          <w:bCs/>
          <w:sz w:val="22"/>
          <w:szCs w:val="22"/>
        </w:rPr>
        <w:t xml:space="preserve">Responsibilities:</w:t>
      </w:r>
      <w:r>
        <w:rPr>
          <w:sz w:val="22"/>
          <w:szCs w:val="22"/>
        </w:rPr>
        <w:t xml:space="preserve"> Day-to-day operations of the U.S. enterprise. Petitioner takes a passive role; COO has full operational authority. Reports to a U.S. board.</w:t>
      </w:r>
    </w:p>
    <w:p>
      <w:pPr>
        <w:pStyle w:val="Heading3"/>
        <w:spacing w:after="180" w:before="360"/>
      </w:pPr>
      <w:r>
        <w:rPr>
          <w:sz w:val="22"/>
          <w:szCs w:val="22"/>
        </w:rPr>
        <w:t xml:space="preserve">Position 2: Senior Cloud Security Engineer (2 positions, Months 1-3)</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New York, NY):</w:t>
      </w:r>
      <w:r>
        <w:rPr>
          <w:sz w:val="22"/>
          <w:szCs w:val="22"/>
        </w:rPr>
        <w:t xml:space="preserve"> $155,000 to $185,000 each plus benefits</w:t>
      </w:r>
    </w:p>
    <w:p>
      <w:pPr>
        <w:spacing w:after="160" w:line="320"/>
      </w:pPr>
      <w:r>
        <w:rPr>
          <w:b/>
          <w:bCs/>
          <w:sz w:val="22"/>
          <w:szCs w:val="22"/>
        </w:rPr>
        <w:t xml:space="preserve">Responsibilities:</w:t>
      </w:r>
      <w:r>
        <w:rPr>
          <w:sz w:val="22"/>
          <w:szCs w:val="22"/>
        </w:rPr>
        <w:t xml:space="preserve"> Lead client cloud security assessments, build managed-services delivery infrastructure, mentor junior staff.</w:t>
      </w:r>
    </w:p>
    <w:p>
      <w:pPr>
        <w:pStyle w:val="Heading3"/>
        <w:spacing w:after="180" w:before="360"/>
      </w:pPr>
      <w:r>
        <w:rPr>
          <w:sz w:val="22"/>
          <w:szCs w:val="22"/>
        </w:rPr>
        <w:t xml:space="preserve">Position 3: Compliance Advisory Lead (Month 2)</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New York, NY):</w:t>
      </w:r>
      <w:r>
        <w:rPr>
          <w:sz w:val="22"/>
          <w:szCs w:val="22"/>
        </w:rPr>
        <w:t xml:space="preserve"> $140,000 to $170,000 plus benefits</w:t>
      </w:r>
    </w:p>
    <w:p>
      <w:pPr>
        <w:spacing w:after="160" w:line="320"/>
      </w:pPr>
      <w:r>
        <w:rPr>
          <w:b/>
          <w:bCs/>
          <w:sz w:val="22"/>
          <w:szCs w:val="22"/>
        </w:rPr>
        <w:t xml:space="preserve">Responsibilities:</w:t>
      </w:r>
      <w:r>
        <w:rPr>
          <w:sz w:val="22"/>
          <w:szCs w:val="22"/>
        </w:rPr>
        <w:t xml:space="preserve"> Lead compliance engagements (SOC 2, PCI, HIPAA, NYDFS). Direct contact with client CISOs.</w:t>
      </w:r>
    </w:p>
    <w:p>
      <w:pPr>
        <w:pStyle w:val="Heading3"/>
        <w:spacing w:after="180" w:before="360"/>
      </w:pPr>
      <w:r>
        <w:rPr>
          <w:sz w:val="22"/>
          <w:szCs w:val="22"/>
        </w:rPr>
        <w:t xml:space="preserve">Position 4: Director of Sales (Month 3)</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New York, NY):</w:t>
      </w:r>
      <w:r>
        <w:rPr>
          <w:sz w:val="22"/>
          <w:szCs w:val="22"/>
        </w:rPr>
        <w:t xml:space="preserve"> $135,000 to $160,000 plus commission</w:t>
      </w:r>
    </w:p>
    <w:p>
      <w:pPr>
        <w:spacing w:after="160" w:line="320"/>
      </w:pPr>
      <w:r>
        <w:rPr>
          <w:b/>
          <w:bCs/>
          <w:sz w:val="22"/>
          <w:szCs w:val="22"/>
        </w:rPr>
        <w:t xml:space="preserve">Responsibilities:</w:t>
      </w:r>
      <w:r>
        <w:rPr>
          <w:sz w:val="22"/>
          <w:szCs w:val="22"/>
        </w:rPr>
        <w:t xml:space="preserve"> U.S. mid-market financial services sales pipeline.</w:t>
      </w:r>
    </w:p>
    <w:p>
      <w:pPr>
        <w:pStyle w:val="Heading3"/>
        <w:spacing w:after="180" w:before="360"/>
      </w:pPr>
      <w:r>
        <w:rPr>
          <w:sz w:val="22"/>
          <w:szCs w:val="22"/>
        </w:rPr>
        <w:t xml:space="preserve">Position 5: Customer Success Manager (Month 5)</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New York, NY):</w:t>
      </w:r>
      <w:r>
        <w:rPr>
          <w:sz w:val="22"/>
          <w:szCs w:val="22"/>
        </w:rPr>
        <w:t xml:space="preserve"> $95,000 to $115,000 plus benefits</w:t>
      </w:r>
    </w:p>
    <w:p>
      <w:pPr>
        <w:spacing w:after="160" w:line="320"/>
      </w:pPr>
      <w:r>
        <w:rPr>
          <w:b/>
          <w:bCs/>
          <w:sz w:val="22"/>
          <w:szCs w:val="22"/>
        </w:rPr>
        <w:t xml:space="preserve">Responsibilities:</w:t>
      </w:r>
      <w:r>
        <w:rPr>
          <w:sz w:val="22"/>
          <w:szCs w:val="22"/>
        </w:rPr>
        <w:t xml:space="preserve"> Account retention, renewal, and growth coordination for managed-services clients.</w:t>
      </w:r>
    </w:p>
    <w:p>
      <w:pPr>
        <w:pStyle w:val="Heading3"/>
        <w:spacing w:after="180" w:before="360"/>
      </w:pPr>
      <w:r>
        <w:rPr>
          <w:sz w:val="22"/>
          <w:szCs w:val="22"/>
        </w:rPr>
        <w:t xml:space="preserve">Position 6: Year-2 expansion: 6 additional roles (engineering, compliance, sales)</w:t>
      </w:r>
    </w:p>
    <w:p>
      <w:pPr>
        <w:spacing w:after="160" w:line="320"/>
      </w:pPr>
      <w:r>
        <w:rPr>
          <w:b/>
          <w:bCs/>
          <w:sz w:val="22"/>
          <w:szCs w:val="22"/>
        </w:rPr>
        <w:t xml:space="preserve">Hire timing:</w:t>
      </w:r>
      <w:r>
        <w:rPr>
          <w:sz w:val="22"/>
          <w:szCs w:val="22"/>
        </w:rPr>
        <w:t xml:space="preserve"> Year 2</w:t>
      </w:r>
    </w:p>
    <w:p>
      <w:pPr>
        <w:spacing w:after="160" w:line="320"/>
      </w:pPr>
      <w:r>
        <w:rPr>
          <w:b/>
          <w:bCs/>
          <w:sz w:val="22"/>
          <w:szCs w:val="22"/>
        </w:rPr>
        <w:t xml:space="preserve">Salary range (BLS-aligned for New York, NY):</w:t>
      </w:r>
      <w:r>
        <w:rPr>
          <w:sz w:val="22"/>
          <w:szCs w:val="22"/>
        </w:rPr>
        <w:t xml:space="preserve"> $85,000 to $185,000 each</w:t>
      </w:r>
    </w:p>
    <w:p>
      <w:pPr>
        <w:spacing w:after="160" w:line="320"/>
      </w:pPr>
      <w:r>
        <w:rPr>
          <w:b/>
          <w:bCs/>
          <w:sz w:val="22"/>
          <w:szCs w:val="22"/>
        </w:rPr>
        <w:t xml:space="preserve">Responsibilities:</w:t>
      </w:r>
      <w:r>
        <w:rPr>
          <w:sz w:val="22"/>
          <w:szCs w:val="22"/>
        </w:rPr>
        <w:t xml:space="preserve"> Capacity expansion supporting Y2 revenue ramp from $1.4M to $3.6M.</w:t>
      </w:r>
    </w:p>
    <w:p>
      <w:pPr>
        <w:pStyle w:val="Heading2"/>
        <w:spacing w:after="180" w:before="360"/>
      </w:pPr>
      <w:r>
        <w:rPr>
          <w:sz w:val="26"/>
          <w:szCs w:val="26"/>
        </w:rPr>
        <w:t xml:space="preserve">8.4 Hiring criteria and recruitment</w:t>
      </w:r>
    </w:p>
    <w:p>
      <w:pPr>
        <w:spacing w:after="160" w:line="320"/>
      </w:pPr>
      <w:r>
        <w:rPr>
          <w:sz w:val="22"/>
          <w:szCs w:val="22"/>
        </w:rPr>
        <w:t xml:space="preserve">All U.S. hires will be made through standard U.S. labor market channels (job boards, professional recruiters, direct outreach). The petitioner does not intend to fill any position with a foreign national requiring sponsorship beyond the petitioner's own EB-5 status.</w:t>
      </w:r>
    </w:p>
    <w:p>
      <w:pPr>
        <w:spacing w:after="160" w:line="320"/>
      </w:pPr>
      <w:r>
        <w:rPr>
          <w:sz w:val="22"/>
          <w:szCs w:val="22"/>
        </w:rPr>
        <w:t xml:space="preserve">Compensation ranges reflect BLS published data for the New York, NY area for the corresponding Standard Occupational Classification (SOC) codes. Where the role does not map cleanly to a published SOC, the range reflects the petitioner's market research and adviser input on competitive wages for similar roles in the local market.</w:t>
      </w:r>
    </w:p>
    <w:p>
      <w:pPr>
        <w:pStyle w:val="Heading2"/>
        <w:spacing w:after="180" w:before="360"/>
      </w:pPr>
      <w:r>
        <w:rPr>
          <w:sz w:val="26"/>
          <w:szCs w:val="26"/>
        </w:rPr>
        <w:t xml:space="preserve">8.5 Job creation timeline mapped to financial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Pre-launch buildout complete</w:t>
            </w:r>
          </w:p>
        </w:tc>
        <w:tc>
          <w:tcPr>
            <w:tcW w:type="pct" w:w="25%"/>
          </w:tcPr>
          <w:p>
            <w:r>
              <w:rPr>
                <w:sz w:val="20"/>
                <w:szCs w:val="20"/>
              </w:rPr>
              <w:t xml:space="preserve">Month 0</w:t>
            </w:r>
          </w:p>
        </w:tc>
        <w:tc>
          <w:tcPr>
            <w:tcW w:type="pct" w:w="25%"/>
          </w:tcPr>
          <w:p>
            <w:r>
              <w:rPr>
                <w:sz w:val="20"/>
                <w:szCs w:val="20"/>
              </w:rPr>
              <w:t xml:space="preserve">{{milestone</w:t>
            </w:r>
            <w:r>
              <w:rPr>
                <w:i/>
                <w:iCs/>
                <w:sz w:val="20"/>
                <w:szCs w:val="20"/>
              </w:rPr>
              <w:t xml:space="preserve">m0</w:t>
            </w:r>
            <w:r>
              <w:rPr>
                <w:sz w:val="20"/>
                <w:szCs w:val="20"/>
              </w:rPr>
              <w:t xml:space="preserve">jobs}}</w:t>
            </w:r>
          </w:p>
        </w:tc>
        <w:tc>
          <w:tcPr>
            <w:tcW w:type="pct" w:w="25%"/>
          </w:tcPr>
          <w:p>
            <w:r>
              <w:rPr>
                <w:sz w:val="20"/>
                <w:szCs w:val="20"/>
              </w:rPr>
              <w:t xml:space="preserve">Lease executed, equipment installed</w:t>
            </w:r>
          </w:p>
        </w:tc>
      </w:tr>
      <w:tr>
        <w:tc>
          <w:tcPr>
            <w:tcW w:type="pct" w:w="25%"/>
          </w:tcPr>
          <w:p>
            <w:r>
              <w:rPr>
                <w:sz w:val="20"/>
                <w:szCs w:val="20"/>
              </w:rPr>
              <w:t xml:space="preserve">Soft launch</w:t>
            </w:r>
          </w:p>
        </w:tc>
        <w:tc>
          <w:tcPr>
            <w:tcW w:type="pct" w:w="25%"/>
          </w:tcPr>
          <w:p>
            <w:r>
              <w:rPr>
                <w:sz w:val="20"/>
                <w:szCs w:val="20"/>
              </w:rPr>
              <w:t xml:space="preserve">Month 1-2</w:t>
            </w:r>
          </w:p>
        </w:tc>
        <w:tc>
          <w:tcPr>
            <w:tcW w:type="pct" w:w="25%"/>
          </w:tcPr>
          <w:p>
            <w:r>
              <w:rPr>
                <w:sz w:val="20"/>
                <w:szCs w:val="20"/>
              </w:rPr>
              <w:t xml:space="preserve">{{milestone</w:t>
            </w:r>
            <w:r>
              <w:rPr>
                <w:i/>
                <w:iCs/>
                <w:sz w:val="20"/>
                <w:szCs w:val="20"/>
              </w:rPr>
              <w:t xml:space="preserve">m2</w:t>
            </w:r>
            <w:r>
              <w:rPr>
                <w:sz w:val="20"/>
                <w:szCs w:val="20"/>
              </w:rPr>
              <w:t xml:space="preserve">jobs}}</w:t>
            </w:r>
          </w:p>
        </w:tc>
        <w:tc>
          <w:tcPr>
            <w:tcW w:type="pct" w:w="25%"/>
          </w:tcPr>
          <w:p>
            <w:r>
              <w:rPr>
                <w:sz w:val="20"/>
                <w:szCs w:val="20"/>
              </w:rPr>
              <w:t xml:space="preserve">First customers served</w:t>
            </w:r>
          </w:p>
        </w:tc>
      </w:tr>
      <w:tr>
        <w:tc>
          <w:tcPr>
            <w:tcW w:type="pct" w:w="25%"/>
          </w:tcPr>
          <w:p>
            <w:r>
              <w:rPr>
                <w:sz w:val="20"/>
                <w:szCs w:val="20"/>
              </w:rPr>
              <w:t xml:space="preserve">Stabilized operations</w:t>
            </w:r>
          </w:p>
        </w:tc>
        <w:tc>
          <w:tcPr>
            <w:tcW w:type="pct" w:w="25%"/>
          </w:tcPr>
          <w:p>
            <w:r>
              <w:rPr>
                <w:sz w:val="20"/>
                <w:szCs w:val="20"/>
              </w:rPr>
              <w:t xml:space="preserve">Month 6</w:t>
            </w:r>
          </w:p>
        </w:tc>
        <w:tc>
          <w:tcPr>
            <w:tcW w:type="pct" w:w="25%"/>
          </w:tcPr>
          <w:p>
            <w:r>
              <w:rPr>
                <w:sz w:val="20"/>
                <w:szCs w:val="20"/>
              </w:rPr>
              <w:t xml:space="preserve">{{milestone</w:t>
            </w:r>
            <w:r>
              <w:rPr>
                <w:i/>
                <w:iCs/>
                <w:sz w:val="20"/>
                <w:szCs w:val="20"/>
              </w:rPr>
              <w:t xml:space="preserve">m6</w:t>
            </w:r>
            <w:r>
              <w:rPr>
                <w:sz w:val="20"/>
                <w:szCs w:val="20"/>
              </w:rPr>
              <w:t xml:space="preserve">jobs}}</w:t>
            </w:r>
          </w:p>
        </w:tc>
        <w:tc>
          <w:tcPr>
            <w:tcW w:type="pct" w:w="25%"/>
          </w:tcPr>
          <w:p>
            <w:r>
              <w:rPr>
                <w:sz w:val="20"/>
                <w:szCs w:val="20"/>
              </w:rPr>
              <w:t xml:space="preserve">Year-1 break-even on monthly basis</w:t>
            </w:r>
          </w:p>
        </w:tc>
      </w:tr>
      <w:tr>
        <w:tc>
          <w:tcPr>
            <w:tcW w:type="pct" w:w="25%"/>
          </w:tcPr>
          <w:p>
            <w:r>
              <w:rPr>
                <w:sz w:val="20"/>
                <w:szCs w:val="20"/>
              </w:rPr>
              <w:t xml:space="preserve">End of Year 1</w:t>
            </w:r>
          </w:p>
        </w:tc>
        <w:tc>
          <w:tcPr>
            <w:tcW w:type="pct" w:w="25%"/>
          </w:tcPr>
          <w:p>
            <w:r>
              <w:rPr>
                <w:sz w:val="20"/>
                <w:szCs w:val="20"/>
              </w:rPr>
              <w:t xml:space="preserve">Month 12</w:t>
            </w:r>
          </w:p>
        </w:tc>
        <w:tc>
          <w:tcPr>
            <w:tcW w:type="pct" w:w="25%"/>
          </w:tcPr>
          <w:p>
            <w:r>
              <w:rPr>
                <w:sz w:val="20"/>
                <w:szCs w:val="20"/>
              </w:rPr>
              <w:t xml:space="preserve">{{cum</w:t>
            </w:r>
            <w:r>
              <w:rPr>
                <w:i/>
                <w:iCs/>
                <w:sz w:val="20"/>
                <w:szCs w:val="20"/>
              </w:rPr>
              <w:t xml:space="preserve">hires</w:t>
            </w:r>
            <w:r>
              <w:rPr>
                <w:sz w:val="20"/>
                <w:szCs w:val="20"/>
              </w:rPr>
              <w:t xml:space="preserve">y1}}</w:t>
            </w:r>
          </w:p>
        </w:tc>
        <w:tc>
          <w:tcPr>
            <w:tcW w:type="pct" w:w="25%"/>
          </w:tcPr>
          <w:p>
            <w:r>
              <w:rPr>
                <w:sz w:val="20"/>
                <w:szCs w:val="20"/>
              </w:rPr>
              <w:t xml:space="preserve">Year-1 revenue target met</w:t>
            </w:r>
          </w:p>
        </w:tc>
      </w:tr>
      <w:tr>
        <w:tc>
          <w:tcPr>
            <w:tcW w:type="pct" w:w="25%"/>
          </w:tcPr>
          <w:p>
            <w:r>
              <w:rPr>
                <w:sz w:val="20"/>
                <w:szCs w:val="20"/>
              </w:rPr>
              <w:t xml:space="preserve">End of Year 3</w:t>
            </w:r>
          </w:p>
        </w:tc>
        <w:tc>
          <w:tcPr>
            <w:tcW w:type="pct" w:w="25%"/>
          </w:tcPr>
          <w:p>
            <w:r>
              <w:rPr>
                <w:sz w:val="20"/>
                <w:szCs w:val="20"/>
              </w:rPr>
              <w:t xml:space="preserve">Month 36</w:t>
            </w:r>
          </w:p>
        </w:tc>
        <w:tc>
          <w:tcPr>
            <w:tcW w:type="pct" w:w="25%"/>
          </w:tcPr>
          <w:p>
            <w:r>
              <w:rPr>
                <w:sz w:val="20"/>
                <w:szCs w:val="20"/>
              </w:rPr>
              <w:t xml:space="preserve">{{cum</w:t>
            </w:r>
            <w:r>
              <w:rPr>
                <w:i/>
                <w:iCs/>
                <w:sz w:val="20"/>
                <w:szCs w:val="20"/>
              </w:rPr>
              <w:t xml:space="preserve">hires</w:t>
            </w:r>
            <w:r>
              <w:rPr>
                <w:sz w:val="20"/>
                <w:szCs w:val="20"/>
              </w:rPr>
              <w:t xml:space="preserve">y3}}</w:t>
            </w:r>
          </w:p>
        </w:tc>
        <w:tc>
          <w:tcPr>
            <w:tcW w:type="pct" w:w="25%"/>
          </w:tcPr>
          <w:p>
            <w:r>
              <w:rPr>
                <w:sz w:val="20"/>
                <w:szCs w:val="20"/>
              </w:rPr>
              <w:t xml:space="preserve">Stabilized operating margin</w:t>
            </w:r>
          </w:p>
        </w:tc>
      </w:tr>
      <w:tr>
        <w:tc>
          <w:tcPr>
            <w:tcW w:type="pct" w:w="25%"/>
          </w:tcPr>
          <w:p>
            <w:r>
              <w:rPr>
                <w:sz w:val="20"/>
                <w:szCs w:val="20"/>
              </w:rPr>
              <w:t xml:space="preserve">End of Year 5</w:t>
            </w:r>
          </w:p>
        </w:tc>
        <w:tc>
          <w:tcPr>
            <w:tcW w:type="pct" w:w="25%"/>
          </w:tcPr>
          <w:p>
            <w:r>
              <w:rPr>
                <w:sz w:val="20"/>
                <w:szCs w:val="20"/>
              </w:rPr>
              <w:t xml:space="preserve">Month 60</w:t>
            </w:r>
          </w:p>
        </w:tc>
        <w:tc>
          <w:tcPr>
            <w:tcW w:type="pct" w:w="25%"/>
          </w:tcPr>
          <w:p>
            <w:r>
              <w:rPr>
                <w:sz w:val="20"/>
                <w:szCs w:val="20"/>
              </w:rPr>
              <w:t xml:space="preserve">{{cum</w:t>
            </w:r>
            <w:r>
              <w:rPr>
                <w:i/>
                <w:iCs/>
                <w:sz w:val="20"/>
                <w:szCs w:val="20"/>
              </w:rPr>
              <w:t xml:space="preserve">hires</w:t>
            </w:r>
            <w:r>
              <w:rPr>
                <w:sz w:val="20"/>
                <w:szCs w:val="20"/>
              </w:rPr>
              <w:t xml:space="preserve">y5}}</w:t>
            </w:r>
          </w:p>
        </w:tc>
        <w:tc>
          <w:tcPr>
            <w:tcW w:type="pct" w:w="25%"/>
          </w:tcPr>
          <w:p>
            <w:r>
              <w:rPr>
                <w:sz w:val="20"/>
                <w:szCs w:val="20"/>
              </w:rPr>
              <w:t xml:space="preserve">Mature enterprise</w:t>
            </w:r>
          </w:p>
        </w:tc>
      </w:tr>
    </w:tbl>
    <w:p>
      <w:pPr>
        <w:pStyle w:val="Heading2"/>
        <w:spacing w:after="180" w:before="360"/>
      </w:pPr>
      <w:r>
        <w:rPr>
          <w:sz w:val="26"/>
          <w:szCs w:val="26"/>
        </w:rPr>
        <w:t xml:space="preserve">8.6 Indirect and induced economic impact</w:t>
      </w:r>
    </w:p>
    <w:p>
      <w:pPr>
        <w:spacing w:after="160" w:line="320"/>
      </w:pPr>
      <w:r>
        <w:rPr>
          <w:sz w:val="22"/>
          <w:szCs w:val="22"/>
        </w:rPr>
        <w:t xml:space="preserve">In addition to the {{cum</w:t>
      </w:r>
      <w:r>
        <w:rPr>
          <w:i/>
          <w:iCs/>
          <w:sz w:val="22"/>
          <w:szCs w:val="22"/>
        </w:rPr>
        <w:t xml:space="preserve">hires</w:t>
      </w:r>
      <w:r>
        <w:rPr>
          <w:sz w:val="22"/>
          <w:szCs w:val="22"/>
        </w:rPr>
        <w:t xml:space="preserve">y5}} direct jobs created by Year 5, ZhangWave Solutions Inc. will generate indirect economic impact through:</w:t>
      </w:r>
    </w:p>
    <w:p>
      <w:pPr>
        <w:pStyle w:val="ListParagraph"/>
        <w:numPr>
          <w:ilvl w:val="0"/>
          <w:numId w:val="1"/>
        </w:numPr>
        <w:spacing w:after="80" w:line="300"/>
      </w:pPr>
      <w:r>
        <w:rPr>
          <w:sz w:val="22"/>
          <w:szCs w:val="22"/>
        </w:rPr>
        <w:t xml:space="preserve">Vendor and supplier purchases (detailed in Section 9, Operations Plan)</w:t>
      </w:r>
    </w:p>
    <w:p>
      <w:pPr>
        <w:pStyle w:val="ListParagraph"/>
        <w:numPr>
          <w:ilvl w:val="0"/>
          <w:numId w:val="1"/>
        </w:numPr>
        <w:spacing w:after="80" w:line="300"/>
      </w:pPr>
      <w:r>
        <w:rPr>
          <w:sz w:val="22"/>
          <w:szCs w:val="22"/>
        </w:rPr>
        <w:t xml:space="preserve">Local service spending by U.S.-based employees</w:t>
      </w:r>
    </w:p>
    <w:p>
      <w:pPr>
        <w:pStyle w:val="ListParagraph"/>
        <w:numPr>
          <w:ilvl w:val="0"/>
          <w:numId w:val="1"/>
        </w:numPr>
        <w:spacing w:after="80" w:line="300"/>
      </w:pPr>
      <w:r>
        <w:rPr>
          <w:sz w:val="22"/>
          <w:szCs w:val="22"/>
        </w:rPr>
        <w:t xml:space="preserve">Tax revenue (federal, state of New York, and local)</w:t>
      </w:r>
    </w:p>
    <w:p>
      <w:pPr>
        <w:spacing w:after="160" w:line="320"/>
      </w:pPr>
      <w:r>
        <w:rPr>
          <w:sz w:val="22"/>
          <w:szCs w:val="22"/>
        </w:rPr>
        <w:t xml:space="preserve">While indirect and induced job multipliers (such as the RIMS II model) are typically applied in EB-5 contexts, for the EB-5 non-marginality analysis the direct-hire count and payroll above are sufficient to demonstrate that the enterprise materially exceeds a marginal operation under 8 CFR 214.2(e)(15).</w:t>
      </w:r>
    </w:p>
    <w:p>
      <w:pPr>
        <w:pStyle w:val="Heading2"/>
        <w:spacing w:after="180" w:before="360"/>
      </w:pPr>
      <w:r>
        <w:rPr>
          <w:sz w:val="26"/>
          <w:szCs w:val="26"/>
        </w:rPr>
        <w:t xml:space="preserve">8.7 Petitioner's role within the organization</w:t>
      </w:r>
    </w:p>
    <w:p>
      <w:pPr>
        <w:spacing w:after="160" w:line="320"/>
      </w:pPr>
      <w:r>
        <w:rPr>
          <w:sz w:val="22"/>
          <w:szCs w:val="22"/>
        </w:rPr>
        <w:t xml:space="preserve">Wei Zhang serves as Founder and Chief Executive Officer of ZhangWave Solutions Inc. and is responsible for corporate governance, hiring decisions, vendor relationships, and strategic direction. The petitioner's day-to-day responsibilities are detailed in Section 3 (EB-5 Eligibility, Subsection 6: Develop and Direct).</w:t>
      </w:r>
    </w:p>
    <w:p>
      <w:pPr>
        <w:spacing w:after="160" w:line="320"/>
      </w:pPr>
      <w:r>
        <w:rPr>
          <w:sz w:val="22"/>
          <w:szCs w:val="22"/>
        </w:rPr>
        <w:t xml:space="preserve">The petitioner's compensation is structured as a combination of base salary and distribution of profits. The base salary is included in the cumulative annual payroll figures above. The petitioner's profit distribution is contingent on the enterprise's financial performance and is consistent with the at-risk nature of the investment.</w:t>
      </w:r>
    </w:p>
    <w:p>
      <w:pPr>
        <w:pStyle w:val="Heading1"/>
        <w:pageBreakBefore/>
        <w:spacing w:after="180" w:before="480"/>
      </w:pPr>
      <w:r>
        <w:rPr>
          <w:sz w:val="32"/>
          <w:szCs w:val="32"/>
        </w:rPr>
        <w:t xml:space="preserve">Operations Plan (Expanded)</w:t>
      </w:r>
    </w:p>
    <w:p>
      <w:pPr>
        <w:spacing w:after="160" w:line="320"/>
      </w:pPr>
      <w:r>
        <w:rPr>
          <w:sz w:val="22"/>
          <w:szCs w:val="22"/>
        </w:rPr>
        <w:t xml:space="preserve">This section details the operating model of ZhangWave Solutions Inc., including physical premises, equipment, vendor relationships, supply chain, and regulatory compliance. The expanded operations narrative supports the "real and active enterprise" requirement of EB-5 eligibility (Section 3.4) and demonstrates substantive U.S.-based commercial activity.</w:t>
      </w:r>
    </w:p>
    <w:p>
      <w:pPr>
        <w:pStyle w:val="Heading2"/>
        <w:spacing w:after="180" w:before="360"/>
      </w:pPr>
      <w:r>
        <w:rPr>
          <w:sz w:val="26"/>
          <w:szCs w:val="26"/>
        </w:rPr>
        <w:t xml:space="preserve">9.1 Physical premises and lease</w:t>
      </w:r>
    </w:p>
    <w:p>
      <w:pPr>
        <w:spacing w:after="160" w:line="320"/>
      </w:pPr>
      <w:r>
        <w:rPr>
          <w:sz w:val="22"/>
          <w:szCs w:val="22"/>
        </w:rPr>
        <w:t xml:space="preserve">ZhangWave Solutions Inc. operates from New York, NY at the address documented in the lease exhibit provided by the firm of record.</w:t>
      </w:r>
    </w:p>
    <w:p>
      <w:pPr>
        <w:spacing w:after="160" w:line="320"/>
      </w:pPr>
      <w:r>
        <w:rPr>
          <w:b/>
          <w:bCs/>
          <w:sz w:val="22"/>
          <w:szCs w:val="22"/>
        </w:rPr>
        <w:t xml:space="preserve">Lease summary:</w:t>
      </w:r>
      <w:r>
        <w:rPr>
          <w:sz w:val="22"/>
          <w:szCs w:val="22"/>
        </w:rPr>
        <w:t xml:space="preserve"> 5-year lease executed January 2026 at $14,200 per month plus operating expenses, 3% annual escalation</w:t>
      </w:r>
    </w:p>
    <w:p>
      <w:pPr>
        <w:spacing w:after="160" w:line="320"/>
      </w:pPr>
      <w:r>
        <w:rPr>
          <w:b/>
          <w:bCs/>
          <w:sz w:val="22"/>
          <w:szCs w:val="22"/>
        </w:rPr>
        <w:t xml:space="preserve">Premises type:</w:t>
      </w:r>
      <w:r>
        <w:rPr>
          <w:sz w:val="22"/>
          <w:szCs w:val="22"/>
        </w:rPr>
        <w:t xml:space="preserve"> Commercial office space in midtown Manhattan</w:t>
      </w:r>
    </w:p>
    <w:p>
      <w:pPr>
        <w:spacing w:after="160" w:line="320"/>
      </w:pPr>
      <w:r>
        <w:rPr>
          <w:b/>
          <w:bCs/>
          <w:sz w:val="22"/>
          <w:szCs w:val="22"/>
        </w:rPr>
        <w:t xml:space="preserve">Approximate square footage:</w:t>
      </w:r>
      <w:r>
        <w:rPr>
          <w:sz w:val="22"/>
          <w:szCs w:val="22"/>
        </w:rPr>
        <w:t xml:space="preserve"> 3,200 square feet</w:t>
      </w:r>
    </w:p>
    <w:p>
      <w:pPr>
        <w:spacing w:after="160" w:line="320"/>
      </w:pPr>
      <w:r>
        <w:rPr>
          <w:b/>
          <w:bCs/>
          <w:sz w:val="22"/>
          <w:szCs w:val="22"/>
        </w:rPr>
        <w:t xml:space="preserve">Build-out status:</w:t>
      </w:r>
      <w:r>
        <w:rPr>
          <w:sz w:val="22"/>
          <w:szCs w:val="22"/>
        </w:rPr>
        <w:t xml:space="preserve"> Build-out complete, premises occupied since March 2026</w:t>
      </w:r>
    </w:p>
    <w:p>
      <w:pPr>
        <w:spacing w:after="160" w:line="320"/>
      </w:pPr>
      <w:r>
        <w:rPr>
          <w:sz w:val="22"/>
          <w:szCs w:val="22"/>
        </w:rPr>
        <w:t xml:space="preserve">The physical premises are necessary for the conduct of business and could not be replicated by a remote-only or virtual operation, satisfying the real-and-active standard.</w:t>
      </w:r>
    </w:p>
    <w:p>
      <w:pPr>
        <w:pStyle w:val="Heading2"/>
        <w:spacing w:after="180" w:before="360"/>
      </w:pPr>
      <w:r>
        <w:rPr>
          <w:sz w:val="26"/>
          <w:szCs w:val="26"/>
        </w:rPr>
        <w:t xml:space="preserve">9.2 Equipment and fixed assets</w:t>
      </w:r>
    </w:p>
    <w:p>
      <w:pPr>
        <w:spacing w:after="160" w:line="320"/>
      </w:pPr>
      <w:r>
        <w:rPr>
          <w:sz w:val="22"/>
          <w:szCs w:val="22"/>
        </w:rPr>
        <w:t xml:space="preserve">The enterprise has acquired or will acquire the following equipment and fixed assets, with documentation provided in the equipment exhibit:</w:t>
      </w:r>
    </w:p>
    <w:p>
      <w:pPr>
        <w:pStyle w:val="ListParagraph"/>
        <w:numPr>
          <w:ilvl w:val="0"/>
          <w:numId w:val="1"/>
        </w:numPr>
        <w:spacing w:after="80" w:line="300"/>
      </w:pPr>
      <w:r>
        <w:rPr>
          <w:sz w:val="22"/>
          <w:szCs w:val="22"/>
        </w:rPr>
        <w:t xml:space="preserve">Office furniture and 25-workstation buildout: $65,000 (purchased and installed)</w:t>
      </w:r>
    </w:p>
    <w:p>
      <w:pPr>
        <w:pStyle w:val="ListParagraph"/>
        <w:numPr>
          <w:ilvl w:val="0"/>
          <w:numId w:val="1"/>
        </w:numPr>
        <w:spacing w:after="80" w:line="300"/>
      </w:pPr>
      <w:r>
        <w:rPr>
          <w:sz w:val="22"/>
          <w:szCs w:val="22"/>
        </w:rPr>
        <w:t xml:space="preserve">Engineering hardware (laptops, security testing equipment): $95,000 (purchased, deployed)</w:t>
      </w:r>
    </w:p>
    <w:p>
      <w:pPr>
        <w:pStyle w:val="ListParagraph"/>
        <w:numPr>
          <w:ilvl w:val="0"/>
          <w:numId w:val="1"/>
        </w:numPr>
        <w:spacing w:after="80" w:line="300"/>
      </w:pPr>
      <w:r>
        <w:rPr>
          <w:sz w:val="22"/>
          <w:szCs w:val="22"/>
        </w:rPr>
        <w:t xml:space="preserve">Server and lab infrastructure for client testing: $145,000 (purchased, installation in progress)</w:t>
      </w:r>
    </w:p>
    <w:p>
      <w:pPr>
        <w:pStyle w:val="ListParagraph"/>
        <w:numPr>
          <w:ilvl w:val="0"/>
          <w:numId w:val="1"/>
        </w:numPr>
        <w:spacing w:after="80" w:line="300"/>
      </w:pPr>
      <w:r>
        <w:rPr>
          <w:sz w:val="22"/>
          <w:szCs w:val="22"/>
        </w:rPr>
        <w:t xml:space="preserve">Conference and training rooms: $35,000 (complete)</w:t>
      </w:r>
    </w:p>
    <w:p>
      <w:pPr>
        <w:spacing w:after="160" w:line="320"/>
      </w:pPr>
      <w:r>
        <w:rPr>
          <w:sz w:val="22"/>
          <w:szCs w:val="22"/>
        </w:rPr>
        <w:t xml:space="preserve">The total equipment investment is captured in the capital allocation table in Section 3.2 of the EB-5 Eligibility section. Equipment is owned outright and is not leased or financed (except where specifically noted in the equipment exhibit).</w:t>
      </w:r>
    </w:p>
    <w:p>
      <w:pPr>
        <w:pStyle w:val="Heading2"/>
        <w:spacing w:after="180" w:before="360"/>
      </w:pPr>
      <w:r>
        <w:rPr>
          <w:sz w:val="26"/>
          <w:szCs w:val="26"/>
        </w:rPr>
        <w:t xml:space="preserve">9.3 Vendor and supplier relationships</w:t>
      </w:r>
    </w:p>
    <w:p>
      <w:pPr>
        <w:spacing w:after="160" w:line="320"/>
      </w:pPr>
      <w:r>
        <w:rPr>
          <w:sz w:val="22"/>
          <w:szCs w:val="22"/>
        </w:rPr>
        <w:t xml:space="preserve">ZhangWave Solutions Inc. has established or is in the process of establishing the following key vendor relationships:</w:t>
      </w:r>
    </w:p>
    <w:p>
      <w:pPr>
        <w:pStyle w:val="ListParagraph"/>
        <w:numPr>
          <w:ilvl w:val="0"/>
          <w:numId w:val="1"/>
        </w:numPr>
        <w:spacing w:after="80" w:line="300"/>
      </w:pPr>
      <w:r>
        <w:rPr>
          <w:sz w:val="22"/>
          <w:szCs w:val="22"/>
        </w:rPr>
        <w:t xml:space="preserve">AWS (primary cloud infrastructure for client deployments): Cloud infrastructure for client engagements (Enterprise account established)</w:t>
      </w:r>
    </w:p>
    <w:p>
      <w:pPr>
        <w:pStyle w:val="ListParagraph"/>
        <w:numPr>
          <w:ilvl w:val="0"/>
          <w:numId w:val="1"/>
        </w:numPr>
        <w:spacing w:after="80" w:line="300"/>
      </w:pPr>
      <w:r>
        <w:rPr>
          <w:sz w:val="22"/>
          <w:szCs w:val="22"/>
        </w:rPr>
        <w:t xml:space="preserve">CrowdStrike, Splunk, Palo Alto (security tooling vendors): Security and compliance tooling resold to clients (Reseller agreements in place)</w:t>
      </w:r>
    </w:p>
    <w:p>
      <w:pPr>
        <w:pStyle w:val="ListParagraph"/>
        <w:numPr>
          <w:ilvl w:val="0"/>
          <w:numId w:val="1"/>
        </w:numPr>
        <w:spacing w:after="80" w:line="300"/>
      </w:pPr>
      <w:r>
        <w:rPr>
          <w:sz w:val="22"/>
          <w:szCs w:val="22"/>
        </w:rPr>
        <w:t xml:space="preserve">Major U.S. CPA firm: Accounting, tax, audit (statutory and SOC 2 audit support) (Engaged on retainer)</w:t>
      </w:r>
    </w:p>
    <w:p>
      <w:pPr>
        <w:pStyle w:val="ListParagraph"/>
        <w:numPr>
          <w:ilvl w:val="0"/>
          <w:numId w:val="1"/>
        </w:numPr>
        <w:spacing w:after="80" w:line="300"/>
      </w:pPr>
      <w:r>
        <w:rPr>
          <w:sz w:val="22"/>
          <w:szCs w:val="22"/>
        </w:rPr>
        <w:t xml:space="preserve">U.S. employment law firm: Employment compliance, employee handbook, immigration support (Engaged)</w:t>
      </w:r>
    </w:p>
    <w:p>
      <w:pPr>
        <w:spacing w:after="160" w:line="320"/>
      </w:pPr>
      <w:r>
        <w:rPr>
          <w:sz w:val="22"/>
          <w:szCs w:val="22"/>
        </w:rPr>
        <w:t xml:space="preserve">Vendor agreements are provided as petition exhibits where executed. Where agreements are pending, the firm of record has documented the petitioner's outreach and the vendor's confirmation of supply availability.</w:t>
      </w:r>
    </w:p>
    <w:p>
      <w:pPr>
        <w:pStyle w:val="Heading2"/>
        <w:spacing w:after="180" w:before="360"/>
      </w:pPr>
      <w:r>
        <w:rPr>
          <w:sz w:val="26"/>
          <w:szCs w:val="26"/>
        </w:rPr>
        <w:t xml:space="preserve">9.4 Supply chain narrative</w:t>
      </w:r>
    </w:p>
    <w:p>
      <w:pPr>
        <w:spacing w:after="160" w:line="320"/>
      </w:pPr>
      <w:r>
        <w:rPr>
          <w:sz w:val="22"/>
          <w:szCs w:val="22"/>
        </w:rPr>
        <w:t xml:space="preserve">ZhangWave Solutions Inc. has established or is finalizing relationships with primary and secondary suppliers in the Managed cloud security and compliance services sector. The dual-vendor approach provides redundancy against single-vendor disruption. Lead times, payment terms, and minimum-order quantities are documented in the vendor exhibits.</w:t>
      </w:r>
    </w:p>
    <w:p>
      <w:pPr>
        <w:spacing w:after="160" w:line="320"/>
      </w:pPr>
      <w:r>
        <w:rPr>
          <w:sz w:val="22"/>
          <w:szCs w:val="22"/>
        </w:rPr>
        <w:t xml:space="preserve">The supply chain demonstrates that the enterprise is operationally ready to commence revenue-generating activities and is not contingent on undefined future relationships.</w:t>
      </w:r>
    </w:p>
    <w:p>
      <w:pPr>
        <w:pStyle w:val="Heading2"/>
        <w:spacing w:after="180" w:before="360"/>
      </w:pPr>
      <w:r>
        <w:rPr>
          <w:sz w:val="26"/>
          <w:szCs w:val="26"/>
        </w:rPr>
        <w:t xml:space="preserve">9.5 Regulatory compliance</w:t>
      </w:r>
    </w:p>
    <w:p>
      <w:pPr>
        <w:spacing w:after="160" w:line="320"/>
      </w:pPr>
      <w:r>
        <w:rPr>
          <w:sz w:val="22"/>
          <w:szCs w:val="22"/>
        </w:rPr>
        <w:t xml:space="preserve">ZhangWave Solutions Inc. operates in the Managed cloud security and compliance services sector and is subject to federal, state, and local regulatory requirements. The following compliance items have been or will be addressed prior to the start of revenue-generating operations:</w:t>
      </w:r>
    </w:p>
    <w:p>
      <w:pPr>
        <w:pStyle w:val="Heading3"/>
        <w:spacing w:after="180" w:before="360"/>
      </w:pPr>
      <w:r>
        <w:rPr>
          <w:sz w:val="22"/>
          <w:szCs w:val="22"/>
        </w:rPr>
        <w:t xml:space="preserve">Federal compliance</w:t>
      </w:r>
    </w:p>
    <w:p>
      <w:pPr>
        <w:pStyle w:val="ListParagraph"/>
        <w:numPr>
          <w:ilvl w:val="0"/>
          <w:numId w:val="1"/>
        </w:numPr>
        <w:spacing w:after="80" w:line="300"/>
      </w:pPr>
      <w:r>
        <w:rPr>
          <w:sz w:val="22"/>
          <w:szCs w:val="22"/>
        </w:rPr>
        <w:t xml:space="preserve">Federal Employer Identification Number (EIN) issued and active</w:t>
      </w:r>
    </w:p>
    <w:p>
      <w:pPr>
        <w:pStyle w:val="ListParagraph"/>
        <w:numPr>
          <w:ilvl w:val="0"/>
          <w:numId w:val="1"/>
        </w:numPr>
        <w:spacing w:after="80" w:line="300"/>
      </w:pPr>
      <w:r>
        <w:rPr>
          <w:sz w:val="22"/>
          <w:szCs w:val="22"/>
        </w:rPr>
        <w:t xml:space="preserve">Federal tax filings prepared on a calendar-year basis</w:t>
      </w:r>
    </w:p>
    <w:p>
      <w:pPr>
        <w:pStyle w:val="ListParagraph"/>
        <w:numPr>
          <w:ilvl w:val="0"/>
          <w:numId w:val="1"/>
        </w:numPr>
        <w:spacing w:after="80" w:line="300"/>
      </w:pPr>
      <w:r>
        <w:rPr>
          <w:sz w:val="22"/>
          <w:szCs w:val="22"/>
        </w:rPr>
        <w:t xml:space="preserve">Industry-specific federal regulatory registrations as applicable to Managed cloud security and compliance services</w:t>
      </w:r>
    </w:p>
    <w:p>
      <w:pPr>
        <w:pStyle w:val="Heading3"/>
        <w:spacing w:after="180" w:before="360"/>
      </w:pPr>
      <w:r>
        <w:rPr>
          <w:sz w:val="22"/>
          <w:szCs w:val="22"/>
        </w:rPr>
        <w:t xml:space="preserve">State of New York compliance</w:t>
      </w:r>
    </w:p>
    <w:p>
      <w:pPr>
        <w:pStyle w:val="ListParagraph"/>
        <w:numPr>
          <w:ilvl w:val="0"/>
          <w:numId w:val="1"/>
        </w:numPr>
        <w:spacing w:after="80" w:line="300"/>
      </w:pPr>
      <w:r>
        <w:rPr>
          <w:sz w:val="22"/>
          <w:szCs w:val="22"/>
        </w:rPr>
        <w:t xml:space="preserve">New York state business registration active</w:t>
      </w:r>
    </w:p>
    <w:p>
      <w:pPr>
        <w:pStyle w:val="ListParagraph"/>
        <w:numPr>
          <w:ilvl w:val="0"/>
          <w:numId w:val="1"/>
        </w:numPr>
        <w:spacing w:after="80" w:line="300"/>
      </w:pPr>
      <w:r>
        <w:rPr>
          <w:sz w:val="22"/>
          <w:szCs w:val="22"/>
        </w:rPr>
        <w:t xml:space="preserve">New York sales-and-use tax registration where applicable</w:t>
      </w:r>
    </w:p>
    <w:p>
      <w:pPr>
        <w:pStyle w:val="ListParagraph"/>
        <w:numPr>
          <w:ilvl w:val="0"/>
          <w:numId w:val="1"/>
        </w:numPr>
        <w:spacing w:after="80" w:line="300"/>
      </w:pPr>
      <w:r>
        <w:rPr>
          <w:sz w:val="22"/>
          <w:szCs w:val="22"/>
        </w:rPr>
        <w:t xml:space="preserve">New York state-level industry license or permit as applicable to Managed cloud security and compliance services</w:t>
      </w:r>
    </w:p>
    <w:p>
      <w:pPr>
        <w:pStyle w:val="Heading3"/>
        <w:spacing w:after="180" w:before="360"/>
      </w:pPr>
      <w:r>
        <w:rPr>
          <w:sz w:val="22"/>
          <w:szCs w:val="22"/>
        </w:rPr>
        <w:t xml:space="preserve">Local compliance (New York, NY)</w:t>
      </w:r>
    </w:p>
    <w:p>
      <w:pPr>
        <w:pStyle w:val="ListParagraph"/>
        <w:numPr>
          <w:ilvl w:val="0"/>
          <w:numId w:val="1"/>
        </w:numPr>
        <w:spacing w:after="80" w:line="300"/>
      </w:pPr>
      <w:r>
        <w:rPr>
          <w:sz w:val="22"/>
          <w:szCs w:val="22"/>
        </w:rPr>
        <w:t xml:space="preserve">New York, NY local business license active</w:t>
      </w:r>
    </w:p>
    <w:p>
      <w:pPr>
        <w:pStyle w:val="ListParagraph"/>
        <w:numPr>
          <w:ilvl w:val="0"/>
          <w:numId w:val="1"/>
        </w:numPr>
        <w:spacing w:after="80" w:line="300"/>
      </w:pPr>
      <w:r>
        <w:rPr>
          <w:sz w:val="22"/>
          <w:szCs w:val="22"/>
        </w:rPr>
        <w:t xml:space="preserve">Local zoning compliance verified for the operating premises</w:t>
      </w:r>
    </w:p>
    <w:p>
      <w:pPr>
        <w:pStyle w:val="ListParagraph"/>
        <w:numPr>
          <w:ilvl w:val="0"/>
          <w:numId w:val="1"/>
        </w:numPr>
        <w:spacing w:after="80" w:line="300"/>
      </w:pPr>
      <w:r>
        <w:rPr>
          <w:sz w:val="22"/>
          <w:szCs w:val="22"/>
        </w:rPr>
        <w:t xml:space="preserve">Local industry-specific permits as applicable</w:t>
      </w:r>
    </w:p>
    <w:p>
      <w:pPr>
        <w:spacing w:after="160" w:line="320"/>
      </w:pPr>
      <w:r>
        <w:rPr>
          <w:sz w:val="22"/>
          <w:szCs w:val="22"/>
        </w:rPr>
        <w:t xml:space="preserve">Documentation of regulatory registrations, licenses, and permits is provided by the firm of record as petition exhibits where issued. Pending applications are documented with confirmation of submission and expected issuance date.</w:t>
      </w:r>
    </w:p>
    <w:p>
      <w:pPr>
        <w:pStyle w:val="Heading2"/>
        <w:spacing w:after="180" w:before="360"/>
      </w:pPr>
      <w:r>
        <w:rPr>
          <w:sz w:val="26"/>
          <w:szCs w:val="26"/>
        </w:rPr>
        <w:t xml:space="preserve">9.6 Insurance</w:t>
      </w:r>
    </w:p>
    <w:p>
      <w:pPr>
        <w:spacing w:after="160" w:line="320"/>
      </w:pPr>
      <w:r>
        <w:rPr>
          <w:sz w:val="22"/>
          <w:szCs w:val="22"/>
        </w:rPr>
        <w:t xml:space="preserve">ZhangWave Solutions Inc. maintains or will obtain the following insurance coverage prior to revenue-generating operations:</w:t>
      </w:r>
    </w:p>
    <w:p>
      <w:pPr>
        <w:pStyle w:val="ListParagraph"/>
        <w:numPr>
          <w:ilvl w:val="0"/>
          <w:numId w:val="1"/>
        </w:numPr>
        <w:spacing w:after="80" w:line="300"/>
      </w:pPr>
      <w:r>
        <w:rPr>
          <w:sz w:val="22"/>
          <w:szCs w:val="22"/>
        </w:rPr>
        <w:t xml:space="preserve">General liability insurance</w:t>
      </w:r>
    </w:p>
    <w:p>
      <w:pPr>
        <w:pStyle w:val="ListParagraph"/>
        <w:numPr>
          <w:ilvl w:val="0"/>
          <w:numId w:val="1"/>
        </w:numPr>
        <w:spacing w:after="80" w:line="300"/>
      </w:pPr>
      <w:r>
        <w:rPr>
          <w:sz w:val="22"/>
          <w:szCs w:val="22"/>
        </w:rPr>
        <w:t xml:space="preserve">Property insurance covering the leased premises and equipment</w:t>
      </w:r>
    </w:p>
    <w:p>
      <w:pPr>
        <w:pStyle w:val="ListParagraph"/>
        <w:numPr>
          <w:ilvl w:val="0"/>
          <w:numId w:val="1"/>
        </w:numPr>
        <w:spacing w:after="80" w:line="300"/>
      </w:pPr>
      <w:r>
        <w:rPr>
          <w:sz w:val="22"/>
          <w:szCs w:val="22"/>
        </w:rPr>
        <w:t xml:space="preserve">Workers' compensation insurance (New York-required where employee threshold is met)</w:t>
      </w:r>
    </w:p>
    <w:p>
      <w:pPr>
        <w:pStyle w:val="ListParagraph"/>
        <w:numPr>
          <w:ilvl w:val="0"/>
          <w:numId w:val="1"/>
        </w:numPr>
        <w:spacing w:after="80" w:line="300"/>
      </w:pPr>
      <w:r>
        <w:rPr>
          <w:sz w:val="22"/>
          <w:szCs w:val="22"/>
        </w:rPr>
        <w:t xml:space="preserve">Industry-specific insurance for Managed cloud security and compliance services operations as required by carrier</w:t>
      </w:r>
    </w:p>
    <w:p>
      <w:pPr>
        <w:spacing w:after="160" w:line="320"/>
      </w:pPr>
      <w:r>
        <w:rPr>
          <w:sz w:val="22"/>
          <w:szCs w:val="22"/>
        </w:rPr>
        <w:t xml:space="preserve">Insurance certificates are provided as petition exhibits.</w:t>
      </w:r>
    </w:p>
    <w:p>
      <w:pPr>
        <w:pStyle w:val="Heading2"/>
        <w:spacing w:after="180" w:before="360"/>
      </w:pPr>
      <w:r>
        <w:rPr>
          <w:sz w:val="26"/>
          <w:szCs w:val="26"/>
        </w:rPr>
        <w:t xml:space="preserve">9.7 Banking and financial controls</w:t>
      </w:r>
    </w:p>
    <w:p>
      <w:pPr>
        <w:spacing w:after="160" w:line="320"/>
      </w:pPr>
      <w:r>
        <w:rPr>
          <w:sz w:val="22"/>
          <w:szCs w:val="22"/>
        </w:rPr>
        <w:t xml:space="preserve">ZhangWave Solutions Inc. maintains operating accounts at First Republic Bank (operating account at the New York midtown branch). Financial controls include:</w:t>
      </w:r>
    </w:p>
    <w:p>
      <w:pPr>
        <w:pStyle w:val="ListParagraph"/>
        <w:numPr>
          <w:ilvl w:val="0"/>
          <w:numId w:val="1"/>
        </w:numPr>
        <w:spacing w:after="80" w:line="300"/>
      </w:pPr>
      <w:r>
        <w:rPr>
          <w:sz w:val="22"/>
          <w:szCs w:val="22"/>
        </w:rPr>
        <w:t xml:space="preserve">Segregation of personal and business accounts</w:t>
      </w:r>
    </w:p>
    <w:p>
      <w:pPr>
        <w:pStyle w:val="ListParagraph"/>
        <w:numPr>
          <w:ilvl w:val="0"/>
          <w:numId w:val="1"/>
        </w:numPr>
        <w:spacing w:after="80" w:line="300"/>
      </w:pPr>
      <w:r>
        <w:rPr>
          <w:sz w:val="22"/>
          <w:szCs w:val="22"/>
        </w:rPr>
        <w:t xml:space="preserve">Monthly bank reconciliations</w:t>
      </w:r>
    </w:p>
    <w:p>
      <w:pPr>
        <w:pStyle w:val="ListParagraph"/>
        <w:numPr>
          <w:ilvl w:val="0"/>
          <w:numId w:val="1"/>
        </w:numPr>
        <w:spacing w:after="80" w:line="300"/>
      </w:pPr>
      <w:r>
        <w:rPr>
          <w:sz w:val="22"/>
          <w:szCs w:val="22"/>
        </w:rPr>
        <w:t xml:space="preserve">Annual federal and state tax filings</w:t>
      </w:r>
    </w:p>
    <w:p>
      <w:pPr>
        <w:pStyle w:val="ListParagraph"/>
        <w:numPr>
          <w:ilvl w:val="0"/>
          <w:numId w:val="1"/>
        </w:numPr>
        <w:spacing w:after="80" w:line="300"/>
      </w:pPr>
      <w:r>
        <w:rPr>
          <w:sz w:val="22"/>
          <w:szCs w:val="22"/>
        </w:rPr>
        <w:t xml:space="preserve">Bookkeeping through NetSuite ERP with security and compliance audit modules</w:t>
      </w:r>
    </w:p>
    <w:p>
      <w:pPr>
        <w:spacing w:after="160" w:line="320"/>
      </w:pPr>
      <w:r>
        <w:rPr>
          <w:sz w:val="22"/>
          <w:szCs w:val="22"/>
        </w:rPr>
        <w:t xml:space="preserve">Financial statements are prepared on an accrual basis and are reconciled monthly. The five-year financial model in Section 7 reflects this accounting approach.</w:t>
      </w:r>
    </w:p>
    <w:p>
      <w:pPr>
        <w:pStyle w:val="Heading2"/>
        <w:spacing w:after="180" w:before="360"/>
      </w:pPr>
      <w:r>
        <w:rPr>
          <w:sz w:val="26"/>
          <w:szCs w:val="26"/>
        </w:rPr>
        <w:t xml:space="preserve">9.8 Day-to-day operations</w:t>
      </w:r>
    </w:p>
    <w:p>
      <w:pPr>
        <w:spacing w:after="160" w:line="320"/>
      </w:pPr>
      <w:r>
        <w:rPr>
          <w:sz w:val="22"/>
          <w:szCs w:val="22"/>
        </w:rPr>
        <w:t xml:space="preserve">This subsection describes how ZhangWave Solutions Inc. actually runs on a day-to-day basis. The narrative is included to address adjudicator expectations that the plan demonstrate substantive operational activity rather than a paper concept.</w:t>
      </w:r>
    </w:p>
    <w:p>
      <w:pPr>
        <w:spacing w:after="160" w:line="320"/>
      </w:pPr>
      <w:r>
        <w:rPr>
          <w:b/>
          <w:bCs/>
          <w:sz w:val="22"/>
          <w:szCs w:val="22"/>
        </w:rPr>
        <w:t xml:space="preserve">Operating hours:</w:t>
      </w:r>
      <w:r>
        <w:rPr>
          <w:sz w:val="22"/>
          <w:szCs w:val="22"/>
        </w:rPr>
        <w:t xml:space="preserve"> Monday to Friday 8:00am-7:00pm Eastern, with on-call security incident response 24x7 for managed-services clients</w:t>
      </w:r>
    </w:p>
    <w:p>
      <w:pPr>
        <w:spacing w:after="160" w:line="320"/>
      </w:pPr>
      <w:r>
        <w:rPr>
          <w:sz w:val="22"/>
          <w:szCs w:val="22"/>
        </w:rPr>
        <w:t xml:space="preserve">**Daily operating</w:t>
      </w:r>
    </w:p>
    <w:p>
      <w:pPr>
        <w:pStyle w:val="Heading1"/>
        <w:pageBreakBefore/>
        <w:spacing w:after="180" w:before="480"/>
      </w:pPr>
      <w:r>
        <w:rPr>
          <w:sz w:val="32"/>
          <w:szCs w:val="32"/>
        </w:rPr>
        <w:t xml:space="preserve">Risk Analysis (Visa-Specific)</w:t>
      </w:r>
    </w:p>
    <w:p>
      <w:pPr>
        <w:spacing w:after="160" w:line="320"/>
      </w:pPr>
      <w:r>
        <w:rPr>
          <w:sz w:val="22"/>
          <w:szCs w:val="22"/>
        </w:rPr>
        <w:t xml:space="preserve">This section identifies risks to the petition and to the enterprise that are specifically relevant to EB-5 adjudication. It is organized around adjudicator-recognizable risk categories rather than generic startup risks. Each risk is paired with a mitigation strategy already incorporated into the plan or documented in the firm's exhibits.</w:t>
      </w:r>
    </w:p>
    <w:p>
      <w:pPr>
        <w:pStyle w:val="Heading2"/>
        <w:spacing w:after="180" w:before="360"/>
      </w:pPr>
      <w:r>
        <w:rPr>
          <w:sz w:val="26"/>
          <w:szCs w:val="26"/>
        </w:rPr>
        <w:t xml:space="preserve">10.1 Adjudication risks</w:t>
      </w:r>
    </w:p>
    <w:p>
      <w:pPr>
        <w:spacing w:after="160" w:line="320"/>
      </w:pPr>
      <w:r>
        <w:rPr>
          <w:sz w:val="22"/>
          <w:szCs w:val="22"/>
        </w:rPr>
        <w:t xml:space="preserve">These are risks to the petition itself, addressing concerns an adjudicator might raise during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Substantial-investment challenge under inverted sliding scale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Capital allocation table in Section 3.2 documents that 82% of total enterprise cost has been invested, exceeding the 55% benchmark for an enterprise of this scale.</w:t>
            </w:r>
          </w:p>
        </w:tc>
      </w:tr>
      <w:tr>
        <w:tc>
          <w:tcPr>
            <w:tcW w:type="pct" w:w="25%"/>
          </w:tcPr>
          <w:p>
            <w:r>
              <w:rPr>
                <w:sz w:val="20"/>
                <w:szCs w:val="20"/>
              </w:rPr>
              <w:t xml:space="preserve">Marginality finding</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3.5 establishes Year-3 net income of {{year3</w:t>
            </w:r>
            <w:r>
              <w:rPr>
                <w:i/>
                <w:iCs/>
                <w:sz w:val="20"/>
                <w:szCs w:val="20"/>
              </w:rPr>
              <w:t xml:space="preserve">net</w:t>
            </w:r>
            <w:r>
              <w:rPr>
                <w:sz w:val="20"/>
                <w:szCs w:val="20"/>
              </w:rPr>
              <w:t xml:space="preserve">income}} against a marginality benchmark of $74,580. Sensitivity analysis in Section 7.6 confirms non-marginality even in worst-case revenue scenarios.</w:t>
            </w:r>
          </w:p>
        </w:tc>
      </w:tr>
      <w:tr>
        <w:tc>
          <w:tcPr>
            <w:tcW w:type="pct" w:w="25%"/>
          </w:tcPr>
          <w:p>
            <w:r>
              <w:rPr>
                <w:sz w:val="20"/>
                <w:szCs w:val="20"/>
              </w:rPr>
              <w:t xml:space="preserve">At-risk capital challenge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3.3 documents that $685,000 has been deployed to fixed assets and operating expenses with no recovery at par. Bank statements and vendor receipts provided in firm exhibits.</w:t>
            </w:r>
          </w:p>
        </w:tc>
      </w:tr>
      <w:tr>
        <w:tc>
          <w:tcPr>
            <w:tcW w:type="pct" w:w="25%"/>
          </w:tcPr>
          <w:p>
            <w:r>
              <w:rPr>
                <w:sz w:val="20"/>
                <w:szCs w:val="20"/>
              </w:rPr>
              <w:t xml:space="preserve">Develop-and-direct challenge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3.6 establishes 100% ownership and detailed day-to-day responsibilities. Petitioner's qualifications detailed in Section 1 (Investor Background).</w:t>
            </w:r>
          </w:p>
        </w:tc>
      </w:tr>
      <w:tr>
        <w:tc>
          <w:tcPr>
            <w:tcW w:type="pct" w:w="25%"/>
          </w:tcPr>
          <w:p>
            <w:r>
              <w:rPr>
                <w:sz w:val="20"/>
                <w:szCs w:val="20"/>
              </w:rPr>
              <w:t xml:space="preserve">Real-and-active enterprise challenge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3.4 and Section 9 (Operations Plan) document physical premises, equipment, vendor relationships, and regulatory registrations.</w:t>
            </w:r>
          </w:p>
        </w:tc>
      </w:tr>
      <w:tr>
        <w:tc>
          <w:tcPr>
            <w:tcW w:type="pct" w:w="25%"/>
          </w:tcPr>
          <w:p>
            <w:r>
              <w:rPr>
                <w:sz w:val="20"/>
                <w:szCs w:val="20"/>
              </w:rPr>
              <w:t xml:space="preserve">Source-of-funds documentation gap</w:t>
            </w:r>
          </w:p>
        </w:tc>
        <w:tc>
          <w:tcPr>
            <w:tcW w:type="pct" w:w="25%"/>
          </w:tcPr>
          <w:p>
            <w:r>
              <w:rPr>
                <w:sz w:val="20"/>
                <w:szCs w:val="20"/>
              </w:rPr>
              <w:t xml:space="preserve">Medium</w:t>
            </w:r>
          </w:p>
        </w:tc>
        <w:tc>
          <w:tcPr>
            <w:tcW w:type="pct" w:w="25%"/>
          </w:tcPr>
          <w:p>
            <w:r>
              <w:rPr>
                <w:sz w:val="20"/>
                <w:szCs w:val="20"/>
              </w:rPr>
              <w:t xml:space="preserve">Medium</w:t>
            </w:r>
          </w:p>
        </w:tc>
        <w:tc>
          <w:tcPr>
            <w:tcW w:type="pct" w:w="25%"/>
          </w:tcPr>
          <w:p>
            <w:r>
              <w:rPr>
                <w:sz w:val="20"/>
                <w:szCs w:val="20"/>
              </w:rPr>
              <w:t xml:space="preserve">Section 2 (Source of Funds Narrative) summarizes lawful origin and traceable path. Firm of record retains relationships with petitioner's banks and tax authorities to obtain additional records on RFE.</w:t>
            </w:r>
          </w:p>
        </w:tc>
      </w:tr>
      <w:tr>
        <w:tc>
          <w:tcPr>
            <w:tcW w:type="pct" w:w="25%"/>
          </w:tcPr>
          <w:p>
            <w:r>
              <w:rPr>
                <w:sz w:val="20"/>
                <w:szCs w:val="20"/>
              </w:rPr>
              <w:t xml:space="preserve">Treaty country verification</w:t>
            </w:r>
          </w:p>
        </w:tc>
        <w:tc>
          <w:tcPr>
            <w:tcW w:type="pct" w:w="25%"/>
          </w:tcPr>
          <w:p>
            <w:r>
              <w:rPr>
                <w:sz w:val="20"/>
                <w:szCs w:val="20"/>
              </w:rPr>
              <w:t xml:space="preserve">Low</w:t>
            </w:r>
          </w:p>
        </w:tc>
        <w:tc>
          <w:tcPr>
            <w:tcW w:type="pct" w:w="25%"/>
          </w:tcPr>
          <w:p>
            <w:r>
              <w:rPr>
                <w:sz w:val="20"/>
                <w:szCs w:val="20"/>
              </w:rPr>
              <w:t xml:space="preserve">Low</w:t>
            </w:r>
          </w:p>
        </w:tc>
        <w:tc>
          <w:tcPr>
            <w:tcW w:type="pct" w:w="25%"/>
          </w:tcPr>
          <w:p>
            <w:r>
              <w:rPr>
                <w:sz w:val="20"/>
                <w:szCs w:val="20"/>
              </w:rPr>
              <w:t xml:space="preserve">China is a recognized E-2 treaty country. Documentation of treaty status is included in firm exhibits. (E-2 only; not applicable for L-1, O-1, EB-5, or EB-2 NIW.)</w:t>
            </w:r>
          </w:p>
        </w:tc>
      </w:tr>
      <w:tr>
        <w:tc>
          <w:tcPr>
            <w:tcW w:type="pct" w:w="25%"/>
          </w:tcPr>
          <w:p>
            <w:r>
              <w:rPr>
                <w:sz w:val="20"/>
                <w:szCs w:val="20"/>
              </w:rPr>
              <w:t xml:space="preserve">Digital footprint inconsistency (NEW 2026 RFE pattern)</w:t>
            </w:r>
          </w:p>
        </w:tc>
        <w:tc>
          <w:tcPr>
            <w:tcW w:type="pct" w:w="25%"/>
          </w:tcPr>
          <w:p>
            <w:r>
              <w:rPr>
                <w:sz w:val="20"/>
                <w:szCs w:val="20"/>
              </w:rPr>
              <w:t xml:space="preserve">Medium</w:t>
            </w:r>
          </w:p>
        </w:tc>
        <w:tc>
          <w:tcPr>
            <w:tcW w:type="pct" w:w="25%"/>
          </w:tcPr>
          <w:p>
            <w:r>
              <w:rPr>
                <w:sz w:val="20"/>
                <w:szCs w:val="20"/>
              </w:rPr>
              <w:t xml:space="preserve">High</w:t>
            </w:r>
          </w:p>
        </w:tc>
        <w:tc>
          <w:tcPr>
            <w:tcW w:type="pct" w:w="25%"/>
          </w:tcPr>
          <w:p>
            <w:r>
              <w:rPr>
                <w:sz w:val="20"/>
                <w:szCs w:val="20"/>
              </w:rPr>
              <w:t xml:space="preserve">USCIS adjudicators in 2026 are increasingly checking petitioners' public digital profiles (LinkedIn, company websites, Crunchbase, news mentions) against petition claims. Common RFE: petitioner's LinkedIn still shows full-time employment at a foreign company while the petition claims 100% dedication to the U.S. enterprise. Firm of record is advised to verify, before filing, that [MISSING: investor_name]'s public profiles consistently reflect the U.S. role and that any references to prior or concurrent foreign business activity are dated, contextualized, or removed where appropriate.</w:t>
            </w:r>
          </w:p>
        </w:tc>
      </w:tr>
    </w:tbl>
    <w:p>
      <w:pPr>
        <w:pStyle w:val="Heading2"/>
        <w:spacing w:after="180" w:before="360"/>
      </w:pPr>
      <w:r>
        <w:rPr>
          <w:sz w:val="26"/>
          <w:szCs w:val="26"/>
        </w:rPr>
        <w:t xml:space="preserve">10.2 RFE (Request for Evidence) preparedness</w:t>
      </w:r>
    </w:p>
    <w:p>
      <w:pPr>
        <w:spacing w:after="160" w:line="320"/>
      </w:pPr>
      <w:r>
        <w:rPr>
          <w:sz w:val="22"/>
          <w:szCs w:val="22"/>
        </w:rPr>
        <w:t xml:space="preserve">If the adjudicator issues an RFE, the firm of record is positioned to respond to the most common RFE topics for EB-5 cases:</w:t>
      </w:r>
    </w:p>
    <w:p>
      <w:pPr>
        <w:pStyle w:val="ListParagraph"/>
        <w:numPr>
          <w:ilvl w:val="0"/>
          <w:numId w:val="1"/>
        </w:numPr>
        <w:spacing w:after="80" w:line="300"/>
      </w:pPr>
      <w:r>
        <w:rPr>
          <w:b/>
          <w:bCs/>
          <w:sz w:val="22"/>
          <w:szCs w:val="22"/>
        </w:rPr>
        <w:t xml:space="preserve">Source of funds documentation expansion:</w:t>
      </w:r>
      <w:r>
        <w:rPr>
          <w:sz w:val="22"/>
          <w:szCs w:val="22"/>
        </w:rPr>
        <w:t xml:space="preserve"> Firm of record retains direct contact with the petitioner's banks in China and can obtain additional bank records, tax records, and asset-sale documentation within standard timelines.</w:t>
      </w:r>
    </w:p>
    <w:p>
      <w:pPr>
        <w:pStyle w:val="ListParagraph"/>
        <w:numPr>
          <w:ilvl w:val="0"/>
          <w:numId w:val="1"/>
        </w:numPr>
        <w:spacing w:after="80" w:line="300"/>
      </w:pPr>
      <w:r>
        <w:rPr>
          <w:b/>
          <w:bCs/>
          <w:sz w:val="22"/>
          <w:szCs w:val="22"/>
        </w:rPr>
        <w:t xml:space="preserve">Marginality re-analysis:</w:t>
      </w:r>
      <w:r>
        <w:rPr>
          <w:sz w:val="22"/>
          <w:szCs w:val="22"/>
        </w:rPr>
        <w:t xml:space="preserve"> Firm of record can produce updated financial projections incorporating any new operating data available at RFE timing.</w:t>
      </w:r>
    </w:p>
    <w:p>
      <w:pPr>
        <w:pStyle w:val="ListParagraph"/>
        <w:numPr>
          <w:ilvl w:val="0"/>
          <w:numId w:val="1"/>
        </w:numPr>
        <w:spacing w:after="80" w:line="300"/>
      </w:pPr>
      <w:r>
        <w:rPr>
          <w:b/>
          <w:bCs/>
          <w:sz w:val="22"/>
          <w:szCs w:val="22"/>
        </w:rPr>
        <w:t xml:space="preserve">Real-and-active operations evidence:</w:t>
      </w:r>
      <w:r>
        <w:rPr>
          <w:sz w:val="22"/>
          <w:szCs w:val="22"/>
        </w:rPr>
        <w:t xml:space="preserve"> Firm of record can produce updated photos of premises, equipment receipts, vendor invoices, and customer evidence as of the RFE date.</w:t>
      </w:r>
    </w:p>
    <w:p>
      <w:pPr>
        <w:pStyle w:val="ListParagraph"/>
        <w:numPr>
          <w:ilvl w:val="0"/>
          <w:numId w:val="1"/>
        </w:numPr>
        <w:spacing w:after="80" w:line="300"/>
      </w:pPr>
      <w:r>
        <w:rPr>
          <w:b/>
          <w:bCs/>
          <w:sz w:val="22"/>
          <w:szCs w:val="22"/>
        </w:rPr>
        <w:t xml:space="preserve">Petitioner credentials:</w:t>
      </w:r>
      <w:r>
        <w:rPr>
          <w:sz w:val="22"/>
          <w:szCs w:val="22"/>
        </w:rPr>
        <w:t xml:space="preserve"> Firm of record can produce additional employment verification letters, academic transcripts, and prior business records.</w:t>
      </w:r>
    </w:p>
    <w:p>
      <w:pPr>
        <w:pStyle w:val="Heading2"/>
        <w:spacing w:after="180" w:before="360"/>
      </w:pPr>
      <w:r>
        <w:rPr>
          <w:sz w:val="26"/>
          <w:szCs w:val="26"/>
        </w:rPr>
        <w:t xml:space="preserve">10.3 Operational risks</w:t>
      </w:r>
    </w:p>
    <w:p>
      <w:pPr>
        <w:spacing w:after="160" w:line="320"/>
      </w:pPr>
      <w:r>
        <w:rPr>
          <w:sz w:val="22"/>
          <w:szCs w:val="22"/>
        </w:rPr>
        <w:t xml:space="preserve">These are risks to the enterprise's commercial viability that could indirectly affect the visa adjudication by undermining the non-marginality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c>
          <w:tcPr>
            <w:tcW w:type="pct" w:w="25%"/>
          </w:tcPr>
          <w:p>
            <w:r>
              <w:rPr>
                <w:b/>
                <w:bCs/>
                <w:sz w:val="20"/>
                <w:szCs w:val="20"/>
              </w:rPr>
            </w:r>
          </w:p>
        </w:tc>
      </w:tr>
      <w:tr>
        <w:tc>
          <w:tcPr>
            <w:tcW w:type="pct" w:w="25%"/>
          </w:tcPr>
          <w:p>
            <w:r>
              <w:rPr>
                <w:sz w:val="20"/>
                <w:szCs w:val="20"/>
              </w:rPr>
              <w:t xml:space="preserve">Revenue ramp slower than projected</w:t>
            </w:r>
          </w:p>
        </w:tc>
        <w:tc>
          <w:tcPr>
            <w:tcW w:type="pct" w:w="25%"/>
          </w:tcPr>
          <w:p>
            <w:r>
              <w:rPr>
                <w:sz w:val="20"/>
                <w:szCs w:val="20"/>
              </w:rPr>
              <w:t xml:space="preserve">Medium</w:t>
            </w:r>
          </w:p>
        </w:tc>
        <w:tc>
          <w:tcPr>
            <w:tcW w:type="pct" w:w="25%"/>
          </w:tcPr>
          <w:p>
            <w:r>
              <w:rPr>
                <w:sz w:val="20"/>
                <w:szCs w:val="20"/>
              </w:rPr>
              <w:t xml:space="preserve">Medium</w:t>
            </w:r>
          </w:p>
        </w:tc>
        <w:tc>
          <w:tcPr>
            <w:tcW w:type="pct" w:w="25%"/>
          </w:tcPr>
          <w:p>
            <w:r>
              <w:rPr>
                <w:sz w:val="20"/>
                <w:szCs w:val="20"/>
              </w:rPr>
              <w:t xml:space="preserve">Sensitivity analysis (Section 7.6) confirms enterprise non-marginality even at 75% of base-case revenue. Conservative Year-1 monthly ramp built into Section 7.2.</w:t>
            </w:r>
          </w:p>
        </w:tc>
      </w:tr>
      <w:tr>
        <w:tc>
          <w:tcPr>
            <w:tcW w:type="pct" w:w="25%"/>
          </w:tcPr>
          <w:p>
            <w:r>
              <w:rPr>
                <w:sz w:val="20"/>
                <w:szCs w:val="20"/>
              </w:rPr>
              <w:t xml:space="preserve">Lease cost escalation</w:t>
            </w:r>
          </w:p>
        </w:tc>
        <w:tc>
          <w:tcPr>
            <w:tcW w:type="pct" w:w="25%"/>
          </w:tcPr>
          <w:p>
            <w:r>
              <w:rPr>
                <w:sz w:val="20"/>
                <w:szCs w:val="20"/>
              </w:rPr>
              <w:t xml:space="preserve">Low</w:t>
            </w:r>
          </w:p>
        </w:tc>
        <w:tc>
          <w:tcPr>
            <w:tcW w:type="pct" w:w="25%"/>
          </w:tcPr>
          <w:p>
            <w:r>
              <w:rPr>
                <w:sz w:val="20"/>
                <w:szCs w:val="20"/>
              </w:rPr>
              <w:t xml:space="preserve">Low</w:t>
            </w:r>
          </w:p>
        </w:tc>
        <w:tc>
          <w:tcPr>
            <w:tcW w:type="pct" w:w="25%"/>
          </w:tcPr>
          <w:p>
            <w:r>
              <w:rPr>
                <w:sz w:val="20"/>
                <w:szCs w:val="20"/>
              </w:rPr>
              <w:t xml:space="preserve">Lease terms documented in Section 9.1; escalation cap negotiated where applicable.</w:t>
            </w:r>
          </w:p>
        </w:tc>
      </w:tr>
      <w:tr>
        <w:tc>
          <w:tcPr>
            <w:tcW w:type="pct" w:w="25%"/>
          </w:tcPr>
          <w:p>
            <w:r>
              <w:rPr>
                <w:sz w:val="20"/>
                <w:szCs w:val="20"/>
              </w:rPr>
              <w:t xml:space="preserve">Key vendor disruption</w:t>
            </w:r>
          </w:p>
        </w:tc>
        <w:tc>
          <w:tcPr>
            <w:tcW w:type="pct" w:w="25%"/>
          </w:tcPr>
          <w:p>
            <w:r>
              <w:rPr>
                <w:sz w:val="20"/>
                <w:szCs w:val="20"/>
              </w:rPr>
              <w:t xml:space="preserve">Low</w:t>
            </w:r>
          </w:p>
        </w:tc>
        <w:tc>
          <w:tcPr>
            <w:tcW w:type="pct" w:w="25%"/>
          </w:tcPr>
          <w:p>
            <w:r>
              <w:rPr>
                <w:sz w:val="20"/>
                <w:szCs w:val="20"/>
              </w:rPr>
              <w:t xml:space="preserve">Medium</w:t>
            </w:r>
          </w:p>
        </w:tc>
        <w:tc>
          <w:tcPr>
            <w:tcW w:type="pct" w:w="25%"/>
          </w:tcPr>
          <w:p>
            <w:r>
              <w:rPr>
                <w:sz w:val="20"/>
                <w:szCs w:val="20"/>
              </w:rPr>
              <w:t xml:space="preserve">Multi-vendor sourcing strategy documented in Section 9.3 ensures no single point of failure.</w:t>
            </w:r>
          </w:p>
        </w:tc>
      </w:tr>
      <w:tr>
        <w:tc>
          <w:tcPr>
            <w:tcW w:type="pct" w:w="25%"/>
          </w:tcPr>
          <w:p>
            <w:r>
              <w:rPr>
                <w:sz w:val="20"/>
                <w:szCs w:val="20"/>
              </w:rPr>
              <w:t xml:space="preserve">Regulatory delay</w:t>
            </w:r>
          </w:p>
        </w:tc>
        <w:tc>
          <w:tcPr>
            <w:tcW w:type="pct" w:w="25%"/>
          </w:tcPr>
          <w:p>
            <w:r>
              <w:rPr>
                <w:sz w:val="20"/>
                <w:szCs w:val="20"/>
              </w:rPr>
              <w:t xml:space="preserve">Medium</w:t>
            </w:r>
          </w:p>
        </w:tc>
        <w:tc>
          <w:tcPr>
            <w:tcW w:type="pct" w:w="25%"/>
          </w:tcPr>
          <w:p>
            <w:r>
              <w:rPr>
                <w:sz w:val="20"/>
                <w:szCs w:val="20"/>
              </w:rPr>
              <w:t xml:space="preserve">Medium</w:t>
            </w:r>
          </w:p>
        </w:tc>
        <w:tc>
          <w:tcPr>
            <w:tcW w:type="pct" w:w="25%"/>
          </w:tcPr>
          <w:p>
            <w:r>
              <w:rPr>
                <w:sz w:val="20"/>
                <w:szCs w:val="20"/>
              </w:rPr>
              <w:t xml:space="preserve">Regulatory compliance plan (Section 9.5) front-loads filings. Operational milestones (Section 9.8) include compliance gates.</w:t>
            </w:r>
          </w:p>
        </w:tc>
      </w:tr>
      <w:tr>
        <w:tc>
          <w:tcPr>
            <w:tcW w:type="pct" w:w="25%"/>
          </w:tcPr>
          <w:p>
            <w:r>
              <w:rPr>
                <w:sz w:val="20"/>
                <w:szCs w:val="20"/>
              </w:rPr>
              <w:t xml:space="preserve">Petitioner inability to relocate (visa denial scenario)</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The enterprise is structured to be operationally resilient. In a visa denial scenario, the firm of record can advise on alternative ownership structures or wind-down to minimize loss.</w:t>
            </w:r>
          </w:p>
        </w:tc>
      </w:tr>
    </w:tbl>
    <w:p>
      <w:pPr>
        <w:pStyle w:val="Heading2"/>
        <w:spacing w:after="180" w:before="360"/>
      </w:pPr>
      <w:r>
        <w:rPr>
          <w:sz w:val="26"/>
          <w:szCs w:val="26"/>
        </w:rPr>
        <w:t xml:space="preserve">10.4 Sustainment outlook</w:t>
      </w:r>
    </w:p>
    <w:p>
      <w:pPr>
        <w:spacing w:after="160" w:line="320"/>
      </w:pPr>
      <w:r>
        <w:rPr>
          <w:sz w:val="22"/>
          <w:szCs w:val="22"/>
        </w:rPr>
        <w:t xml:space="preserve">ZhangWave Solutions Inc. is structured to sustain operations through and beyond the EB-5 status period. The five-year financial model (Section 7) demonstrates revenue growth and operating-margin expansion. The U.S. hiring plan (Section 8) and operations plan (Section 9) demonstrate operational substance. The sensitivity analysis (Section 7.6) confirms financial resilience under realistic downside conditions.</w:t>
      </w:r>
    </w:p>
    <w:p>
      <w:pPr>
        <w:spacing w:after="160" w:line="320"/>
      </w:pPr>
      <w:r>
        <w:rPr>
          <w:sz w:val="22"/>
          <w:szCs w:val="22"/>
        </w:rPr>
        <w:t xml:space="preserve">The combination of substantial investment, real-and-active operations, and demonstrated non-marginality indicates that the enterprise is positioned to sustain operations through the EB-5 status period 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ZhangWave Solutions Inc. Business Plan</dc:title>
  <dc:creator>ZhangWave Solutions Inc.</dc:creator>
  <dc:description>Business plan for ZhangWave Solutions Inc.</dc:description>
  <cp:lastModifiedBy>Un-named</cp:lastModifiedBy>
  <cp:revision>1</cp:revision>
  <dcterms:created xsi:type="dcterms:W3CDTF">2026-05-10T19:04:01.859Z</dcterms:created>
  <dcterms:modified xsi:type="dcterms:W3CDTF">2026-05-10T19:04:01.859Z</dcterms:modified>
</cp:coreProperties>
</file>

<file path=docProps/custom.xml><?xml version="1.0" encoding="utf-8"?>
<Properties xmlns="http://schemas.openxmlformats.org/officeDocument/2006/custom-properties" xmlns:vt="http://schemas.openxmlformats.org/officeDocument/2006/docPropsVTypes"/>
</file>