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Pr>
        <w:spacing w:after="480"/>
        <w:jc w:val="center"/>
      </w:pPr>
      <w:r>
        <w:rPr>
          <w:b/>
          <w:bCs/>
          <w:sz w:val="56"/>
          <w:szCs w:val="56"/>
        </w:rPr>
        <w:t xml:space="preserve">CodeWave US Inc.</w:t>
      </w:r>
    </w:p>
    <w:p>
      <w:pPr>
        <w:spacing w:after="480"/>
        <w:jc w:val="center"/>
      </w:pPr>
      <w:r>
        <w:rPr>
          <w:sz w:val="36"/>
          <w:szCs w:val="36"/>
        </w:rPr>
        <w:t xml:space="preserve">Business Plan</w:t>
      </w:r>
    </w:p>
    <w:p>
      <w:pPr>
        <w:spacing w:after="240"/>
        <w:jc w:val="center"/>
      </w:pPr>
      <w:r>
        <w:rPr>
          <w:sz w:val="22"/>
          <w:szCs w:val="22"/>
        </w:rPr>
        <w:t xml:space="preserve">2026-05-10</w:t>
      </w:r>
    </w:p>
    <w:p>
      <w:r>
        <w:br w:type="page"/>
      </w:r>
    </w:p>
    <w:p>
      <w:pPr>
        <w:pStyle w:val="Heading1"/>
        <w:pageBreakBefore/>
        <w:spacing w:after="180" w:before="480"/>
      </w:pPr>
      <w:r>
        <w:rPr>
          <w:sz w:val="32"/>
          <w:szCs w:val="32"/>
        </w:rPr>
        <w:t xml:space="preserve">Adjudicator Summary</w:t>
      </w:r>
    </w:p>
    <w:p>
      <w:pPr>
        <w:spacing w:after="160" w:line="320"/>
      </w:pPr>
      <w:r>
        <w:rPr>
          <w:sz w:val="22"/>
          <w:szCs w:val="22"/>
        </w:rPr>
        <w:t xml:space="preserve">This business plan is submitted in support of Andrei Popescu's L-1A Intracompany Transferee Executive or Manager visa petition. The plan is structured to address the criteria USCIS adjudicators apply when evaluating L-1 cases under I-129 (Form I-129L supplement) and the controlling regulatory framework at 8 CFR 214.2(l) and USCIS Policy Manual Vol. 2, Pt. L.</w:t>
      </w:r>
    </w:p>
    <w:p>
      <w:pPr>
        <w:pStyle w:val="Heading2"/>
        <w:spacing w:after="180" w:before="360"/>
      </w:pPr>
      <w:r>
        <w:rPr>
          <w:sz w:val="26"/>
          <w:szCs w:val="26"/>
        </w:rPr>
        <w:t xml:space="preserve">How this plan satisfies adjudication criteria</w:t>
      </w:r>
    </w:p>
    <w:p>
      <w:pPr>
        <w:spacing w:after="160" w:line="320"/>
      </w:pPr>
      <w:r>
        <w:rPr>
          <w:sz w:val="22"/>
          <w:szCs w:val="22"/>
        </w:rPr>
        <w:t xml:space="preserve">The following table maps each USCIS adjudication criterion to the plan section that addresses it. Adjudicators reviewing this petition will find the supporting analysis and documentation for each criterion in the section indicated.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sz w:val="20"/>
                <w:szCs w:val="20"/>
              </w:rPr>
            </w:r>
          </w:p>
        </w:tc>
        <w:tc>
          <w:tcPr>
            <w:tcW w:type="pct" w:w="50%"/>
          </w:tcPr>
          <w:p>
            <w:r>
              <w:rPr>
                <w:b/>
                <w:bCs/>
                <w:sz w:val="20"/>
                <w:szCs w:val="20"/>
              </w:rPr>
            </w:r>
          </w:p>
        </w:tc>
      </w:tr>
      <w:tr>
        <w:tc>
          <w:tcPr>
            <w:tcW w:type="pct" w:w="50%"/>
          </w:tcPr>
          <w:p>
            <w:r>
              <w:rPr>
                <w:sz w:val="20"/>
                <w:szCs w:val="20"/>
              </w:rPr>
              <w:t xml:space="preserve">Qualifying relationship between foreign + US entities</w:t>
            </w:r>
          </w:p>
        </w:tc>
        <w:tc>
          <w:tcPr>
            <w:tcW w:type="pct" w:w="50%"/>
          </w:tcPr>
          <w:p>
            <w:r>
              <w:rPr>
                <w:sz w:val="20"/>
                <w:szCs w:val="20"/>
              </w:rPr>
              <w:t xml:space="preserve">Section 4.1</w:t>
            </w:r>
          </w:p>
        </w:tc>
      </w:tr>
      <w:tr>
        <w:tc>
          <w:tcPr>
            <w:tcW w:type="pct" w:w="50%"/>
          </w:tcPr>
          <w:p>
            <w:r>
              <w:rPr>
                <w:sz w:val="20"/>
                <w:szCs w:val="20"/>
              </w:rPr>
              <w:t xml:space="preserve">One year of qualifying employment abroad</w:t>
            </w:r>
          </w:p>
        </w:tc>
        <w:tc>
          <w:tcPr>
            <w:tcW w:type="pct" w:w="50%"/>
          </w:tcPr>
          <w:p>
            <w:r>
              <w:rPr>
                <w:sz w:val="20"/>
                <w:szCs w:val="20"/>
              </w:rPr>
              <w:t xml:space="preserve">Section 4.2</w:t>
            </w:r>
          </w:p>
        </w:tc>
      </w:tr>
      <w:tr>
        <w:tc>
          <w:tcPr>
            <w:tcW w:type="pct" w:w="50%"/>
          </w:tcPr>
          <w:p>
            <w:r>
              <w:rPr>
                <w:sz w:val="20"/>
                <w:szCs w:val="20"/>
              </w:rPr>
              <w:t xml:space="preserve">Executive or managerial capacity</w:t>
            </w:r>
          </w:p>
        </w:tc>
        <w:tc>
          <w:tcPr>
            <w:tcW w:type="pct" w:w="50%"/>
          </w:tcPr>
          <w:p>
            <w:r>
              <w:rPr>
                <w:sz w:val="20"/>
                <w:szCs w:val="20"/>
              </w:rPr>
              <w:t xml:space="preserve">Section 4.3</w:t>
            </w:r>
          </w:p>
        </w:tc>
      </w:tr>
      <w:tr>
        <w:tc>
          <w:tcPr>
            <w:tcW w:type="pct" w:w="50%"/>
          </w:tcPr>
          <w:p>
            <w:r>
              <w:rPr>
                <w:sz w:val="20"/>
                <w:szCs w:val="20"/>
              </w:rPr>
              <w:t xml:space="preserve">New office viability (one-year staffing/revenue)</w:t>
            </w:r>
          </w:p>
        </w:tc>
        <w:tc>
          <w:tcPr>
            <w:tcW w:type="pct" w:w="50%"/>
          </w:tcPr>
          <w:p>
            <w:r>
              <w:rPr>
                <w:sz w:val="20"/>
                <w:szCs w:val="20"/>
              </w:rPr>
              <w:t xml:space="preserve">Sections 4.4 and 8</w:t>
            </w:r>
          </w:p>
        </w:tc>
      </w:tr>
    </w:tbl>
    <w:p>
      <w:pPr>
        <w:pStyle w:val="Heading2"/>
        <w:spacing w:after="180" w:before="360"/>
      </w:pPr>
      <w:r>
        <w:rPr>
          <w:sz w:val="26"/>
          <w:szCs w:val="26"/>
        </w:rPr>
        <w:t xml:space="preserve">Investor and enterprise summary</w:t>
      </w:r>
    </w:p>
    <w:p>
      <w:pPr>
        <w:pStyle w:val="ListParagraph"/>
        <w:numPr>
          <w:ilvl w:val="0"/>
          <w:numId w:val="1"/>
        </w:numPr>
        <w:spacing w:after="80" w:line="300"/>
      </w:pPr>
      <w:r>
        <w:rPr>
          <w:b/>
          <w:bCs/>
          <w:sz w:val="22"/>
          <w:szCs w:val="22"/>
        </w:rPr>
        <w:t xml:space="preserve">Investor:</w:t>
      </w:r>
      <w:r>
        <w:rPr>
          <w:sz w:val="22"/>
          <w:szCs w:val="22"/>
        </w:rPr>
        <w:t xml:space="preserve"> Andrei Popescu, citizen of Romania</w:t>
      </w:r>
    </w:p>
    <w:p>
      <w:pPr>
        <w:pStyle w:val="ListParagraph"/>
        <w:numPr>
          <w:ilvl w:val="0"/>
          <w:numId w:val="1"/>
        </w:numPr>
        <w:spacing w:after="80" w:line="300"/>
      </w:pPr>
      <w:r>
        <w:rPr>
          <w:b/>
          <w:bCs/>
          <w:sz w:val="22"/>
          <w:szCs w:val="22"/>
        </w:rPr>
        <w:t xml:space="preserve">Enterprise:</w:t>
      </w:r>
      <w:r>
        <w:rPr>
          <w:sz w:val="22"/>
          <w:szCs w:val="22"/>
        </w:rPr>
        <w:t xml:space="preserve"> CodeWave US Inc.</w:t>
      </w:r>
    </w:p>
    <w:p>
      <w:pPr>
        <w:pStyle w:val="ListParagraph"/>
        <w:numPr>
          <w:ilvl w:val="0"/>
          <w:numId w:val="1"/>
        </w:numPr>
        <w:spacing w:after="80" w:line="300"/>
      </w:pPr>
      <w:r>
        <w:rPr>
          <w:b/>
          <w:bCs/>
          <w:sz w:val="22"/>
          <w:szCs w:val="22"/>
        </w:rPr>
        <w:t xml:space="preserve">Industry:</w:t>
      </w:r>
      <w:r>
        <w:rPr>
          <w:sz w:val="22"/>
          <w:szCs w:val="22"/>
        </w:rPr>
        <w:t xml:space="preserve"> Custom software development services</w:t>
      </w:r>
    </w:p>
    <w:p>
      <w:pPr>
        <w:pStyle w:val="ListParagraph"/>
        <w:numPr>
          <w:ilvl w:val="0"/>
          <w:numId w:val="1"/>
        </w:numPr>
        <w:spacing w:after="80" w:line="300"/>
      </w:pPr>
      <w:r>
        <w:rPr>
          <w:b/>
          <w:bCs/>
          <w:sz w:val="22"/>
          <w:szCs w:val="22"/>
        </w:rPr>
        <w:t xml:space="preserve">US location:</w:t>
      </w:r>
      <w:r>
        <w:rPr>
          <w:sz w:val="22"/>
          <w:szCs w:val="22"/>
        </w:rPr>
        <w:t xml:space="preserve"> Austin, TX</w:t>
      </w:r>
    </w:p>
    <w:p>
      <w:pPr>
        <w:pStyle w:val="ListParagraph"/>
        <w:numPr>
          <w:ilvl w:val="0"/>
          <w:numId w:val="1"/>
        </w:numPr>
        <w:spacing w:after="80" w:line="300"/>
      </w:pPr>
      <w:r>
        <w:rPr>
          <w:b/>
          <w:bCs/>
          <w:sz w:val="22"/>
          <w:szCs w:val="22"/>
        </w:rPr>
        <w:t xml:space="preserve">Total invested capital:</w:t>
      </w:r>
      <w:r>
        <w:rPr>
          <w:sz w:val="22"/>
          <w:szCs w:val="22"/>
        </w:rPr>
        <w:t xml:space="preserve"> $350,000</w:t>
      </w:r>
    </w:p>
    <w:p>
      <w:pPr>
        <w:pStyle w:val="ListParagraph"/>
        <w:numPr>
          <w:ilvl w:val="0"/>
          <w:numId w:val="1"/>
        </w:numPr>
        <w:spacing w:after="80" w:line="300"/>
      </w:pPr>
      <w:r>
        <w:rPr>
          <w:b/>
          <w:bCs/>
          <w:sz w:val="22"/>
          <w:szCs w:val="22"/>
        </w:rPr>
        <w:t xml:space="preserve">Capital deployment timeline:</w:t>
      </w:r>
      <w:r>
        <w:rPr>
          <w:sz w:val="22"/>
          <w:szCs w:val="22"/>
        </w:rPr>
        <w:t xml:space="preserve"> $215,000 deployed as of 2026-04-10, balance committed per capital allocation table</w:t>
      </w:r>
    </w:p>
    <w:p>
      <w:pPr>
        <w:pStyle w:val="ListParagraph"/>
        <w:numPr>
          <w:ilvl w:val="0"/>
          <w:numId w:val="1"/>
        </w:numPr>
        <w:spacing w:after="80" w:line="300"/>
      </w:pPr>
      <w:r>
        <w:rPr>
          <w:b/>
          <w:bCs/>
          <w:sz w:val="22"/>
          <w:szCs w:val="22"/>
        </w:rPr>
        <w:t xml:space="preserve">Year-1 US employment:</w:t>
      </w:r>
      <w:r>
        <w:rPr>
          <w:sz w:val="22"/>
          <w:szCs w:val="22"/>
        </w:rPr>
        <w:t xml:space="preserve"> {{year1</w:t>
      </w:r>
      <w:r>
        <w:rPr>
          <w:i/>
          <w:iCs/>
          <w:sz w:val="22"/>
          <w:szCs w:val="22"/>
        </w:rPr>
        <w:t xml:space="preserve">us</w:t>
      </w:r>
      <w:r>
        <w:rPr>
          <w:sz w:val="22"/>
          <w:szCs w:val="22"/>
        </w:rPr>
        <w:t xml:space="preserve">hires}} direct hires</w:t>
      </w:r>
    </w:p>
    <w:p>
      <w:pPr>
        <w:pStyle w:val="ListParagraph"/>
        <w:numPr>
          <w:ilvl w:val="0"/>
          <w:numId w:val="1"/>
        </w:numPr>
        <w:spacing w:after="80" w:line="300"/>
      </w:pPr>
      <w:r>
        <w:rPr>
          <w:b/>
          <w:bCs/>
          <w:sz w:val="22"/>
          <w:szCs w:val="22"/>
        </w:rPr>
        <w:t xml:space="preserve">Five-year US employment:</w:t>
      </w:r>
      <w:r>
        <w:rPr>
          <w:sz w:val="22"/>
          <w:szCs w:val="22"/>
        </w:rPr>
        <w:t xml:space="preserve"> {{year5</w:t>
      </w:r>
      <w:r>
        <w:rPr>
          <w:i/>
          <w:iCs/>
          <w:sz w:val="22"/>
          <w:szCs w:val="22"/>
        </w:rPr>
        <w:t xml:space="preserve">us</w:t>
      </w:r>
      <w:r>
        <w:rPr>
          <w:sz w:val="22"/>
          <w:szCs w:val="22"/>
        </w:rPr>
        <w:t xml:space="preserve">hires}} direct hires (cumulative)</w:t>
      </w:r>
    </w:p>
    <w:p>
      <w:pPr>
        <w:pStyle w:val="Heading2"/>
        <w:spacing w:after="180" w:before="360"/>
      </w:pPr>
      <w:r>
        <w:rPr>
          <w:sz w:val="26"/>
          <w:szCs w:val="26"/>
        </w:rPr>
        <w:t xml:space="preserve">Petitioner narrative</w:t>
      </w:r>
    </w:p>
    <w:p>
      <w:pPr>
        <w:spacing w:after="160" w:line="320"/>
      </w:pPr>
      <w:r>
        <w:rPr>
          <w:sz w:val="22"/>
          <w:szCs w:val="22"/>
        </w:rPr>
        <w:t xml:space="preserve">Andrei Popescu brings Direct executive responsibility for CodeWave Romania since founding. Holds Managing Director title with full P&amp;L authority, strategic direction, and final authority over hiring, firing, and capital allocation across two Romanian offices. to CodeWave US Inc.. The plan demonstrates that the petitioner will develop and direct the enterprise, that the investment is substantial relative to enterprise cost, and that the enterprise is non-marginal under the criteria mapped above.</w:t>
      </w:r>
    </w:p>
    <w:p>
      <w:pPr>
        <w:pStyle w:val="Heading2"/>
        <w:spacing w:after="180" w:before="360"/>
      </w:pPr>
      <w:r>
        <w:rPr>
          <w:sz w:val="26"/>
          <w:szCs w:val="26"/>
        </w:rPr>
        <w:t xml:space="preserve">Document organization</w:t>
      </w:r>
    </w:p>
    <w:p>
      <w:pPr>
        <w:spacing w:after="160" w:line="320"/>
      </w:pPr>
      <w:r>
        <w:rPr>
          <w:sz w:val="22"/>
          <w:szCs w:val="22"/>
        </w:rPr>
        <w:t xml:space="preserve">This plan is organized into the following sections, presented in the order most useful for adjudicator review:</w:t>
      </w:r>
    </w:p>
    <w:p>
      <w:pPr>
        <w:spacing w:after="80" w:line="300"/>
        <w:ind w:left="360"/>
      </w:pPr>
      <w:r>
        <w:rPr>
          <w:b/>
          <w:bCs/>
          <w:sz w:val="22"/>
          <w:szCs w:val="22"/>
        </w:rPr>
        <w:t xml:space="preserve">1. </w:t>
      </w:r>
      <w:r>
        <w:rPr>
          <w:sz w:val="22"/>
          <w:szCs w:val="22"/>
        </w:rPr>
        <w:t xml:space="preserve">Investor / Applicant Background</w:t>
      </w:r>
    </w:p>
    <w:p>
      <w:pPr>
        <w:spacing w:after="80" w:line="300"/>
        <w:ind w:left="360"/>
      </w:pPr>
      <w:r>
        <w:rPr>
          <w:b/>
          <w:bCs/>
          <w:sz w:val="22"/>
          <w:szCs w:val="22"/>
        </w:rPr>
        <w:t xml:space="preserve">2. </w:t>
      </w:r>
      <w:r>
        <w:rPr>
          <w:sz w:val="22"/>
          <w:szCs w:val="22"/>
        </w:rPr>
        <w:t xml:space="preserve">Source of Funds Narrative</w:t>
      </w:r>
    </w:p>
    <w:p>
      <w:pPr>
        <w:spacing w:after="80" w:line="300"/>
        <w:ind w:left="360"/>
      </w:pPr>
      <w:r>
        <w:rPr>
          <w:b/>
          <w:bCs/>
          <w:sz w:val="22"/>
          <w:szCs w:val="22"/>
        </w:rPr>
        <w:t xml:space="preserve">3. </w:t>
      </w:r>
      <w:r>
        <w:rPr>
          <w:sz w:val="22"/>
          <w:szCs w:val="22"/>
        </w:rPr>
        <w:t xml:space="preserve">L-1 Eligibility Section</w:t>
      </w:r>
    </w:p>
    <w:p>
      <w:pPr>
        <w:spacing w:after="80" w:line="300"/>
        <w:ind w:left="360"/>
      </w:pPr>
      <w:r>
        <w:rPr>
          <w:b/>
          <w:bCs/>
          <w:sz w:val="22"/>
          <w:szCs w:val="22"/>
        </w:rPr>
        <w:t xml:space="preserve">4. </w:t>
      </w:r>
      <w:r>
        <w:rPr>
          <w:sz w:val="22"/>
          <w:szCs w:val="22"/>
        </w:rPr>
        <w:t xml:space="preserve">Executive Summary of the Enterprise</w:t>
      </w:r>
    </w:p>
    <w:p>
      <w:pPr>
        <w:spacing w:after="80" w:line="300"/>
        <w:ind w:left="360"/>
      </w:pPr>
      <w:r>
        <w:rPr>
          <w:b/>
          <w:bCs/>
          <w:sz w:val="22"/>
          <w:szCs w:val="22"/>
        </w:rPr>
        <w:t xml:space="preserve">5. </w:t>
      </w:r>
      <w:r>
        <w:rPr>
          <w:sz w:val="22"/>
          <w:szCs w:val="22"/>
        </w:rPr>
        <w:t xml:space="preserve">Market Analysis and Competitor Landscape</w:t>
      </w:r>
    </w:p>
    <w:p>
      <w:pPr>
        <w:spacing w:after="80" w:line="300"/>
        <w:ind w:left="360"/>
      </w:pPr>
      <w:r>
        <w:rPr>
          <w:b/>
          <w:bCs/>
          <w:sz w:val="22"/>
          <w:szCs w:val="22"/>
        </w:rPr>
        <w:t xml:space="preserve">6. </w:t>
      </w:r>
      <w:r>
        <w:rPr>
          <w:sz w:val="22"/>
          <w:szCs w:val="22"/>
        </w:rPr>
        <w:t xml:space="preserve">Marketing Strategy</w:t>
      </w:r>
    </w:p>
    <w:p>
      <w:pPr>
        <w:spacing w:after="80" w:line="300"/>
        <w:ind w:left="360"/>
      </w:pPr>
      <w:r>
        <w:rPr>
          <w:b/>
          <w:bCs/>
          <w:sz w:val="22"/>
          <w:szCs w:val="22"/>
        </w:rPr>
        <w:t xml:space="preserve">7. </w:t>
      </w:r>
      <w:r>
        <w:rPr>
          <w:sz w:val="22"/>
          <w:szCs w:val="22"/>
        </w:rPr>
        <w:t xml:space="preserve">Expanded Financial Model (5-year)</w:t>
      </w:r>
    </w:p>
    <w:p>
      <w:pPr>
        <w:spacing w:after="80" w:line="300"/>
        <w:ind w:left="360"/>
      </w:pPr>
      <w:r>
        <w:rPr>
          <w:b/>
          <w:bCs/>
          <w:sz w:val="22"/>
          <w:szCs w:val="22"/>
        </w:rPr>
        <w:t xml:space="preserve">8. </w:t>
      </w:r>
      <w:r>
        <w:rPr>
          <w:sz w:val="22"/>
          <w:szCs w:val="22"/>
        </w:rPr>
        <w:t xml:space="preserve">US Hiring Plan and Job Creation</w:t>
      </w:r>
    </w:p>
    <w:p>
      <w:pPr>
        <w:spacing w:after="80" w:line="300"/>
        <w:ind w:left="360"/>
      </w:pPr>
      <w:r>
        <w:rPr>
          <w:b/>
          <w:bCs/>
          <w:sz w:val="22"/>
          <w:szCs w:val="22"/>
        </w:rPr>
        <w:t xml:space="preserve">9. </w:t>
      </w:r>
      <w:r>
        <w:rPr>
          <w:sz w:val="22"/>
          <w:szCs w:val="22"/>
        </w:rPr>
        <w:t xml:space="preserve">Operations Plan</w:t>
      </w:r>
    </w:p>
    <w:p>
      <w:pPr>
        <w:spacing w:after="80" w:line="300"/>
        <w:ind w:left="360"/>
      </w:pPr>
      <w:r>
        <w:rPr>
          <w:b/>
          <w:bCs/>
          <w:sz w:val="22"/>
          <w:szCs w:val="22"/>
        </w:rPr>
        <w:t xml:space="preserve">10. </w:t>
      </w:r>
      <w:r>
        <w:rPr>
          <w:sz w:val="22"/>
          <w:szCs w:val="22"/>
        </w:rPr>
        <w:t xml:space="preserve">Risk Analysis (Visa-Specific)</w:t>
      </w:r>
    </w:p>
    <w:p>
      <w:pPr>
        <w:spacing w:after="160" w:line="320"/>
      </w:pPr>
      <w:r>
        <w:rPr>
          <w:sz w:val="22"/>
          <w:szCs w:val="22"/>
        </w:rPr>
        <w:t xml:space="preserve">Supporting financial workpapers, source-of-funds documentation, and corporate formation documents are provided by the firm of record as petition exhibits.</w:t>
      </w:r>
    </w:p>
    <w:p>
      <w:pPr>
        <w:pStyle w:val="Heading2"/>
        <w:spacing w:after="180" w:before="360"/>
      </w:pPr>
      <w:r>
        <w:rPr>
          <w:sz w:val="26"/>
          <w:szCs w:val="26"/>
        </w:rPr>
        <w:t xml:space="preserve">Compliance and disclaimer</w:t>
      </w:r>
    </w:p>
    <w:p>
      <w:pPr>
        <w:spacing w:after="160" w:line="320"/>
      </w:pPr>
      <w:r>
        <w:rPr>
          <w:sz w:val="22"/>
          <w:szCs w:val="22"/>
        </w:rPr>
        <w:t xml:space="preserve">This plan is production-grade business analysis prepared for the firm of record's USCIS submission package. The firm of record is solely responsible for USCIS legal review, visa-category compliance verification, adjudicator strategy, and representation of the applicant. The plan author does not provide legal advice and does not represent applicants before USCIS or any government agency.</w:t>
      </w:r>
    </w:p>
    <w:p>
      <w:pPr>
        <w:spacing w:after="160" w:line="320"/>
      </w:pPr>
      <w:r>
        <w:rPr>
          <w:sz w:val="22"/>
          <w:szCs w:val="22"/>
        </w:rPr>
        <w:t xml:space="preserve">Plan prepared: 2026-05-10 Plan version: 1.0</w:t>
      </w:r>
    </w:p>
    <w:p>
      <w:pPr>
        <w:pStyle w:val="Heading1"/>
        <w:pageBreakBefore/>
        <w:spacing w:after="180" w:before="480"/>
      </w:pPr>
      <w:r>
        <w:rPr>
          <w:sz w:val="32"/>
          <w:szCs w:val="32"/>
        </w:rPr>
        <w:t xml:space="preserve">Investor and Applicant Background</w:t>
      </w:r>
    </w:p>
    <w:p>
      <w:pPr>
        <w:spacing w:after="160" w:line="320"/>
      </w:pPr>
      <w:r>
        <w:rPr>
          <w:sz w:val="22"/>
          <w:szCs w:val="22"/>
        </w:rPr>
        <w:t xml:space="preserve">This section establishes the petitioner's qualifications to develop and direct CodeWave US Inc. in the United States. The narrative is constructed from the petitioner's documented professional history, formal education, and prior business experience. Supporting documentation (CV, academic credentials, employment verification letters, prior business records) is provided by the firm of record as petition exhibits.</w:t>
      </w:r>
    </w:p>
    <w:p>
      <w:pPr>
        <w:pStyle w:val="Heading2"/>
        <w:spacing w:after="180" w:before="360"/>
      </w:pPr>
      <w:r>
        <w:rPr>
          <w:sz w:val="26"/>
          <w:szCs w:val="26"/>
        </w:rPr>
        <w:t xml:space="preserve">Petitioner identity</w:t>
      </w:r>
    </w:p>
    <w:p>
      <w:pPr>
        <w:pStyle w:val="ListParagraph"/>
        <w:numPr>
          <w:ilvl w:val="0"/>
          <w:numId w:val="1"/>
        </w:numPr>
        <w:spacing w:after="80" w:line="300"/>
      </w:pPr>
      <w:r>
        <w:rPr>
          <w:b/>
          <w:bCs/>
          <w:sz w:val="22"/>
          <w:szCs w:val="22"/>
        </w:rPr>
        <w:t xml:space="preserve">Full name:</w:t>
      </w:r>
      <w:r>
        <w:rPr>
          <w:sz w:val="22"/>
          <w:szCs w:val="22"/>
        </w:rPr>
        <w:t xml:space="preserve"> Andrei Popescu</w:t>
      </w:r>
    </w:p>
    <w:p>
      <w:pPr>
        <w:pStyle w:val="ListParagraph"/>
        <w:numPr>
          <w:ilvl w:val="0"/>
          <w:numId w:val="1"/>
        </w:numPr>
        <w:spacing w:after="80" w:line="300"/>
      </w:pPr>
      <w:r>
        <w:rPr>
          <w:b/>
          <w:bCs/>
          <w:sz w:val="22"/>
          <w:szCs w:val="22"/>
        </w:rPr>
        <w:t xml:space="preserve">Country of citizenship:</w:t>
      </w:r>
      <w:r>
        <w:rPr>
          <w:sz w:val="22"/>
          <w:szCs w:val="22"/>
        </w:rPr>
        <w:t xml:space="preserve"> Romania</w:t>
      </w:r>
    </w:p>
    <w:p>
      <w:pPr>
        <w:pStyle w:val="ListParagraph"/>
        <w:numPr>
          <w:ilvl w:val="0"/>
          <w:numId w:val="1"/>
        </w:numPr>
        <w:spacing w:after="80" w:line="300"/>
      </w:pPr>
      <w:r>
        <w:rPr>
          <w:b/>
          <w:bCs/>
          <w:sz w:val="22"/>
          <w:szCs w:val="22"/>
        </w:rPr>
        <w:t xml:space="preserve">Title within CodeWave US Inc.:</w:t>
      </w:r>
      <w:r>
        <w:rPr>
          <w:sz w:val="22"/>
          <w:szCs w:val="22"/>
        </w:rPr>
        <w:t xml:space="preserve"> President and Chief Executive Officer</w:t>
      </w:r>
    </w:p>
    <w:p>
      <w:pPr>
        <w:pStyle w:val="ListParagraph"/>
        <w:numPr>
          <w:ilvl w:val="0"/>
          <w:numId w:val="1"/>
        </w:numPr>
        <w:spacing w:after="80" w:line="300"/>
      </w:pPr>
      <w:r>
        <w:rPr>
          <w:b/>
          <w:bCs/>
          <w:sz w:val="22"/>
          <w:szCs w:val="22"/>
        </w:rPr>
        <w:t xml:space="preserve">Equity ownership in CodeWave US Inc.:</w:t>
      </w:r>
      <w:r>
        <w:rPr>
          <w:sz w:val="22"/>
          <w:szCs w:val="22"/>
        </w:rPr>
        <w:t xml:space="preserve"> 100%</w:t>
      </w:r>
    </w:p>
    <w:p>
      <w:pPr>
        <w:pStyle w:val="Heading2"/>
        <w:spacing w:after="180" w:before="360"/>
      </w:pPr>
      <w:r>
        <w:rPr>
          <w:sz w:val="26"/>
          <w:szCs w:val="26"/>
        </w:rPr>
        <w:t xml:space="preserve">Education</w:t>
      </w:r>
    </w:p>
    <w:p>
      <w:pPr>
        <w:spacing w:after="160" w:line="320"/>
      </w:pPr>
      <w:r>
        <w:rPr>
          <w:sz w:val="22"/>
          <w:szCs w:val="22"/>
        </w:rPr>
        <w:t xml:space="preserve">Bachelor of Computer Science, University Politehnica of Bucharest, 2013. MBA, Bucharest University of Economic Studies, 2018.</w:t>
      </w:r>
    </w:p>
    <w:p>
      <w:pPr>
        <w:spacing w:after="160" w:line="320"/>
      </w:pPr>
      <w:r>
        <w:rPr>
          <w:sz w:val="22"/>
          <w:szCs w:val="22"/>
        </w:rPr>
        <w:t xml:space="preserve">Documentary evidence of the petitioner's educational credentials is provided by the firm of record as petition exhibits.</w:t>
      </w:r>
    </w:p>
    <w:p>
      <w:pPr>
        <w:pStyle w:val="Heading2"/>
        <w:spacing w:after="180" w:before="360"/>
      </w:pPr>
      <w:r>
        <w:rPr>
          <w:sz w:val="26"/>
          <w:szCs w:val="26"/>
        </w:rPr>
        <w:t xml:space="preserve">Professional background</w:t>
      </w:r>
    </w:p>
    <w:p>
      <w:pPr>
        <w:spacing w:after="160" w:line="320"/>
      </w:pPr>
      <w:r>
        <w:rPr>
          <w:sz w:val="22"/>
          <w:szCs w:val="22"/>
        </w:rPr>
        <w:t xml:space="preserve">Eleven years operating CodeWave Romania, a custom-software development firm headquartered in Cluj-Napoca. Founded as a five-person consultancy in 2014, scaled to 62 employees serving European enterprise clients across financial services, retail, and logistics. Annual revenue approximately EUR 4.8M (USD ~$5.2M) in the most recent fiscal year.</w:t>
      </w:r>
    </w:p>
    <w:p>
      <w:pPr>
        <w:spacing w:after="160" w:line="320"/>
      </w:pPr>
      <w:r>
        <w:rPr>
          <w:sz w:val="22"/>
          <w:szCs w:val="22"/>
        </w:rPr>
        <w:t xml:space="preserve">The professional history above is supported by employment verification letters, tax records, and where applicable corporate disclosures, all provided by the firm of record as petition exhibits.</w:t>
      </w:r>
    </w:p>
    <w:p>
      <w:pPr>
        <w:pStyle w:val="Heading2"/>
        <w:spacing w:after="180" w:before="360"/>
      </w:pPr>
      <w:r>
        <w:rPr>
          <w:sz w:val="26"/>
          <w:szCs w:val="26"/>
        </w:rPr>
        <w:t xml:space="preserve">Prior business experience</w:t>
      </w:r>
    </w:p>
    <w:p>
      <w:pPr>
        <w:spacing w:after="160" w:line="320"/>
      </w:pPr>
      <w:r>
        <w:rPr>
          <w:sz w:val="22"/>
          <w:szCs w:val="22"/>
        </w:rPr>
        <w:t xml:space="preserve">Direct executive responsibility for CodeWave Romania since founding. Holds Managing Director title with full P&amp;L authority, strategic direction, and final authority over hiring, firing, and capital allocation across two Romanian offices.</w:t>
      </w:r>
    </w:p>
    <w:p>
      <w:pPr>
        <w:spacing w:after="160" w:line="320"/>
      </w:pPr>
      <w:r>
        <w:rPr>
          <w:sz w:val="22"/>
          <w:szCs w:val="22"/>
        </w:rPr>
        <w:t xml:space="preserve">The petitioner's prior business experience is directly relevant to the operations of CodeWave US Inc. for the following reasons:</w:t>
      </w:r>
    </w:p>
    <w:p>
      <w:pPr>
        <w:pStyle w:val="ListParagraph"/>
        <w:numPr>
          <w:ilvl w:val="0"/>
          <w:numId w:val="1"/>
        </w:numPr>
        <w:spacing w:after="80" w:line="300"/>
      </w:pPr>
      <w:r>
        <w:rPr>
          <w:sz w:val="22"/>
          <w:szCs w:val="22"/>
        </w:rPr>
        <w:t xml:space="preserve">Direct sector experience in Custom software development services</w:t>
      </w:r>
    </w:p>
    <w:p>
      <w:pPr>
        <w:pStyle w:val="ListParagraph"/>
        <w:numPr>
          <w:ilvl w:val="0"/>
          <w:numId w:val="1"/>
        </w:numPr>
        <w:spacing w:after="80" w:line="300"/>
      </w:pPr>
      <w:r>
        <w:rPr>
          <w:sz w:val="22"/>
          <w:szCs w:val="22"/>
        </w:rPr>
        <w:t xml:space="preserve">Operational responsibility in prior ventures (P&amp;L, hiring, vendor management)</w:t>
      </w:r>
    </w:p>
    <w:p>
      <w:pPr>
        <w:pStyle w:val="ListParagraph"/>
        <w:numPr>
          <w:ilvl w:val="0"/>
          <w:numId w:val="1"/>
        </w:numPr>
        <w:spacing w:after="80" w:line="300"/>
      </w:pPr>
      <w:r>
        <w:rPr>
          <w:sz w:val="22"/>
          <w:szCs w:val="22"/>
        </w:rPr>
        <w:t xml:space="preserve">Documented track record of building and scaling commercial activity in this category</w:t>
      </w:r>
    </w:p>
    <w:p>
      <w:pPr>
        <w:pStyle w:val="Heading2"/>
        <w:spacing w:after="180" w:before="360"/>
      </w:pPr>
      <w:r>
        <w:rPr>
          <w:sz w:val="26"/>
          <w:szCs w:val="26"/>
        </w:rPr>
        <w:t xml:space="preserve">Qualification narrative</w:t>
      </w:r>
    </w:p>
    <w:p>
      <w:pPr>
        <w:spacing w:after="160" w:line="320"/>
      </w:pPr>
      <w:r>
        <w:rPr>
          <w:sz w:val="22"/>
          <w:szCs w:val="22"/>
        </w:rPr>
        <w:t xml:space="preserve">The combination of Andrei Popescu's formal education, professional history, and prior business experience qualifies the petitioner to develop and direct CodeWave US Inc. as a U.S. enterprise. Specifically:</w:t>
      </w:r>
    </w:p>
    <w:p>
      <w:pPr>
        <w:spacing w:after="160" w:line="320"/>
      </w:pPr>
      <w:r>
        <w:rPr>
          <w:sz w:val="22"/>
          <w:szCs w:val="22"/>
        </w:rPr>
        <w:t xml:space="preserve">Andrei Popescu has the formal credentials, professional history, and prior operational responsibility required to develop and direct CodeWave US Inc. as a U.S. enterprise. The petitioner is not relying on a third-party operator, an absentee-owner structure, or a passive-investor relationship to satisfy the develop-and-direct standard.</w:t>
      </w:r>
    </w:p>
    <w:p>
      <w:pPr>
        <w:spacing w:after="160" w:line="320"/>
      </w:pPr>
      <w:r>
        <w:rPr>
          <w:sz w:val="22"/>
          <w:szCs w:val="22"/>
        </w:rPr>
        <w:t xml:space="preserve">The petitioner will retain operational control of CodeWave US Inc. as detailed in the L-1 Eligibility section. Day-to-day responsibilities include corporate governance, hiring decisions, capital deployment, vendor selection, and strategic direction of the enterprise.</w:t>
      </w:r>
    </w:p>
    <w:p>
      <w:pPr>
        <w:pStyle w:val="Heading2"/>
        <w:spacing w:after="180" w:before="360"/>
      </w:pPr>
      <w:r>
        <w:rPr>
          <w:sz w:val="26"/>
          <w:szCs w:val="26"/>
        </w:rPr>
        <w:t xml:space="preserve">Industry credentials and recognition</w:t>
      </w:r>
    </w:p>
    <w:p>
      <w:pPr>
        <w:spacing w:after="160" w:line="320"/>
      </w:pPr>
      <w:r>
        <w:rPr>
          <w:sz w:val="22"/>
          <w:szCs w:val="22"/>
        </w:rPr>
        <w:t xml:space="preserve">Industry recognition, professional memberships, and trade credentials, where applicable, are detailed in the credentials exhibit provided by the firm of record.</w:t>
      </w:r>
    </w:p>
    <w:p>
      <w:pPr>
        <w:pStyle w:val="Heading2"/>
        <w:spacing w:after="180" w:before="360"/>
      </w:pPr>
      <w:r>
        <w:rPr>
          <w:sz w:val="26"/>
          <w:szCs w:val="26"/>
        </w:rPr>
        <w:t xml:space="preserve">Continuing involvement</w:t>
      </w:r>
    </w:p>
    <w:p>
      <w:pPr>
        <w:spacing w:after="160" w:line="320"/>
      </w:pPr>
      <w:r>
        <w:rPr>
          <w:sz w:val="22"/>
          <w:szCs w:val="22"/>
        </w:rPr>
        <w:t xml:space="preserve">Andrei Popescu will be physically present in the United States to operate CodeWave US Inc. and will not delegate operational control to a third party. The petitioner's home country business interests, where applicable, are managed by qualified successors or are wound down as documented in the firm's exhibits.</w:t>
      </w:r>
    </w:p>
    <w:p>
      <w:pPr>
        <w:pStyle w:val="Heading2"/>
        <w:spacing w:after="180" w:before="360"/>
      </w:pPr>
      <w:r>
        <w:rPr>
          <w:sz w:val="26"/>
          <w:szCs w:val="26"/>
        </w:rPr>
        <w:t xml:space="preserve">References available on request</w:t>
      </w:r>
    </w:p>
    <w:p>
      <w:pPr>
        <w:spacing w:after="160" w:line="320"/>
      </w:pPr>
      <w:r>
        <w:rPr>
          <w:sz w:val="22"/>
          <w:szCs w:val="22"/>
        </w:rPr>
        <w:t xml:space="preserve">Personal and professional references can be furnished by the firm of record upon adjudicator request.</w:t>
      </w:r>
    </w:p>
    <w:p>
      <w:pPr>
        <w:pStyle w:val="Heading1"/>
        <w:pageBreakBefore/>
        <w:spacing w:after="180" w:before="480"/>
      </w:pPr>
      <w:r>
        <w:rPr>
          <w:sz w:val="32"/>
          <w:szCs w:val="32"/>
        </w:rPr>
        <w:t xml:space="preserve">Source of Funds and U.S. Capitalization Narrative</w:t>
      </w:r>
    </w:p>
    <w:p>
      <w:pPr>
        <w:spacing w:after="160" w:line="320"/>
      </w:pPr>
      <w:r>
        <w:rPr>
          <w:sz w:val="22"/>
          <w:szCs w:val="22"/>
        </w:rPr>
        <w:t xml:space="preserve">This section establishes the lawful source of funds capitalizing CodeWave US Inc. in the United States. For L-1A petitions, source of funds documentation is less central than for E-2 or EB-5, but adjudicators reviewing new-office L-1A petitions in 2025-2026 increasingly request evidence that the U.S. entity has sufficient and lawfully sourced capital to operate the executive's transferred role.</w:t>
      </w:r>
    </w:p>
    <w:p>
      <w:pPr>
        <w:spacing w:after="160" w:line="320"/>
      </w:pPr>
      <w:r>
        <w:rPr>
          <w:sz w:val="22"/>
          <w:szCs w:val="22"/>
        </w:rPr>
        <w:t xml:space="preserve">The narrative below summarizes the path of funds from origin to deployment. Documentary evidence supporting each source (bank statements, parent-company audited financials, intercompany loan agreements, capitalization tables) is provided by the firm of record as petition exhibits.</w:t>
      </w:r>
    </w:p>
    <w:p>
      <w:pPr>
        <w:pStyle w:val="Heading2"/>
        <w:spacing w:after="180" w:before="360"/>
      </w:pPr>
      <w:r>
        <w:rPr>
          <w:sz w:val="26"/>
          <w:szCs w:val="26"/>
        </w:rPr>
        <w:t xml:space="preserve">2.1 Capitalization summary</w:t>
      </w:r>
    </w:p>
    <w:p>
      <w:pPr>
        <w:spacing w:after="160" w:line="320"/>
      </w:pPr>
      <w:r>
        <w:rPr>
          <w:sz w:val="22"/>
          <w:szCs w:val="22"/>
        </w:rPr>
        <w:t xml:space="preserve">CodeWave US Inc. has been capitalized at $350,000 as of 2026-04-10. The capitalization composition is documented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Pr>
          <w:p>
            <w:r>
              <w:rPr>
                <w:b/>
                <w:bCs/>
                <w:sz w:val="20"/>
                <w:szCs w:val="20"/>
              </w:rPr>
            </w:r>
          </w:p>
        </w:tc>
        <w:tc>
          <w:tcPr>
            <w:tcW w:type="pct" w:w="33%"/>
          </w:tcPr>
          <w:p>
            <w:r>
              <w:rPr>
                <w:b/>
                <w:bCs/>
                <w:sz w:val="20"/>
                <w:szCs w:val="20"/>
              </w:rPr>
            </w:r>
          </w:p>
        </w:tc>
        <w:tc>
          <w:tcPr>
            <w:tcW w:type="pct" w:w="33%"/>
          </w:tcPr>
          <w:p>
            <w:r>
              <w:rPr>
                <w:b/>
                <w:bCs/>
                <w:sz w:val="20"/>
                <w:szCs w:val="20"/>
              </w:rPr>
            </w:r>
          </w:p>
        </w:tc>
      </w:tr>
      <w:tr>
        <w:tc>
          <w:tcPr>
            <w:tcW w:type="pct" w:w="33%"/>
          </w:tcPr>
          <w:p>
            <w:r>
              <w:rPr>
                <w:sz w:val="20"/>
                <w:szCs w:val="20"/>
              </w:rPr>
              <w:t xml:space="preserve">Capital contribution from CodeWave Romania (foreign parent)</w:t>
            </w:r>
          </w:p>
        </w:tc>
        <w:tc>
          <w:tcPr>
            <w:tcW w:type="pct" w:w="33%"/>
          </w:tcPr>
          <w:p>
            <w:r>
              <w:rPr>
                <w:sz w:val="20"/>
                <w:szCs w:val="20"/>
              </w:rPr>
              <w:t xml:space="preserve">$280,000</w:t>
            </w:r>
          </w:p>
        </w:tc>
        <w:tc>
          <w:tcPr>
            <w:tcW w:type="pct" w:w="33%"/>
          </w:tcPr>
          <w:p>
            <w:r>
              <w:rPr>
                <w:sz w:val="20"/>
                <w:szCs w:val="20"/>
              </w:rPr>
              <w:t xml:space="preserve">Foreign parent audited financials (FY2024, FY2025), board resolution authorizing capital contribution, intercompany capital contribution agreement, and Chase wire receipt records in firm exhibits</w:t>
            </w:r>
          </w:p>
        </w:tc>
      </w:tr>
      <w:tr>
        <w:tc>
          <w:tcPr>
            <w:tcW w:type="pct" w:w="33%"/>
          </w:tcPr>
          <w:p>
            <w:r>
              <w:rPr>
                <w:sz w:val="20"/>
                <w:szCs w:val="20"/>
              </w:rPr>
              <w:t xml:space="preserve">Founder equity contribution (Andrei Popescu personal funds)</w:t>
            </w:r>
          </w:p>
        </w:tc>
        <w:tc>
          <w:tcPr>
            <w:tcW w:type="pct" w:w="33%"/>
          </w:tcPr>
          <w:p>
            <w:r>
              <w:rPr>
                <w:sz w:val="20"/>
                <w:szCs w:val="20"/>
              </w:rPr>
              <w:t xml:space="preserve">$70,000</w:t>
            </w:r>
          </w:p>
        </w:tc>
        <w:tc>
          <w:tcPr>
            <w:tcW w:type="pct" w:w="33%"/>
          </w:tcPr>
          <w:p>
            <w:r>
              <w:rPr>
                <w:sz w:val="20"/>
                <w:szCs w:val="20"/>
              </w:rPr>
              <w:t xml:space="preserve">Personal bank statements (24 months), Romanian tax returns, founder capital contribution agreement, and Chase deposit records in firm exhibits</w:t>
            </w:r>
          </w:p>
        </w:tc>
      </w:tr>
      <w:tr>
        <w:tc>
          <w:tcPr>
            <w:tcW w:type="pct" w:w="33%"/>
          </w:tcPr>
          <w:p>
            <w:r>
              <w:rPr>
                <w:b/>
                <w:bCs/>
                <w:sz w:val="20"/>
                <w:szCs w:val="20"/>
              </w:rPr>
              <w:t xml:space="preserve">Total</w:t>
            </w:r>
          </w:p>
        </w:tc>
        <w:tc>
          <w:tcPr>
            <w:tcW w:type="pct" w:w="33%"/>
          </w:tcPr>
          <w:p>
            <w:r>
              <w:rPr>
                <w:b/>
                <w:bCs/>
                <w:sz w:val="20"/>
                <w:szCs w:val="20"/>
              </w:rPr>
              <w:t xml:space="preserve">$350,000</w:t>
            </w:r>
          </w:p>
        </w:tc>
        <w:tc>
          <w:tcPr>
            <w:tcW w:type="pct" w:w="33%"/>
          </w:tcPr>
          <w:p>
            <w:r>
              <w:rPr>
                <w:sz w:val="20"/>
                <w:szCs w:val="20"/>
              </w:rPr>
              <w:t xml:space="preserve">-</w:t>
            </w:r>
          </w:p>
        </w:tc>
      </w:tr>
    </w:tbl>
    <w:p>
      <w:pPr>
        <w:pStyle w:val="Heading2"/>
        <w:spacing w:after="180" w:before="360"/>
      </w:pPr>
      <w:r>
        <w:rPr>
          <w:sz w:val="26"/>
          <w:szCs w:val="26"/>
        </w:rPr>
        <w:t xml:space="preserve">2.2 Source-by-source narrative</w:t>
      </w:r>
    </w:p>
    <w:p>
      <w:pPr>
        <w:pStyle w:val="Heading3"/>
        <w:spacing w:after="180" w:before="360"/>
      </w:pPr>
      <w:r>
        <w:rPr>
          <w:sz w:val="22"/>
          <w:szCs w:val="22"/>
        </w:rPr>
        <w:t xml:space="preserve">Source 1: Capital contribution from CodeWave Romania (foreign parent) ($280,000)</w:t>
      </w:r>
    </w:p>
    <w:p>
      <w:pPr>
        <w:spacing w:after="160" w:line="320"/>
      </w:pPr>
      <w:r>
        <w:rPr>
          <w:sz w:val="22"/>
          <w:szCs w:val="22"/>
        </w:rPr>
        <w:t xml:space="preserve">Capital contributed by CodeWave SRL Romania from corporate operating cash. The contribution is governed by an arm's-length intercompany capital contribution agreement and was authorized by board resolution. Documentary evidence is provided as Foreign parent audited financials (FY2024, FY2025), board resolution authorizing capital contribution, intercompany capital contribution agreement, and Chase wire receipt records in firm exhibits.</w:t>
      </w:r>
    </w:p>
    <w:p>
      <w:pPr>
        <w:pStyle w:val="Heading3"/>
        <w:spacing w:after="180" w:before="360"/>
      </w:pPr>
      <w:r>
        <w:rPr>
          <w:sz w:val="22"/>
          <w:szCs w:val="22"/>
        </w:rPr>
        <w:t xml:space="preserve">Source 2: Founder equity contribution (Andrei Popescu personal funds) ($70,000)</w:t>
      </w:r>
    </w:p>
    <w:p>
      <w:pPr>
        <w:spacing w:after="160" w:line="320"/>
      </w:pPr>
      <w:r>
        <w:rPr>
          <w:sz w:val="22"/>
          <w:szCs w:val="22"/>
        </w:rPr>
        <w:t xml:space="preserve">Founder equity contribution from documented personal funds. Documentary evidence is provided as Personal bank statements (24 months), Romanian tax returns, founder capital contribution agreement, and Chase deposit records in firm exhibits.</w:t>
      </w:r>
    </w:p>
    <w:p>
      <w:pPr>
        <w:pStyle w:val="Heading2"/>
        <w:spacing w:after="180" w:before="360"/>
      </w:pPr>
      <w:r>
        <w:rPr>
          <w:sz w:val="26"/>
          <w:szCs w:val="26"/>
        </w:rPr>
        <w:t xml:space="preserve">2.3 Foreign-parent funding (when applicable)</w:t>
      </w:r>
    </w:p>
    <w:p>
      <w:pPr>
        <w:spacing w:after="160" w:line="320"/>
      </w:pPr>
      <w:r>
        <w:rPr>
          <w:sz w:val="22"/>
          <w:szCs w:val="22"/>
        </w:rPr>
        <w:t xml:space="preserve">Where capital flows from CodeWave SRL Romania to CodeWave US Inc., the firm of record provides:</w:t>
      </w:r>
    </w:p>
    <w:p>
      <w:pPr>
        <w:pStyle w:val="ListParagraph"/>
        <w:numPr>
          <w:ilvl w:val="0"/>
          <w:numId w:val="1"/>
        </w:numPr>
        <w:spacing w:after="80" w:line="300"/>
      </w:pPr>
      <w:r>
        <w:rPr>
          <w:sz w:val="22"/>
          <w:szCs w:val="22"/>
        </w:rPr>
        <w:t xml:space="preserve">Audited or reviewed financial statements of CodeWave SRL Romania for the most recent fiscal year demonstrating capacity to fund the U.S. subsidiary</w:t>
      </w:r>
    </w:p>
    <w:p>
      <w:pPr>
        <w:pStyle w:val="ListParagraph"/>
        <w:numPr>
          <w:ilvl w:val="0"/>
          <w:numId w:val="1"/>
        </w:numPr>
        <w:spacing w:after="80" w:line="300"/>
      </w:pPr>
      <w:r>
        <w:rPr>
          <w:sz w:val="22"/>
          <w:szCs w:val="22"/>
        </w:rPr>
        <w:t xml:space="preserve">Board resolution or shareholder consent authorizing the U.S. subsidiary capitalization</w:t>
      </w:r>
    </w:p>
    <w:p>
      <w:pPr>
        <w:pStyle w:val="ListParagraph"/>
        <w:numPr>
          <w:ilvl w:val="0"/>
          <w:numId w:val="1"/>
        </w:numPr>
        <w:spacing w:after="80" w:line="300"/>
      </w:pPr>
      <w:r>
        <w:rPr>
          <w:sz w:val="22"/>
          <w:szCs w:val="22"/>
        </w:rPr>
        <w:t xml:space="preserve">Intercompany agreements (capital contribution, loan, or services agreement) governing the funds transfer</w:t>
      </w:r>
    </w:p>
    <w:p>
      <w:pPr>
        <w:pStyle w:val="ListParagraph"/>
        <w:numPr>
          <w:ilvl w:val="0"/>
          <w:numId w:val="1"/>
        </w:numPr>
        <w:spacing w:after="80" w:line="300"/>
      </w:pPr>
      <w:r>
        <w:rPr>
          <w:sz w:val="22"/>
          <w:szCs w:val="22"/>
        </w:rPr>
        <w:t xml:space="preserve">Bank wire records demonstrating receipt by CodeWave US Inc. in the United States</w:t>
      </w:r>
    </w:p>
    <w:p>
      <w:pPr>
        <w:pStyle w:val="Heading2"/>
        <w:spacing w:after="180" w:before="360"/>
      </w:pPr>
      <w:r>
        <w:rPr>
          <w:sz w:val="26"/>
          <w:szCs w:val="26"/>
        </w:rPr>
        <w:t xml:space="preserve">2.4 Path of funds</w:t>
      </w:r>
    </w:p>
    <w:p>
      <w:pPr>
        <w:spacing w:after="160" w:line="320"/>
      </w:pPr>
      <w:r>
        <w:rPr>
          <w:sz w:val="22"/>
          <w:szCs w:val="22"/>
        </w:rPr>
        <w:t xml:space="preserve">Capital traveled from origin accounts to CodeWave US Inc.'s U.S. operating account through the following path:</w:t>
      </w:r>
    </w:p>
    <w:p>
      <w:pPr>
        <w:spacing w:after="80" w:line="300"/>
        <w:ind w:left="360"/>
      </w:pPr>
      <w:r>
        <w:rPr>
          <w:b/>
          <w:bCs/>
          <w:sz w:val="22"/>
          <w:szCs w:val="22"/>
        </w:rPr>
        <w:t xml:space="preserve">1. </w:t>
      </w:r>
      <w:r>
        <w:rPr>
          <w:b/>
          <w:bCs/>
          <w:sz w:val="22"/>
          <w:szCs w:val="22"/>
        </w:rPr>
        <w:t xml:space="preserve">Origin:</w:t>
      </w:r>
      <w:r>
        <w:rPr>
          <w:sz w:val="22"/>
          <w:szCs w:val="22"/>
        </w:rPr>
        <w:t xml:space="preserve"> Funds originated in the petitioner's personal accounts and / or CodeWave SRL Romania's corporate accounts in Romania, as documented in source exhibits.</w:t>
      </w:r>
    </w:p>
    <w:p>
      <w:pPr>
        <w:spacing w:after="80" w:line="300"/>
        <w:ind w:left="360"/>
      </w:pPr>
      <w:r>
        <w:rPr>
          <w:b/>
          <w:bCs/>
          <w:sz w:val="22"/>
          <w:szCs w:val="22"/>
        </w:rPr>
        <w:t xml:space="preserve">2. </w:t>
      </w:r>
      <w:r>
        <w:rPr>
          <w:b/>
          <w:bCs/>
          <w:sz w:val="22"/>
          <w:szCs w:val="22"/>
        </w:rPr>
        <w:t xml:space="preserve">Conversion and transfer:</w:t>
      </w:r>
      <w:r>
        <w:rPr>
          <w:sz w:val="22"/>
          <w:szCs w:val="22"/>
        </w:rPr>
        <w:t xml:space="preserve"> Funds were converted to USD and wired to the U.S. operating account at Chase (operating account at the Austin downtown branch) on or around 2026-04-10.</w:t>
      </w:r>
    </w:p>
    <w:p>
      <w:pPr>
        <w:spacing w:after="80" w:line="300"/>
        <w:ind w:left="360"/>
      </w:pPr>
      <w:r>
        <w:rPr>
          <w:b/>
          <w:bCs/>
          <w:sz w:val="22"/>
          <w:szCs w:val="22"/>
        </w:rPr>
        <w:t xml:space="preserve">3. </w:t>
      </w:r>
      <w:r>
        <w:rPr>
          <w:b/>
          <w:bCs/>
          <w:sz w:val="22"/>
          <w:szCs w:val="22"/>
        </w:rPr>
        <w:t xml:space="preserve">Deployment:</w:t>
      </w:r>
      <w:r>
        <w:rPr>
          <w:sz w:val="22"/>
          <w:szCs w:val="22"/>
        </w:rPr>
        <w:t xml:space="preserve"> Capital is being deployed against the operating budget detailed in Section 7 (Expanded Financial Model) and the operations plan in Section 9.</w:t>
      </w:r>
    </w:p>
    <w:p>
      <w:pPr>
        <w:pStyle w:val="Heading2"/>
        <w:spacing w:after="180" w:before="360"/>
      </w:pPr>
      <w:r>
        <w:rPr>
          <w:sz w:val="26"/>
          <w:szCs w:val="26"/>
        </w:rPr>
        <w:t xml:space="preserve">2.5 Capital sufficiency for L-1A new office (when applicable)</w:t>
      </w:r>
    </w:p>
    <w:p>
      <w:pPr>
        <w:spacing w:after="160" w:line="320"/>
      </w:pPr>
      <w:r>
        <w:rPr>
          <w:sz w:val="22"/>
          <w:szCs w:val="22"/>
        </w:rPr>
        <w:t xml:space="preserve">For new-office L-1A petitions, USCIS expects evidence that the U.S. entity has sufficient capital to operate at the executive level for the initial one-year period. The $350,000 of capital, applied against the Year-1 operating budget of {{year1_costs}} and the staffing plan in Section 8, demonstrates that CodeWave US Inc. is sufficiently capitalized to support the petitioner's executive role and the planned hiring trajectory.</w:t>
      </w:r>
    </w:p>
    <w:p>
      <w:pPr>
        <w:spacing w:after="160" w:line="320"/>
      </w:pPr>
      <w:r>
        <w:rPr>
          <w:sz w:val="22"/>
          <w:szCs w:val="22"/>
        </w:rPr>
        <w:t xml:space="preserve">The Year-1 financial model (Section 7) shows that the enterprise reaches operational stability within the L-1A new-office one-year window, supporting an extension petition based on actual performance rather than continued speculative projections.</w:t>
      </w:r>
    </w:p>
    <w:p>
      <w:pPr>
        <w:pStyle w:val="Heading2"/>
        <w:spacing w:after="180" w:before="360"/>
      </w:pPr>
      <w:r>
        <w:rPr>
          <w:sz w:val="26"/>
          <w:szCs w:val="26"/>
        </w:rPr>
        <w:t xml:space="preserve">2.6 Lawful source attestation</w:t>
      </w:r>
    </w:p>
    <w:p>
      <w:pPr>
        <w:spacing w:after="160" w:line="320"/>
      </w:pPr>
      <w:r>
        <w:rPr>
          <w:sz w:val="22"/>
          <w:szCs w:val="22"/>
        </w:rPr>
        <w:t xml:space="preserve">The petitioner and CodeWave SRL Romania attest, and the firm of record certifies through its review of supporting exhibits, that all funds capitalizing CodeWave US Inc. are derived from lawful sources. Documentation of lawful source for each component is provided as petition exhibits.</w:t>
      </w:r>
    </w:p>
    <w:p>
      <w:pPr>
        <w:pStyle w:val="Heading2"/>
        <w:spacing w:after="180" w:before="360"/>
      </w:pPr>
      <w:r>
        <w:rPr>
          <w:sz w:val="26"/>
          <w:szCs w:val="26"/>
        </w:rPr>
        <w:t xml:space="preserve">2.7 Outstanding documentation requests</w:t>
      </w:r>
    </w:p>
    <w:p>
      <w:pPr>
        <w:spacing w:after="160" w:line="320"/>
      </w:pPr>
      <w:r>
        <w:rPr>
          <w:sz w:val="22"/>
          <w:szCs w:val="22"/>
        </w:rPr>
        <w:t xml:space="preserve">If the adjudicator requires additional source-of-funds or capitalization documentation, the firm of record will furnish such documentation upon request through its relationships with the petitioner's and the foreign parent's banks, accountants, and corporate counsel.</w:t>
      </w:r>
    </w:p>
    <w:p>
      <w:pPr>
        <w:pStyle w:val="Heading1"/>
        <w:pageBreakBefore/>
        <w:spacing w:after="180" w:before="480"/>
      </w:pPr>
      <w:r>
        <w:rPr>
          <w:sz w:val="32"/>
          <w:szCs w:val="32"/>
        </w:rPr>
        <w:t xml:space="preserve">L-1A Intracompany Transferee Executive or Manager Eligibility</w:t>
      </w:r>
    </w:p>
    <w:p>
      <w:pPr>
        <w:spacing w:after="160" w:line="320"/>
      </w:pPr>
      <w:r>
        <w:rPr>
          <w:sz w:val="22"/>
          <w:szCs w:val="22"/>
        </w:rPr>
        <w:t xml:space="preserve">This section addresses the operative L-1A eligibility criteria as set forth in 8 CFR 214.2(l), the USCIS Policy Manual Vol. 2, Pt. L, and Adjudicator Field Manual guidance. Each subsection presents the supporting analysis for one criterion. Documentary exhibits supporting these analyses are provided by the firm of record.</w:t>
      </w:r>
    </w:p>
    <w:p>
      <w:pPr>
        <w:pStyle w:val="Heading2"/>
        <w:spacing w:after="180" w:before="360"/>
      </w:pPr>
      <w:r>
        <w:rPr>
          <w:sz w:val="26"/>
          <w:szCs w:val="26"/>
        </w:rPr>
        <w:t xml:space="preserve">1. Qualifying relationship between foreign and U.S. entities</w:t>
      </w:r>
    </w:p>
    <w:p>
      <w:pPr>
        <w:spacing w:after="160" w:line="320"/>
      </w:pPr>
      <w:r>
        <w:rPr>
          <w:sz w:val="22"/>
          <w:szCs w:val="22"/>
        </w:rPr>
        <w:t xml:space="preserve">The foreign entity (CodeWave SRL Romania, organized under the laws of Romania) and the U.S. entity CodeWave US Inc. maintain a qualifying corporate relationship satisfying 8 CFR 214.2(l)(1)(ii)(G).</w:t>
      </w:r>
    </w:p>
    <w:p>
      <w:pPr>
        <w:spacing w:after="160" w:line="320"/>
      </w:pPr>
      <w:r>
        <w:rPr>
          <w:b/>
          <w:bCs/>
          <w:sz w:val="22"/>
          <w:szCs w:val="22"/>
        </w:rPr>
        <w:t xml:space="preserve">Relationship type:</w:t>
      </w:r>
      <w:r>
        <w:rPr>
          <w:sz w:val="22"/>
          <w:szCs w:val="22"/>
        </w:rPr>
        <w:t xml:space="preserve"> Parent / subsidiary (foreign parent owns the U.S. subsidiary)</w:t>
      </w:r>
    </w:p>
    <w:p>
      <w:pPr>
        <w:spacing w:after="160" w:line="320"/>
      </w:pPr>
      <w:r>
        <w:rPr>
          <w:b/>
          <w:bCs/>
          <w:sz w:val="22"/>
          <w:szCs w:val="22"/>
        </w:rPr>
        <w:t xml:space="preserve">Ownership and control:</w:t>
      </w:r>
    </w:p>
    <w:p>
      <w:pPr>
        <w:spacing w:after="160" w:line="320"/>
      </w:pPr>
      <w:r>
        <w:rPr>
          <w:sz w:val="22"/>
          <w:szCs w:val="22"/>
        </w:rPr>
        <w:t xml:space="preserve">CodeWave SRL Romania owns 100% of CodeWave US Inc. The U.S. subsidiary was incorporated in Delaware in February 2026 specifically as the U.S. arm of the Romanian parent. Common ownership is fully documented in Delaware corporate records and Romanian corporate registry.</w:t>
      </w:r>
    </w:p>
    <w:p>
      <w:pPr>
        <w:spacing w:after="160" w:line="320"/>
      </w:pPr>
      <w:r>
        <w:rPr>
          <w:sz w:val="22"/>
          <w:szCs w:val="22"/>
        </w:rPr>
        <w:t xml:space="preserve">Documentary evidence of the qualifying relationship (corporate formation documents, share registers, board resolutions, organizational charts for both entities) is provided by the firm of record as petition exhibits.</w:t>
      </w:r>
    </w:p>
    <w:p>
      <w:pPr>
        <w:pStyle w:val="Heading2"/>
        <w:spacing w:after="180" w:before="360"/>
      </w:pPr>
      <w:r>
        <w:rPr>
          <w:sz w:val="26"/>
          <w:szCs w:val="26"/>
        </w:rPr>
        <w:t xml:space="preserve">2. One year of qualifying employment abroad</w:t>
      </w:r>
    </w:p>
    <w:p>
      <w:pPr>
        <w:spacing w:after="160" w:line="320"/>
      </w:pPr>
      <w:r>
        <w:rPr>
          <w:sz w:val="22"/>
          <w:szCs w:val="22"/>
        </w:rPr>
        <w:t xml:space="preserve">The petitioner Andrei Popescu has been continuously employed by CodeWave SRL Romania for at least one year within the three-year period immediately preceding the petition filing, in a capacity that qualifies under L-1A.</w:t>
      </w:r>
    </w:p>
    <w:p>
      <w:pPr>
        <w:spacing w:after="160" w:line="320"/>
      </w:pPr>
      <w:r>
        <w:rPr>
          <w:b/>
          <w:bCs/>
          <w:sz w:val="22"/>
          <w:szCs w:val="22"/>
        </w:rPr>
        <w:t xml:space="preserve">Period of qualifying employment abroad:</w:t>
      </w:r>
      <w:r>
        <w:rPr>
          <w:sz w:val="22"/>
          <w:szCs w:val="22"/>
        </w:rPr>
        <w:t xml:space="preserve"> March 2014 to present (12+ years), continuously serving as Managing Director of CodeWave SRL Romania</w:t>
      </w:r>
    </w:p>
    <w:p>
      <w:pPr>
        <w:spacing w:after="160" w:line="320"/>
      </w:pPr>
      <w:r>
        <w:rPr>
          <w:b/>
          <w:bCs/>
          <w:sz w:val="22"/>
          <w:szCs w:val="22"/>
        </w:rPr>
        <w:t xml:space="preserve">Capacity during qualifying employment:</w:t>
      </w:r>
      <w:r>
        <w:rPr>
          <w:sz w:val="22"/>
          <w:szCs w:val="22"/>
        </w:rPr>
        <w:t xml:space="preserve"> Executive or managerial, as detailed in Section 3 below.</w:t>
      </w:r>
    </w:p>
    <w:p>
      <w:pPr>
        <w:spacing w:after="160" w:line="320"/>
      </w:pPr>
      <w:r>
        <w:rPr>
          <w:b/>
          <w:bCs/>
          <w:sz w:val="22"/>
          <w:szCs w:val="22"/>
        </w:rPr>
        <w:t xml:space="preserve">Documentary support:</w:t>
      </w:r>
      <w:r>
        <w:rPr>
          <w:sz w:val="22"/>
          <w:szCs w:val="22"/>
        </w:rPr>
        <w:t xml:space="preserve"> Employment verification letter from CodeWave SRL Romania, payroll records, tax filings, organizational chart showing petitioner's reporting line, and contemporaneous corporate documents are provided by the firm of record as petition exhibits.</w:t>
      </w:r>
    </w:p>
    <w:p>
      <w:pPr>
        <w:spacing w:after="160" w:line="320"/>
      </w:pPr>
      <w:r>
        <w:rPr>
          <w:sz w:val="22"/>
          <w:szCs w:val="22"/>
        </w:rPr>
        <w:t xml:space="preserve">Andrei Popescu has continuously served as Managing Director of CodeWave SRL Romania from founding in March 2014 through the present, satisfying the one-year-of-three qualifying employment requirement many times over. As Managing Director he has held final authority over: strategic direction across two Romanian offices (Cluj-Napoca, Bucharest), hiring and firing of 62 employees, capital allocation decisions including the $350,000 U.S. expansion, P&amp;L responsibility, board reporting to the founder shareholders, and operational policy. Documentary evidence (Romanian corporate registry filings, payroll records, employment letter from CodeWave SRL Romania, and organizational chart) is provided in firm exhibits.</w:t>
      </w:r>
    </w:p>
    <w:p>
      <w:pPr>
        <w:pStyle w:val="Heading2"/>
        <w:spacing w:after="180" w:before="360"/>
      </w:pPr>
      <w:r>
        <w:rPr>
          <w:sz w:val="26"/>
          <w:szCs w:val="26"/>
        </w:rPr>
        <w:t xml:space="preserve">3. Executive or managerial capacity</w:t>
      </w:r>
    </w:p>
    <w:p>
      <w:pPr>
        <w:spacing w:after="160" w:line="320"/>
      </w:pPr>
      <w:r>
        <w:rPr>
          <w:sz w:val="22"/>
          <w:szCs w:val="22"/>
        </w:rPr>
        <w:t xml:space="preserve">Andrei Popescu's role at CodeWave SRL Romania, and the role to be assumed at CodeWave US Inc., satisfy the executive or managerial capacity standard under 8 CFR 214.2(l)(1)(ii)(B) and 8 CFR 214.2(l)(1)(ii)(C).</w:t>
      </w:r>
    </w:p>
    <w:p>
      <w:pPr>
        <w:spacing w:after="160" w:line="320"/>
      </w:pPr>
      <w:r>
        <w:rPr>
          <w:b/>
          <w:bCs/>
          <w:sz w:val="22"/>
          <w:szCs w:val="22"/>
        </w:rPr>
        <w:t xml:space="preserve">Capacity classification:</w:t>
      </w:r>
      <w:r>
        <w:rPr>
          <w:sz w:val="22"/>
          <w:szCs w:val="22"/>
        </w:rPr>
        <w:t xml:space="preserve"> Executive (Executive / Managerial)</w:t>
      </w:r>
    </w:p>
    <w:p>
      <w:pPr>
        <w:spacing w:after="160" w:line="320"/>
      </w:pPr>
      <w:r>
        <w:rPr>
          <w:b/>
          <w:bCs/>
          <w:sz w:val="22"/>
          <w:szCs w:val="22"/>
        </w:rPr>
        <w:t xml:space="preserve">Executive or managerial duties:</w:t>
      </w:r>
    </w:p>
    <w:p>
      <w:pPr>
        <w:pStyle w:val="ListParagraph"/>
        <w:numPr>
          <w:ilvl w:val="0"/>
          <w:numId w:val="1"/>
        </w:numPr>
        <w:spacing w:after="80" w:line="300"/>
      </w:pPr>
      <w:r>
        <w:rPr>
          <w:sz w:val="22"/>
          <w:szCs w:val="22"/>
        </w:rPr>
        <w:t xml:space="preserve">Direct strategic and operational management of CodeWave US Inc.</w:t>
      </w:r>
    </w:p>
    <w:p>
      <w:pPr>
        <w:pStyle w:val="ListParagraph"/>
        <w:numPr>
          <w:ilvl w:val="0"/>
          <w:numId w:val="1"/>
        </w:numPr>
        <w:spacing w:after="80" w:line="300"/>
      </w:pPr>
      <w:r>
        <w:rPr>
          <w:sz w:val="22"/>
          <w:szCs w:val="22"/>
        </w:rPr>
        <w:t xml:space="preserve">Establish goals, policies, and growth targets for the U.S. subsidiary</w:t>
      </w:r>
    </w:p>
    <w:p>
      <w:pPr>
        <w:pStyle w:val="ListParagraph"/>
        <w:numPr>
          <w:ilvl w:val="0"/>
          <w:numId w:val="1"/>
        </w:numPr>
        <w:spacing w:after="80" w:line="300"/>
      </w:pPr>
      <w:r>
        <w:rPr>
          <w:sz w:val="22"/>
          <w:szCs w:val="22"/>
        </w:rPr>
        <w:t xml:space="preserve">Exercise wide latitude in discretionary decision-making (P&amp;L, hiring, capital, vendor selection, U.S. client commitments)</w:t>
      </w:r>
    </w:p>
    <w:p>
      <w:pPr>
        <w:pStyle w:val="ListParagraph"/>
        <w:numPr>
          <w:ilvl w:val="0"/>
          <w:numId w:val="1"/>
        </w:numPr>
        <w:spacing w:after="80" w:line="300"/>
      </w:pPr>
      <w:r>
        <w:rPr>
          <w:sz w:val="22"/>
          <w:szCs w:val="22"/>
        </w:rPr>
        <w:t xml:space="preserve">Receive only general direction from the foreign parent board (CodeWave SRL Romania)</w:t>
      </w:r>
    </w:p>
    <w:p>
      <w:pPr>
        <w:pStyle w:val="ListParagraph"/>
        <w:numPr>
          <w:ilvl w:val="0"/>
          <w:numId w:val="1"/>
        </w:numPr>
        <w:spacing w:after="80" w:line="300"/>
      </w:pPr>
      <w:r>
        <w:rPr>
          <w:sz w:val="22"/>
          <w:szCs w:val="22"/>
        </w:rPr>
        <w:t xml:space="preserve">Supervise and control the work of the Senior Sales Director, Senior Engineering Manager, and other professional subordinates detailed in Section 8</w:t>
      </w:r>
    </w:p>
    <w:p>
      <w:pPr>
        <w:pStyle w:val="ListParagraph"/>
        <w:numPr>
          <w:ilvl w:val="0"/>
          <w:numId w:val="1"/>
        </w:numPr>
        <w:spacing w:after="80" w:line="300"/>
      </w:pPr>
      <w:r>
        <w:rPr>
          <w:sz w:val="22"/>
          <w:szCs w:val="22"/>
        </w:rPr>
        <w:t xml:space="preserve">Hold authority over hiring, firing, and other personnel actions for U.S. staff</w:t>
      </w:r>
    </w:p>
    <w:p>
      <w:pPr>
        <w:spacing w:after="160" w:line="320"/>
      </w:pPr>
      <w:r>
        <w:rPr>
          <w:b/>
          <w:bCs/>
          <w:sz w:val="22"/>
          <w:szCs w:val="22"/>
        </w:rPr>
        <w:t xml:space="preserve">Subordinate professional or supervisory roles:</w:t>
      </w:r>
      <w:r>
        <w:rPr>
          <w:sz w:val="22"/>
          <w:szCs w:val="22"/>
        </w:rPr>
        <w:t xml:space="preserve"> The petitioner directs or will direct the work of subordinate professional or supervisory employees as detailed in Section 8 (US Hiring Plan). The U.S. organizational chart confirms that the petitioner does not perform primarily non-managerial functions.</w:t>
      </w:r>
    </w:p>
    <w:p>
      <w:pPr>
        <w:pStyle w:val="Heading2"/>
        <w:spacing w:after="180" w:before="360"/>
      </w:pPr>
      <w:r>
        <w:rPr>
          <w:sz w:val="26"/>
          <w:szCs w:val="26"/>
        </w:rPr>
        <w:t xml:space="preserve">4. New office viability (when applicable)</w:t>
      </w:r>
    </w:p>
    <w:p>
      <w:pPr>
        <w:spacing w:after="160" w:line="320"/>
      </w:pPr>
      <w:r>
        <w:rPr>
          <w:sz w:val="22"/>
          <w:szCs w:val="22"/>
        </w:rPr>
        <w:t xml:space="preserve">This petition is a new-office L-1A. CodeWave US Inc. was formed in the United States within the past 12 months and the petitioner is being transferred to develop the U.S. operations. The firm of record provides U.S. corporate formation documents, lease for the U.S. operating premises, Year-1 operating budget and staffing plan demonstrating viability, and Year-1 revenue projections supporting the executive role. The Year-1 staffing plan in Section 8 includes the petitioner's executive role plus subordinate professional or supervisory positions sufficient to support an L-1A executive or managerial classification within the one-year new-office window. Section 7 demonstrates revenue growth supporting an L-1A extension based on actual performance at the one-year mark.</w:t>
      </w:r>
    </w:p>
    <w:p>
      <w:pPr>
        <w:pStyle w:val="Heading2"/>
        <w:spacing w:after="180" w:before="360"/>
      </w:pPr>
      <w:r>
        <w:rPr>
          <w:sz w:val="26"/>
          <w:szCs w:val="26"/>
        </w:rPr>
        <w:t xml:space="preserve">5. U.S. operations and physical premises</w:t>
      </w:r>
    </w:p>
    <w:p>
      <w:pPr>
        <w:spacing w:after="160" w:line="320"/>
      </w:pPr>
      <w:r>
        <w:rPr>
          <w:sz w:val="22"/>
          <w:szCs w:val="22"/>
        </w:rPr>
        <w:t xml:space="preserve">CodeWave US Inc. maintains physical operating premises in Austin, TX that are sufficient to support the petitioner's executive or managerial role.</w:t>
      </w:r>
    </w:p>
    <w:p>
      <w:pPr>
        <w:spacing w:after="160" w:line="320"/>
      </w:pPr>
      <w:r>
        <w:rPr>
          <w:b/>
          <w:bCs/>
          <w:sz w:val="22"/>
          <w:szCs w:val="22"/>
        </w:rPr>
        <w:t xml:space="preserve">Premises summary:</w:t>
      </w:r>
      <w:r>
        <w:rPr>
          <w:sz w:val="22"/>
          <w:szCs w:val="22"/>
        </w:rPr>
        <w:t xml:space="preserve"> 5-year lease executed March 2026 at $5,800/mo plus CAM, with 3% annual escalation</w:t>
      </w:r>
    </w:p>
    <w:p>
      <w:pPr>
        <w:spacing w:after="160" w:line="320"/>
      </w:pPr>
      <w:r>
        <w:rPr>
          <w:b/>
          <w:bCs/>
          <w:sz w:val="22"/>
          <w:szCs w:val="22"/>
        </w:rPr>
        <w:t xml:space="preserve">Operational capacity:</w:t>
      </w:r>
      <w:r>
        <w:rPr>
          <w:sz w:val="22"/>
          <w:szCs w:val="22"/>
        </w:rPr>
        <w:t xml:space="preserve"> Office layout, equipment, and staffing detailed in Section 9 (Operations Plan) demonstrate that the U.S. entity is positioned to support a transferred executive or manager rather than a paper company or shell.</w:t>
      </w:r>
    </w:p>
    <w:p>
      <w:pPr>
        <w:pStyle w:val="Heading2"/>
        <w:spacing w:after="180" w:before="360"/>
      </w:pPr>
      <w:r>
        <w:rPr>
          <w:sz w:val="26"/>
          <w:szCs w:val="26"/>
        </w:rPr>
        <w:t xml:space="preserve">6. Petitioner's continuing role</w:t>
      </w:r>
    </w:p>
    <w:p>
      <w:pPr>
        <w:spacing w:after="160" w:line="320"/>
      </w:pPr>
      <w:r>
        <w:rPr>
          <w:sz w:val="22"/>
          <w:szCs w:val="22"/>
        </w:rPr>
        <w:t xml:space="preserve">Upon admission to the United States, Andrei Popescu will:</w:t>
      </w:r>
    </w:p>
    <w:p>
      <w:pPr>
        <w:pStyle w:val="ListParagraph"/>
        <w:numPr>
          <w:ilvl w:val="0"/>
          <w:numId w:val="1"/>
        </w:numPr>
        <w:spacing w:after="80" w:line="300"/>
      </w:pPr>
      <w:r>
        <w:rPr>
          <w:sz w:val="22"/>
          <w:szCs w:val="22"/>
        </w:rPr>
        <w:t xml:space="preserve">Serve as President and Chief Executive Officer of CodeWave US Inc.</w:t>
      </w:r>
    </w:p>
    <w:p>
      <w:pPr>
        <w:pStyle w:val="ListParagraph"/>
        <w:numPr>
          <w:ilvl w:val="0"/>
          <w:numId w:val="1"/>
        </w:numPr>
        <w:spacing w:after="80" w:line="300"/>
      </w:pPr>
      <w:r>
        <w:rPr>
          <w:sz w:val="22"/>
          <w:szCs w:val="22"/>
        </w:rPr>
        <w:t xml:space="preserve">Direct the executive or managerial functions detailed in subsection 3 above</w:t>
      </w:r>
    </w:p>
    <w:p>
      <w:pPr>
        <w:pStyle w:val="ListParagraph"/>
        <w:numPr>
          <w:ilvl w:val="0"/>
          <w:numId w:val="1"/>
        </w:numPr>
        <w:spacing w:after="80" w:line="300"/>
      </w:pPr>
      <w:r>
        <w:rPr>
          <w:sz w:val="22"/>
          <w:szCs w:val="22"/>
        </w:rPr>
        <w:t xml:space="preserve">Hold corresponding authority over corporate governance, hiring, capital allocation, and strategic direction</w:t>
      </w:r>
    </w:p>
    <w:p>
      <w:pPr>
        <w:pStyle w:val="ListParagraph"/>
        <w:numPr>
          <w:ilvl w:val="0"/>
          <w:numId w:val="1"/>
        </w:numPr>
        <w:spacing w:after="80" w:line="300"/>
      </w:pPr>
      <w:r>
        <w:rPr>
          <w:sz w:val="22"/>
          <w:szCs w:val="22"/>
        </w:rPr>
        <w:t xml:space="preserve">Refrain from performing primarily non-managerial duties</w:t>
      </w:r>
    </w:p>
    <w:p>
      <w:pPr>
        <w:spacing w:after="160" w:line="320"/>
      </w:pPr>
      <w:r>
        <w:rPr>
          <w:sz w:val="22"/>
          <w:szCs w:val="22"/>
        </w:rPr>
        <w:t xml:space="preserve">The petitioner's day-to-day responsibilities are further detailed in Section 8 (US Hiring Plan, petitioner role subsection).</w:t>
      </w:r>
    </w:p>
    <w:p>
      <w:pPr>
        <w:pStyle w:val="Heading2"/>
        <w:spacing w:after="180" w:before="360"/>
      </w:pPr>
      <w:r>
        <w:rPr>
          <w:sz w:val="26"/>
          <w:szCs w:val="26"/>
        </w:rPr>
        <w:t xml:space="preserve">7. Petition outlook</w:t>
      </w:r>
    </w:p>
    <w:p>
      <w:pPr>
        <w:spacing w:after="160" w:line="320"/>
      </w:pPr>
      <w:r>
        <w:rPr>
          <w:sz w:val="22"/>
          <w:szCs w:val="22"/>
        </w:rPr>
        <w:t xml:space="preserve">Based on the foregoing analysis, the financial projections in Section 7, and the U.S. hiring plan in Section 8, the petition satisfies the operative L-1A eligibility criteria. Supporting documentation for each prong is provided by the firm of record as petition exhibits, and the firm retains responsibility for visa-category compliance verification and submission.</w:t>
      </w:r>
    </w:p>
    <w:p>
      <w:pPr>
        <w:pStyle w:val="Heading1"/>
        <w:pageBreakBefore/>
        <w:spacing w:after="240" w:before="480"/>
      </w:pPr>
      <w:r>
        <w:t xml:space="preserve">Executive Summary</w:t>
      </w:r>
    </w:p>
    <w:p>
      <w:pPr>
        <w:pStyle w:val="Heading2"/>
        <w:spacing w:after="180" w:before="360"/>
      </w:pPr>
      <w:r>
        <w:t xml:space="preserve">Overview</w:t>
      </w:r>
    </w:p>
    <w:p>
      <w:pPr>
        <w:spacing w:after="160" w:line="320"/>
      </w:pPr>
      <w:r>
        <w:rPr>
          <w:sz w:val="22"/>
          <w:szCs w:val="22"/>
        </w:rPr>
        <w:t xml:space="preserve">CodeWave US Inc. is the U.S. subsidiary of CodeWave SRL Romania, an established 62-person custom software development firm operating since 2014. The U.S. subsidiary opens in Austin, TX with Andrei Popescu, the parent CEO, transferred as the L-1A executive plus 5 U.S. hires in Year 1. Year-1 U.S. revenue target of $480,000 from enterprise software development engagements with U.S. financial services and SaaS clients. Profitable operations begin Month 9, with Y3 revenue projected at $2.4M.</w:t>
      </w:r>
    </w:p>
    <w:p>
      <w:pPr>
        <w:pStyle w:val="Heading2"/>
        <w:spacing w:after="180" w:before="360"/>
      </w:pPr>
      <w:r>
        <w:t xml:space="preserve">Mission</w:t>
      </w:r>
    </w:p>
    <w:p>
      <w:pPr>
        <w:spacing w:after="160" w:line="320"/>
      </w:pPr>
      <w:r>
        <w:rPr>
          <w:sz w:val="22"/>
          <w:szCs w:val="22"/>
        </w:rPr>
        <w:t xml:space="preserve">Bring CodeWave's enterprise software development capability to the U.S. market through a U.S.-based delivery team operating to U.S. quality, security, and client engagement standards.</w:t>
      </w:r>
    </w:p>
    <w:p>
      <w:pPr>
        <w:pStyle w:val="Heading2"/>
        <w:spacing w:after="180" w:before="360"/>
      </w:pPr>
      <w:r>
        <w:t xml:space="preserve">Vision</w:t>
      </w:r>
    </w:p>
    <w:p>
      <w:pPr>
        <w:spacing w:after="160" w:line="320"/>
      </w:pPr>
      <w:r>
        <w:rPr>
          <w:sz w:val="22"/>
          <w:szCs w:val="22"/>
        </w:rPr>
        <w:t xml:space="preserve">Establish a self-sustaining 25-person U.S. operation by Year 5 supporting both U.S.-direct clients and U.S.-portion delivery on global engagements.</w:t>
      </w:r>
    </w:p>
    <w:p>
      <w:pPr>
        <w:pStyle w:val="Heading2"/>
        <w:spacing w:after="180" w:before="360"/>
      </w:pPr>
      <w:r>
        <w:t xml:space="preserve">Value Proposition</w:t>
      </w:r>
    </w:p>
    <w:p>
      <w:pPr>
        <w:spacing w:after="160" w:line="320"/>
      </w:pPr>
      <w:r>
        <w:rPr>
          <w:sz w:val="22"/>
          <w:szCs w:val="22"/>
        </w:rPr>
        <w:t xml:space="preserve">European engineering depth with U.S. delivery responsiveness. CodeWave's track record across European financial services adapted to U.S. regulatory and contracting standards.</w:t>
      </w:r>
    </w:p>
    <w:p>
      <w:pPr>
        <w:pStyle w:val="Heading2"/>
        <w:spacing w:after="180" w:before="360"/>
      </w:pPr>
      <w:r>
        <w:t xml:space="preserve">Key Projected Metrics</w:t>
      </w:r>
    </w:p>
    <w:p>
      <w:pPr>
        <w:pStyle w:val="ListParagraph"/>
        <w:numPr>
          <w:ilvl w:val="0"/>
          <w:numId w:val="1"/>
        </w:numPr>
        <w:spacing w:after="80" w:line="300"/>
      </w:pPr>
      <w:r>
        <w:rPr>
          <w:sz w:val="22"/>
          <w:szCs w:val="22"/>
        </w:rPr>
        <w:t xml:space="preserve">Year 1 U.S. revenue: $480,000</w:t>
      </w:r>
    </w:p>
    <w:p>
      <w:pPr>
        <w:pStyle w:val="ListParagraph"/>
        <w:numPr>
          <w:ilvl w:val="0"/>
          <w:numId w:val="1"/>
        </w:numPr>
        <w:spacing w:after="80" w:line="300"/>
      </w:pPr>
      <w:r>
        <w:rPr>
          <w:sz w:val="22"/>
          <w:szCs w:val="22"/>
        </w:rPr>
        <w:t xml:space="preserve">Year 1 U.S. headcount including transferred CEO: 6</w:t>
      </w:r>
    </w:p>
    <w:p>
      <w:pPr>
        <w:pStyle w:val="ListParagraph"/>
        <w:numPr>
          <w:ilvl w:val="0"/>
          <w:numId w:val="1"/>
        </w:numPr>
        <w:spacing w:after="80" w:line="300"/>
      </w:pPr>
      <w:r>
        <w:rPr>
          <w:sz w:val="22"/>
          <w:szCs w:val="22"/>
        </w:rPr>
        <w:t xml:space="preserve">Year 3 U.S. revenue: $2,400,000</w:t>
      </w:r>
    </w:p>
    <w:p>
      <w:pPr>
        <w:pStyle w:val="ListParagraph"/>
        <w:numPr>
          <w:ilvl w:val="0"/>
          <w:numId w:val="1"/>
        </w:numPr>
        <w:spacing w:after="80" w:line="300"/>
      </w:pPr>
      <w:r>
        <w:rPr>
          <w:sz w:val="22"/>
          <w:szCs w:val="22"/>
        </w:rPr>
        <w:t xml:space="preserve">Year 5 U.S. revenue: $5,800,000 projected</w:t>
      </w:r>
    </w:p>
    <w:p>
      <w:pPr>
        <w:pStyle w:val="ListParagraph"/>
        <w:numPr>
          <w:ilvl w:val="0"/>
          <w:numId w:val="1"/>
        </w:numPr>
        <w:spacing w:after="80" w:line="300"/>
      </w:pPr>
      <w:r>
        <w:rPr>
          <w:sz w:val="22"/>
          <w:szCs w:val="22"/>
        </w:rPr>
        <w:t xml:space="preserve">Operating margin Y3: 18 percent</w:t>
      </w:r>
    </w:p>
    <w:p>
      <w:pPr>
        <w:pStyle w:val="Heading1"/>
        <w:pageBreakBefore/>
        <w:spacing w:after="240" w:before="480"/>
      </w:pPr>
      <w:r>
        <w:t xml:space="preserve">Competitor Analysis</w:t>
      </w:r>
    </w:p>
    <w:p>
      <w:pPr>
        <w:spacing w:after="160" w:line="320"/>
      </w:pPr>
      <w:r>
        <w:rPr>
          <w:sz w:val="22"/>
          <w:szCs w:val="22"/>
        </w:rPr>
        <w:t xml:space="preserve">The Austin custom software development market is competitive but the niche of European-quality engineering at competitive rates is underserved.</w:t>
      </w:r>
    </w:p>
    <w:p>
      <w:pPr>
        <w:pStyle w:val="Heading2"/>
        <w:spacing w:after="180" w:before="360"/>
      </w:pPr>
      <w:r>
        <w:t xml:space="preserve">Competitor Profiles</w:t>
      </w:r>
    </w:p>
    <w:p>
      <w:pPr>
        <w:pStyle w:val="Heading3"/>
        <w:spacing w:after="120" w:before="240"/>
      </w:pPr>
      <w:r>
        <w:t xml:space="preserve">Thoughtworks (Austin office)</w:t>
      </w:r>
    </w:p>
    <w:p>
      <w:pPr>
        <w:spacing w:after="160" w:line="320"/>
      </w:pPr>
      <w:r>
        <w:rPr>
          <w:sz w:val="22"/>
          <w:szCs w:val="22"/>
        </w:rPr>
        <w:t xml:space="preserve">Global consultancy with established Austin presence.</w:t>
      </w:r>
    </w:p>
    <w:p>
      <w:pPr>
        <w:spacing w:after="160" w:line="320"/>
      </w:pPr>
      <w:r>
        <w:rPr>
          <w:sz w:val="22"/>
          <w:szCs w:val="22"/>
        </w:rPr>
        <w:t xml:space="preserve">Estimated revenue: $1.2B globally</w:t>
      </w:r>
    </w:p>
    <w:p>
      <w:pPr>
        <w:spacing w:after="160" w:line="320"/>
      </w:pPr>
      <w:r>
        <w:rPr>
          <w:sz w:val="22"/>
          <w:szCs w:val="22"/>
        </w:rPr>
        <w:t xml:space="preserve">Pricing: $200-$320 per hour blended</w:t>
      </w:r>
    </w:p>
    <w:p>
      <w:pPr>
        <w:spacing w:after="160" w:line="320"/>
      </w:pPr>
      <w:r>
        <w:rPr>
          <w:sz w:val="22"/>
          <w:szCs w:val="22"/>
        </w:rPr>
        <w:t xml:space="preserve">Strengths:</w:t>
      </w:r>
    </w:p>
    <w:p>
      <w:pPr>
        <w:pStyle w:val="ListParagraph"/>
        <w:numPr>
          <w:ilvl w:val="0"/>
          <w:numId w:val="1"/>
        </w:numPr>
        <w:spacing w:after="80" w:line="300"/>
      </w:pPr>
      <w:r>
        <w:rPr>
          <w:sz w:val="22"/>
          <w:szCs w:val="22"/>
        </w:rPr>
        <w:t xml:space="preserve">Brand</w:t>
      </w:r>
    </w:p>
    <w:p>
      <w:pPr>
        <w:pStyle w:val="ListParagraph"/>
        <w:numPr>
          <w:ilvl w:val="0"/>
          <w:numId w:val="1"/>
        </w:numPr>
        <w:spacing w:after="80" w:line="300"/>
      </w:pPr>
      <w:r>
        <w:rPr>
          <w:sz w:val="22"/>
          <w:szCs w:val="22"/>
        </w:rPr>
        <w:t xml:space="preserve">Client roster</w:t>
      </w:r>
    </w:p>
    <w:p>
      <w:pPr>
        <w:spacing w:after="160" w:line="320"/>
      </w:pPr>
      <w:r>
        <w:rPr>
          <w:sz w:val="22"/>
          <w:szCs w:val="22"/>
        </w:rPr>
        <w:t xml:space="preserve">Weaknesses:</w:t>
      </w:r>
    </w:p>
    <w:p>
      <w:pPr>
        <w:pStyle w:val="ListParagraph"/>
        <w:numPr>
          <w:ilvl w:val="0"/>
          <w:numId w:val="1"/>
        </w:numPr>
        <w:spacing w:after="80" w:line="300"/>
      </w:pPr>
      <w:r>
        <w:rPr>
          <w:sz w:val="22"/>
          <w:szCs w:val="22"/>
        </w:rPr>
        <w:t xml:space="preserve">High blended rates</w:t>
      </w:r>
    </w:p>
    <w:p>
      <w:pPr>
        <w:pStyle w:val="ListParagraph"/>
        <w:numPr>
          <w:ilvl w:val="0"/>
          <w:numId w:val="1"/>
        </w:numPr>
        <w:spacing w:after="80" w:line="300"/>
      </w:pPr>
      <w:r>
        <w:rPr>
          <w:sz w:val="22"/>
          <w:szCs w:val="22"/>
        </w:rPr>
        <w:t xml:space="preserve">Long sales cycles</w:t>
      </w:r>
    </w:p>
    <w:p>
      <w:pPr>
        <w:pStyle w:val="Heading3"/>
        <w:spacing w:after="120" w:before="240"/>
      </w:pPr>
      <w:r>
        <w:t xml:space="preserve">Local Austin boutiques (Cremalab, Big Nerd Ranch alumni)</w:t>
      </w:r>
    </w:p>
    <w:p>
      <w:pPr>
        <w:spacing w:after="160" w:line="320"/>
      </w:pPr>
      <w:r>
        <w:rPr>
          <w:sz w:val="22"/>
          <w:szCs w:val="22"/>
        </w:rPr>
        <w:t xml:space="preserve">Smaller boutique firms.</w:t>
      </w:r>
    </w:p>
    <w:p>
      <w:pPr>
        <w:spacing w:after="160" w:line="320"/>
      </w:pPr>
      <w:r>
        <w:rPr>
          <w:sz w:val="22"/>
          <w:szCs w:val="22"/>
        </w:rPr>
        <w:t xml:space="preserve">Estimated revenue: $3-8M annually</w:t>
      </w:r>
    </w:p>
    <w:p>
      <w:pPr>
        <w:spacing w:after="160" w:line="320"/>
      </w:pPr>
      <w:r>
        <w:rPr>
          <w:sz w:val="22"/>
          <w:szCs w:val="22"/>
        </w:rPr>
        <w:t xml:space="preserve">Pricing: $140-$220 per hour</w:t>
      </w:r>
    </w:p>
    <w:p>
      <w:pPr>
        <w:spacing w:after="160" w:line="320"/>
      </w:pPr>
      <w:r>
        <w:rPr>
          <w:sz w:val="22"/>
          <w:szCs w:val="22"/>
        </w:rPr>
        <w:t xml:space="preserve">Strengths:</w:t>
      </w:r>
    </w:p>
    <w:p>
      <w:pPr>
        <w:pStyle w:val="ListParagraph"/>
        <w:numPr>
          <w:ilvl w:val="0"/>
          <w:numId w:val="1"/>
        </w:numPr>
        <w:spacing w:after="80" w:line="300"/>
      </w:pPr>
      <w:r>
        <w:rPr>
          <w:sz w:val="22"/>
          <w:szCs w:val="22"/>
        </w:rPr>
        <w:t xml:space="preserve">Local presence</w:t>
      </w:r>
    </w:p>
    <w:p>
      <w:pPr>
        <w:pStyle w:val="ListParagraph"/>
        <w:numPr>
          <w:ilvl w:val="0"/>
          <w:numId w:val="1"/>
        </w:numPr>
        <w:spacing w:after="80" w:line="300"/>
      </w:pPr>
      <w:r>
        <w:rPr>
          <w:sz w:val="22"/>
          <w:szCs w:val="22"/>
        </w:rPr>
        <w:t xml:space="preserve">Founder access</w:t>
      </w:r>
    </w:p>
    <w:p>
      <w:pPr>
        <w:spacing w:after="160" w:line="320"/>
      </w:pPr>
      <w:r>
        <w:rPr>
          <w:sz w:val="22"/>
          <w:szCs w:val="22"/>
        </w:rPr>
        <w:t xml:space="preserve">Weaknesses:</w:t>
      </w:r>
    </w:p>
    <w:p>
      <w:pPr>
        <w:pStyle w:val="ListParagraph"/>
        <w:numPr>
          <w:ilvl w:val="0"/>
          <w:numId w:val="1"/>
        </w:numPr>
        <w:spacing w:after="80" w:line="300"/>
      </w:pPr>
      <w:r>
        <w:rPr>
          <w:sz w:val="22"/>
          <w:szCs w:val="22"/>
        </w:rPr>
        <w:t xml:space="preserve">Limited European-style engineering rigor</w:t>
      </w:r>
    </w:p>
    <w:p>
      <w:pPr>
        <w:pStyle w:val="ListParagraph"/>
        <w:numPr>
          <w:ilvl w:val="0"/>
          <w:numId w:val="1"/>
        </w:numPr>
        <w:spacing w:after="80" w:line="300"/>
      </w:pPr>
      <w:r>
        <w:rPr>
          <w:sz w:val="22"/>
          <w:szCs w:val="22"/>
        </w:rPr>
        <w:t xml:space="preserve">Capacity constraints</w:t>
      </w:r>
    </w:p>
    <w:p>
      <w:pPr>
        <w:pStyle w:val="Heading2"/>
        <w:spacing w:after="180" w:before="360"/>
      </w:pPr>
      <w:r>
        <w:t xml:space="preserve">Our Competitive Advantage</w:t>
      </w:r>
    </w:p>
    <w:p>
      <w:pPr>
        <w:spacing w:after="160" w:line="320"/>
      </w:pPr>
      <w:r>
        <w:rPr>
          <w:sz w:val="22"/>
          <w:szCs w:val="22"/>
        </w:rPr>
        <w:t xml:space="preserve">European-quality engineering at $110-$160 per hour blended, with U.S.-based responsive account management.</w:t>
      </w:r>
    </w:p>
    <w:p>
      <w:pPr>
        <w:pStyle w:val="Heading2"/>
        <w:spacing w:after="180" w:before="360"/>
      </w:pPr>
      <w:r>
        <w:t xml:space="preserve">Market Gaps to Exploit</w:t>
      </w:r>
    </w:p>
    <w:p>
      <w:pPr>
        <w:pStyle w:val="ListParagraph"/>
        <w:numPr>
          <w:ilvl w:val="0"/>
          <w:numId w:val="1"/>
        </w:numPr>
        <w:spacing w:after="80" w:line="300"/>
      </w:pPr>
      <w:r>
        <w:rPr>
          <w:sz w:val="22"/>
          <w:szCs w:val="22"/>
        </w:rPr>
        <w:t xml:space="preserve">Underserved mid-market financial services seeking compliance-first engineering</w:t>
      </w:r>
    </w:p>
    <w:p>
      <w:pPr>
        <w:pStyle w:val="ListParagraph"/>
        <w:numPr>
          <w:ilvl w:val="0"/>
          <w:numId w:val="1"/>
        </w:numPr>
        <w:spacing w:after="80" w:line="300"/>
      </w:pPr>
      <w:r>
        <w:rPr>
          <w:sz w:val="22"/>
          <w:szCs w:val="22"/>
        </w:rPr>
        <w:t xml:space="preserve">Cost-effective entry point for SaaS startups needing senior-only engineering teams</w:t>
      </w:r>
    </w:p>
    <w:p>
      <w:pPr>
        <w:pStyle w:val="Heading1"/>
        <w:pageBreakBefore/>
        <w:spacing w:after="240" w:before="480"/>
      </w:pPr>
      <w:r>
        <w:t xml:space="preserve">Market Analysis</w:t>
      </w:r>
    </w:p>
    <w:p>
      <w:pPr>
        <w:pStyle w:val="Heading2"/>
        <w:spacing w:after="180" w:before="360"/>
      </w:pPr>
      <w:r>
        <w:t xml:space="preserve">Industry Overview</w:t>
      </w:r>
    </w:p>
    <w:p>
      <w:pPr>
        <w:spacing w:after="160" w:line="320"/>
      </w:pPr>
      <w:r>
        <w:rPr>
          <w:sz w:val="22"/>
          <w:szCs w:val="22"/>
        </w:rPr>
        <w:t xml:space="preserve">The U.S. custom software development services market grew from $148B in 2022 to $194B in 2025 according to IBISWorld, with Austin specifically continuing to expand as a tech employer despite Bay Area cooling. Texas state policy (no state income tax, RTO incentives) continues to drive new tech entry.</w:t>
      </w:r>
    </w:p>
    <w:p>
      <w:pPr>
        <w:pStyle w:val="Heading2"/>
        <w:spacing w:after="180" w:before="360"/>
      </w:pPr>
      <w:r>
        <w:t xml:space="preserve">Market Size</w:t>
      </w:r>
    </w:p>
    <w:p>
      <w:pPr>
        <w:spacing w:after="160" w:line="320"/>
      </w:pPr>
      <w:r>
        <w:rPr>
          <w:sz w:val="22"/>
          <w:szCs w:val="22"/>
        </w:rPr>
        <w:t xml:space="preserve">TAM: $194B U.S. custom software services. SAM: $4.2B Austin-area enterprise software services. SOM: $5-8M attainable for a single-location boutique-mid operation in 5 years.</w:t>
      </w:r>
    </w:p>
    <w:p>
      <w:pPr>
        <w:pStyle w:val="Heading2"/>
        <w:spacing w:after="180" w:before="360"/>
      </w:pPr>
      <w:r>
        <w:t xml:space="preserve">Growth Rate</w:t>
      </w:r>
    </w:p>
    <w:p>
      <w:pPr>
        <w:spacing w:after="160" w:line="320"/>
      </w:pPr>
      <w:r>
        <w:rPr>
          <w:sz w:val="22"/>
          <w:szCs w:val="22"/>
        </w:rPr>
        <w:t xml:space="preserve">9 percent YoY for U.S. custom software services; 11 percent for Austin specifically.</w:t>
      </w:r>
    </w:p>
    <w:p>
      <w:pPr>
        <w:pStyle w:val="Heading2"/>
        <w:spacing w:after="180" w:before="360"/>
      </w:pPr>
      <w:r>
        <w:t xml:space="preserve">Industry Trends</w:t>
      </w:r>
    </w:p>
    <w:p>
      <w:pPr>
        <w:pStyle w:val="ListParagraph"/>
        <w:numPr>
          <w:ilvl w:val="0"/>
          <w:numId w:val="1"/>
        </w:numPr>
        <w:spacing w:after="80" w:line="300"/>
      </w:pPr>
      <w:r>
        <w:rPr>
          <w:sz w:val="22"/>
          <w:szCs w:val="22"/>
        </w:rPr>
        <w:t xml:space="preserve">Re-shoring of engineering from offshore to nearshore + onshore</w:t>
      </w:r>
    </w:p>
    <w:p>
      <w:pPr>
        <w:pStyle w:val="ListParagraph"/>
        <w:numPr>
          <w:ilvl w:val="0"/>
          <w:numId w:val="1"/>
        </w:numPr>
        <w:spacing w:after="80" w:line="300"/>
      </w:pPr>
      <w:r>
        <w:rPr>
          <w:sz w:val="22"/>
          <w:szCs w:val="22"/>
        </w:rPr>
        <w:t xml:space="preserve">Rise of compliance-first software development for financial services</w:t>
      </w:r>
    </w:p>
    <w:p>
      <w:pPr>
        <w:pStyle w:val="ListParagraph"/>
        <w:numPr>
          <w:ilvl w:val="0"/>
          <w:numId w:val="1"/>
        </w:numPr>
        <w:spacing w:after="80" w:line="300"/>
      </w:pPr>
      <w:r>
        <w:rPr>
          <w:sz w:val="22"/>
          <w:szCs w:val="22"/>
        </w:rPr>
        <w:t xml:space="preserve">Shift away from outsourced offshore to mixed onshore + nearshore</w:t>
      </w:r>
    </w:p>
    <w:p>
      <w:pPr>
        <w:pStyle w:val="ListParagraph"/>
        <w:numPr>
          <w:ilvl w:val="0"/>
          <w:numId w:val="1"/>
        </w:numPr>
        <w:spacing w:after="80" w:line="300"/>
      </w:pPr>
      <w:r>
        <w:rPr>
          <w:sz w:val="22"/>
          <w:szCs w:val="22"/>
        </w:rPr>
        <w:t xml:space="preserve">AI-assisted engineering productivity reducing per-hour cost while preserving senior-engineer rates</w:t>
      </w:r>
    </w:p>
    <w:p>
      <w:pPr>
        <w:pStyle w:val="Heading2"/>
        <w:spacing w:after="180" w:before="360"/>
      </w:pPr>
      <w:r>
        <w:t xml:space="preserve">Target Customer Profile</w:t>
      </w:r>
    </w:p>
    <w:p>
      <w:pPr>
        <w:pStyle w:val="Heading3"/>
        <w:spacing w:after="120" w:before="240"/>
      </w:pPr>
      <w:r>
        <w:t xml:space="preserve">Demographics</w:t>
      </w:r>
    </w:p>
    <w:p>
      <w:pPr>
        <w:spacing w:after="160" w:line="320"/>
      </w:pPr>
      <w:r>
        <w:rPr>
          <w:sz w:val="22"/>
          <w:szCs w:val="22"/>
        </w:rPr>
        <w:t xml:space="preserve">Series A-C SaaS companies and mid-market financial services firms in Texas, secondary in California and New York.</w:t>
      </w:r>
    </w:p>
    <w:p>
      <w:pPr>
        <w:pStyle w:val="Heading3"/>
        <w:spacing w:after="120" w:before="240"/>
      </w:pPr>
      <w:r>
        <w:t xml:space="preserve">Psychographics</w:t>
      </w:r>
    </w:p>
    <w:p>
      <w:pPr>
        <w:spacing w:after="160" w:line="320"/>
      </w:pPr>
      <w:r>
        <w:rPr>
          <w:sz w:val="22"/>
          <w:szCs w:val="22"/>
        </w:rPr>
        <w:t xml:space="preserve">Values engineering rigor, regulatory comfort, fixed-fee or hybrid pricing.</w:t>
      </w:r>
    </w:p>
    <w:p>
      <w:pPr>
        <w:pStyle w:val="Heading3"/>
        <w:spacing w:after="120" w:before="240"/>
      </w:pPr>
      <w:r>
        <w:t xml:space="preserve">Pain Points</w:t>
      </w:r>
    </w:p>
    <w:p>
      <w:pPr>
        <w:pStyle w:val="ListParagraph"/>
        <w:numPr>
          <w:ilvl w:val="0"/>
          <w:numId w:val="1"/>
        </w:numPr>
        <w:spacing w:after="80" w:line="300"/>
      </w:pPr>
      <w:r>
        <w:rPr>
          <w:sz w:val="22"/>
          <w:szCs w:val="22"/>
        </w:rPr>
        <w:t xml:space="preserve">Frustrated by quality drift in offshore engagements</w:t>
      </w:r>
    </w:p>
    <w:p>
      <w:pPr>
        <w:pStyle w:val="ListParagraph"/>
        <w:numPr>
          <w:ilvl w:val="0"/>
          <w:numId w:val="1"/>
        </w:numPr>
        <w:spacing w:after="80" w:line="300"/>
      </w:pPr>
      <w:r>
        <w:rPr>
          <w:sz w:val="22"/>
          <w:szCs w:val="22"/>
        </w:rPr>
        <w:t xml:space="preserve">Need compliance-aware engineering</w:t>
      </w:r>
    </w:p>
    <w:p>
      <w:pPr>
        <w:pStyle w:val="ListParagraph"/>
        <w:numPr>
          <w:ilvl w:val="0"/>
          <w:numId w:val="1"/>
        </w:numPr>
        <w:spacing w:after="80" w:line="300"/>
      </w:pPr>
      <w:r>
        <w:rPr>
          <w:sz w:val="22"/>
          <w:szCs w:val="22"/>
        </w:rPr>
        <w:t xml:space="preserve">Want a U.S. account-team they can call</w:t>
      </w:r>
    </w:p>
    <w:p>
      <w:pPr>
        <w:pStyle w:val="Heading3"/>
        <w:spacing w:after="120" w:before="240"/>
      </w:pPr>
      <w:r>
        <w:t xml:space="preserve">Buying Behavior</w:t>
      </w:r>
    </w:p>
    <w:p>
      <w:pPr>
        <w:spacing w:after="160" w:line="320"/>
      </w:pPr>
      <w:r>
        <w:rPr>
          <w:sz w:val="22"/>
          <w:szCs w:val="22"/>
        </w:rPr>
        <w:t xml:space="preserve">Discovers via referrals, conferences, and inbound to the CodeWave website. Buys for 6-18 month engagements.</w:t>
      </w:r>
    </w:p>
    <w:p>
      <w:pPr>
        <w:pStyle w:val="Heading1"/>
        <w:pageBreakBefore/>
        <w:spacing w:after="240" w:before="480"/>
      </w:pPr>
      <w:r>
        <w:t xml:space="preserve">Marketing Strategy</w:t>
      </w:r>
    </w:p>
    <w:p>
      <w:pPr>
        <w:pStyle w:val="Heading2"/>
        <w:spacing w:after="180" w:before="360"/>
      </w:pPr>
      <w:r>
        <w:t xml:space="preserve">Positioning</w:t>
      </w:r>
    </w:p>
    <w:p>
      <w:pPr>
        <w:spacing w:after="160" w:line="320"/>
      </w:pPr>
      <w:r>
        <w:rPr>
          <w:sz w:val="22"/>
          <w:szCs w:val="22"/>
        </w:rPr>
        <w:t xml:space="preserve">European engineering rigor. U.S. delivery. Mid-market price.</w:t>
      </w:r>
    </w:p>
    <w:p>
      <w:pPr>
        <w:pStyle w:val="Heading2"/>
        <w:spacing w:after="180" w:before="360"/>
      </w:pPr>
      <w:r>
        <w:t xml:space="preserve">Marketing Channels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t xml:space="preserve">Channel</w:t>
            </w:r>
          </w:p>
        </w:tc>
        <w:tc>
          <w:tcPr>
            <w:tcW w:type="pct" w:w="25%"/>
          </w:tcPr>
          <w:p>
            <w:r>
              <w:rPr>
                <w:b/>
                <w:bCs/>
                <w:sz w:val="20"/>
                <w:szCs w:val="20"/>
              </w:rPr>
              <w:t xml:space="preserve">Strategy</w:t>
            </w:r>
          </w:p>
        </w:tc>
        <w:tc>
          <w:tcPr>
            <w:tcW w:type="pct" w:w="25%"/>
          </w:tcPr>
          <w:p>
            <w:r>
              <w:rPr>
                <w:b/>
                <w:bCs/>
                <w:sz w:val="20"/>
                <w:szCs w:val="20"/>
              </w:rPr>
              <w:t xml:space="preserve">Estimated CAC</w:t>
            </w:r>
          </w:p>
        </w:tc>
        <w:tc>
          <w:tcPr>
            <w:tcW w:type="pct" w:w="25%"/>
          </w:tcPr>
          <w:p>
            <w:r>
              <w:rPr>
                <w:b/>
                <w:bCs/>
                <w:sz w:val="20"/>
                <w:szCs w:val="20"/>
              </w:rPr>
              <w:t xml:space="preserve">Priority</w:t>
            </w:r>
          </w:p>
        </w:tc>
      </w:tr>
      <w:tr>
        <w:tc>
          <w:tcPr>
            <w:tcW w:type="pct" w:w="25%"/>
          </w:tcPr>
          <w:p>
            <w:r>
              <w:rPr>
                <w:sz w:val="20"/>
                <w:szCs w:val="20"/>
              </w:rPr>
              <w:t xml:space="preserve">Enterprise outbound sales</w:t>
            </w:r>
          </w:p>
        </w:tc>
        <w:tc>
          <w:tcPr>
            <w:tcW w:type="pct" w:w="25%"/>
          </w:tcPr>
          <w:p>
            <w:r>
              <w:rPr>
                <w:sz w:val="20"/>
                <w:szCs w:val="20"/>
              </w:rPr>
              <w:t xml:space="preserve">Direct outreach to Series A-C SaaS and mid-market financial services in Texas.</w:t>
            </w:r>
          </w:p>
        </w:tc>
        <w:tc>
          <w:tcPr>
            <w:tcW w:type="pct" w:w="25%"/>
          </w:tcPr>
          <w:p>
            <w:r>
              <w:rPr>
                <w:sz w:val="20"/>
                <w:szCs w:val="20"/>
              </w:rPr>
              <w:t xml:space="preserve">$2,500-$4,000 per closed account, $400K-$800K LTV</w:t>
            </w:r>
          </w:p>
        </w:tc>
        <w:tc>
          <w:tcPr>
            <w:tcW w:type="pct" w:w="25%"/>
          </w:tcPr>
          <w:p>
            <w:r>
              <w:rPr>
                <w:sz w:val="20"/>
                <w:szCs w:val="20"/>
              </w:rPr>
              <w:t xml:space="preserve">High</w:t>
            </w:r>
          </w:p>
        </w:tc>
      </w:tr>
      <w:tr>
        <w:tc>
          <w:tcPr>
            <w:tcW w:type="pct" w:w="25%"/>
          </w:tcPr>
          <w:p>
            <w:r>
              <w:rPr>
                <w:sz w:val="20"/>
                <w:szCs w:val="20"/>
              </w:rPr>
              <w:t xml:space="preserve">Conference and meetup presence</w:t>
            </w:r>
          </w:p>
        </w:tc>
        <w:tc>
          <w:tcPr>
            <w:tcW w:type="pct" w:w="25%"/>
          </w:tcPr>
          <w:p>
            <w:r>
              <w:rPr>
                <w:sz w:val="20"/>
                <w:szCs w:val="20"/>
              </w:rPr>
              <w:t xml:space="preserve">Sponsorship and speaker presence at Austin tech meetups, SaaStr, Money 20/20.</w:t>
            </w:r>
          </w:p>
        </w:tc>
        <w:tc>
          <w:tcPr>
            <w:tcW w:type="pct" w:w="25%"/>
          </w:tcPr>
          <w:p>
            <w:r>
              <w:rPr>
                <w:sz w:val="20"/>
                <w:szCs w:val="20"/>
              </w:rPr>
              <w:t xml:space="preserve">$1,800 per first-meeting, with 12-month conversion lag</w:t>
            </w:r>
          </w:p>
        </w:tc>
        <w:tc>
          <w:tcPr>
            <w:tcW w:type="pct" w:w="25%"/>
          </w:tcPr>
          <w:p>
            <w:r>
              <w:rPr>
                <w:sz w:val="20"/>
                <w:szCs w:val="20"/>
              </w:rPr>
              <w:t xml:space="preserve">Medium</w:t>
            </w:r>
          </w:p>
        </w:tc>
      </w:tr>
      <w:tr>
        <w:tc>
          <w:tcPr>
            <w:tcW w:type="pct" w:w="25%"/>
          </w:tcPr>
          <w:p>
            <w:r>
              <w:rPr>
                <w:sz w:val="20"/>
                <w:szCs w:val="20"/>
              </w:rPr>
              <w:t xml:space="preserve">Inbound content (CodeWave engineering blog)</w:t>
            </w:r>
          </w:p>
        </w:tc>
        <w:tc>
          <w:tcPr>
            <w:tcW w:type="pct" w:w="25%"/>
          </w:tcPr>
          <w:p>
            <w:r>
              <w:rPr>
                <w:sz w:val="20"/>
                <w:szCs w:val="20"/>
              </w:rPr>
              <w:t xml:space="preserve">Senior engineer-authored technical content on financial services compliance, AI engineering practices.</w:t>
            </w:r>
          </w:p>
        </w:tc>
        <w:tc>
          <w:tcPr>
            <w:tcW w:type="pct" w:w="25%"/>
          </w:tcPr>
          <w:p>
            <w:r>
              <w:rPr>
                <w:sz w:val="20"/>
                <w:szCs w:val="20"/>
              </w:rPr>
              <w:t xml:space="preserve">$800 per inbound lead</w:t>
            </w:r>
          </w:p>
        </w:tc>
        <w:tc>
          <w:tcPr>
            <w:tcW w:type="pct" w:w="25%"/>
          </w:tcPr>
          <w:p>
            <w:r>
              <w:rPr>
                <w:sz w:val="20"/>
                <w:szCs w:val="20"/>
              </w:rPr>
              <w:t xml:space="preserve">Medium</w:t>
            </w:r>
          </w:p>
        </w:tc>
      </w:tr>
    </w:tbl>
    <w:p>
      <w:pPr>
        <w:pStyle w:val="Heading2"/>
        <w:spacing w:after="180" w:before="360"/>
      </w:pPr>
      <w:r>
        <w:t xml:space="preserve">Content Strategy</w:t>
      </w:r>
    </w:p>
    <w:p>
      <w:pPr>
        <w:spacing w:after="160" w:line="320"/>
      </w:pPr>
      <w:r>
        <w:rPr>
          <w:sz w:val="22"/>
          <w:szCs w:val="22"/>
        </w:rPr>
        <w:t xml:space="preserve">Two technical blog posts per month authored by senior engineers; one customer case study per quarter.</w:t>
      </w:r>
    </w:p>
    <w:p>
      <w:pPr>
        <w:pStyle w:val="Heading2"/>
        <w:spacing w:after="180" w:before="360"/>
      </w:pPr>
      <w:r>
        <w:t xml:space="preserve">First 90 Days: Launch Plan</w:t>
      </w:r>
    </w:p>
    <w:p>
      <w:pPr>
        <w:spacing w:after="160" w:line="320"/>
      </w:pPr>
      <w:r>
        <w:rPr>
          <w:sz w:val="22"/>
          <w:szCs w:val="22"/>
        </w:rPr>
        <w:t xml:space="preserve">Q1: build pipeline through founder-led outreach. Q2: first delivery engagement, hire customer success manager. Q3: case study published, second engagement begins. Q4: second engineer hire, conference presence at SaaStr 2027.</w:t>
      </w:r>
    </w:p>
    <w:p>
      <w:pPr>
        <w:pStyle w:val="Heading1"/>
        <w:pageBreakBefore/>
        <w:spacing w:after="180" w:before="480"/>
      </w:pPr>
      <w:r>
        <w:rPr>
          <w:sz w:val="32"/>
          <w:szCs w:val="32"/>
        </w:rPr>
        <w:t xml:space="preserve">Expanded Financial Model</w:t>
      </w:r>
    </w:p>
    <w:p>
      <w:pPr>
        <w:spacing w:after="160" w:line="320"/>
      </w:pPr>
      <w:r>
        <w:rPr>
          <w:sz w:val="22"/>
          <w:szCs w:val="22"/>
        </w:rPr>
        <w:t xml:space="preserve">This section presents the five-year financial model for CodeWave US Inc.. The model is constructed bottom-up from the operating assumptions detailed in the Operations Plan and the revenue model in the Executive Summary. All currency figures are in US dollars.</w:t>
      </w:r>
    </w:p>
    <w:p>
      <w:pPr>
        <w:pStyle w:val="Heading2"/>
        <w:spacing w:after="180" w:before="360"/>
      </w:pPr>
      <w:r>
        <w:rPr>
          <w:sz w:val="26"/>
          <w:szCs w:val="26"/>
        </w:rPr>
        <w:t xml:space="preserve">7.1 Modeling assumptions</w:t>
      </w:r>
    </w:p>
    <w:p>
      <w:pPr>
        <w:spacing w:after="160" w:line="320"/>
      </w:pPr>
      <w:r>
        <w:rPr>
          <w:sz w:val="22"/>
          <w:szCs w:val="22"/>
        </w:rPr>
        <w:t xml:space="preserve">The financial model rests on the following assumptions, derived from Custom software development services industry benchmarks and the enterprise-specific operating model:</w:t>
      </w:r>
    </w:p>
    <w:p>
      <w:pPr>
        <w:pStyle w:val="ListParagraph"/>
        <w:numPr>
          <w:ilvl w:val="0"/>
          <w:numId w:val="1"/>
        </w:numPr>
        <w:spacing w:after="80" w:line="300"/>
      </w:pPr>
      <w:r>
        <w:rPr>
          <w:sz w:val="22"/>
          <w:szCs w:val="22"/>
        </w:rPr>
        <w:t xml:space="preserve">Average billable rate: $135 per hour blended</w:t>
      </w:r>
    </w:p>
    <w:p>
      <w:pPr>
        <w:pStyle w:val="ListParagraph"/>
        <w:numPr>
          <w:ilvl w:val="0"/>
          <w:numId w:val="1"/>
        </w:numPr>
        <w:spacing w:after="80" w:line="300"/>
      </w:pPr>
      <w:r>
        <w:rPr>
          <w:sz w:val="22"/>
          <w:szCs w:val="22"/>
        </w:rPr>
        <w:t xml:space="preserve">Senior engineer utilization: 72 percent in Y1, ramping to 80 percent Y3</w:t>
      </w:r>
    </w:p>
    <w:p>
      <w:pPr>
        <w:pStyle w:val="ListParagraph"/>
        <w:numPr>
          <w:ilvl w:val="0"/>
          <w:numId w:val="1"/>
        </w:numPr>
        <w:spacing w:after="80" w:line="300"/>
      </w:pPr>
      <w:r>
        <w:rPr>
          <w:sz w:val="22"/>
          <w:szCs w:val="22"/>
        </w:rPr>
        <w:t xml:space="preserve">Sales close rate from qualified pipeline: 22 percent</w:t>
      </w:r>
    </w:p>
    <w:p>
      <w:pPr>
        <w:pStyle w:val="ListParagraph"/>
        <w:numPr>
          <w:ilvl w:val="0"/>
          <w:numId w:val="1"/>
        </w:numPr>
        <w:spacing w:after="80" w:line="300"/>
      </w:pPr>
      <w:r>
        <w:rPr>
          <w:sz w:val="22"/>
          <w:szCs w:val="22"/>
        </w:rPr>
        <w:t xml:space="preserve">Y2 expansion driven by 4 additional senior roles plus first sales executive ramp</w:t>
      </w:r>
    </w:p>
    <w:p>
      <w:pPr>
        <w:pStyle w:val="ListParagraph"/>
        <w:numPr>
          <w:ilvl w:val="0"/>
          <w:numId w:val="1"/>
        </w:numPr>
        <w:spacing w:after="80" w:line="300"/>
      </w:pPr>
      <w:r>
        <w:rPr>
          <w:sz w:val="22"/>
          <w:szCs w:val="22"/>
        </w:rPr>
        <w:t xml:space="preserve">Foreign parent provides backup capacity (overflow delivery, holiday coverage) at internal transfer pricing</w:t>
      </w:r>
    </w:p>
    <w:p>
      <w:pPr>
        <w:spacing w:after="160" w:line="320"/>
      </w:pPr>
      <w:r>
        <w:rPr>
          <w:sz w:val="22"/>
          <w:szCs w:val="22"/>
        </w:rPr>
        <w:t xml:space="preserve">The model is presented in three scenarios: best case (revenue 25% above base), base case (most likely), and worst case (revenue 25% below base). Adjudicators reviewing the model should reference the base case for all eligibility analysis. The best-case and worst-case scenarios are provided for sensitivity analysis only.</w:t>
      </w:r>
    </w:p>
    <w:p>
      <w:pPr>
        <w:pStyle w:val="Heading2"/>
        <w:spacing w:after="180" w:before="360"/>
      </w:pPr>
      <w:r>
        <w:rPr>
          <w:sz w:val="26"/>
          <w:szCs w:val="26"/>
        </w:rPr>
        <w:t xml:space="preserve">7.2 Year 1 monthly profit and loss (base case)</w:t>
      </w:r>
    </w:p>
    <w:p>
      <w:pPr>
        <w:spacing w:after="160" w:line="320"/>
      </w:pPr>
      <w:r>
        <w:rPr>
          <w:sz w:val="22"/>
          <w:szCs w:val="22"/>
        </w:rPr>
        <w:t xml:space="preserve">The first year is presented monthly to demonstrate the cash-flow trajectory from launch through stabilization. Year 1 reflects a launch ramp followed by steady-state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Pr>
          <w:p>
            <w:r>
              <w:rPr>
                <w:b/>
                <w:bCs/>
                <w:sz w:val="20"/>
                <w:szCs w:val="20"/>
              </w:rPr>
            </w:r>
          </w:p>
        </w:tc>
        <w:tc>
          <w:tcPr>
            <w:tcW w:type="pct" w:w="20%"/>
          </w:tcPr>
          <w:p>
            <w:r>
              <w:rPr>
                <w:b/>
                <w:bCs/>
                <w:sz w:val="20"/>
                <w:szCs w:val="20"/>
              </w:rPr>
            </w:r>
          </w:p>
        </w:tc>
        <w:tc>
          <w:tcPr>
            <w:tcW w:type="pct" w:w="20%"/>
          </w:tcPr>
          <w:p>
            <w:r>
              <w:rPr>
                <w:b/>
                <w:bCs/>
                <w:sz w:val="20"/>
                <w:szCs w:val="20"/>
              </w:rPr>
            </w:r>
          </w:p>
        </w:tc>
        <w:tc>
          <w:tcPr>
            <w:tcW w:type="pct" w:w="20%"/>
          </w:tcPr>
          <w:p>
            <w:r>
              <w:rPr>
                <w:b/>
                <w:bCs/>
                <w:sz w:val="20"/>
                <w:szCs w:val="20"/>
              </w:rPr>
            </w:r>
          </w:p>
        </w:tc>
        <w:tc>
          <w:tcPr>
            <w:tcW w:type="pct" w:w="20%"/>
          </w:tcPr>
          <w:p>
            <w:r>
              <w:rPr>
                <w:b/>
                <w:bCs/>
                <w:sz w:val="20"/>
                <w:szCs w:val="20"/>
              </w:rPr>
            </w:r>
          </w:p>
        </w:tc>
      </w:tr>
      <w:tr>
        <w:tc>
          <w:tcPr>
            <w:tcW w:type="pct" w:w="20%"/>
          </w:tcPr>
          <w:p>
            <w:r>
              <w:rPr>
                <w:sz w:val="20"/>
                <w:szCs w:val="20"/>
              </w:rPr>
              <w:t xml:space="preserve">Month 1</w:t>
            </w:r>
          </w:p>
        </w:tc>
        <w:tc>
          <w:tcPr>
            <w:tcW w:type="pct" w:w="20%"/>
          </w:tcPr>
          <w:p>
            <w:r>
              <w:rPr>
                <w:sz w:val="20"/>
                <w:szCs w:val="20"/>
              </w:rPr>
              <w:t xml:space="preserve">{{m1_revenue}}</w:t>
            </w:r>
          </w:p>
        </w:tc>
        <w:tc>
          <w:tcPr>
            <w:tcW w:type="pct" w:w="20%"/>
          </w:tcPr>
          <w:p>
            <w:r>
              <w:rPr>
                <w:sz w:val="20"/>
                <w:szCs w:val="20"/>
              </w:rPr>
              <w:t xml:space="preserve">{{m1_costs}}</w:t>
            </w:r>
          </w:p>
        </w:tc>
        <w:tc>
          <w:tcPr>
            <w:tcW w:type="pct" w:w="20%"/>
          </w:tcPr>
          <w:p>
            <w:r>
              <w:rPr>
                <w:sz w:val="20"/>
                <w:szCs w:val="20"/>
              </w:rPr>
              <w:t xml:space="preserve">{{m1_net}}</w:t>
            </w:r>
          </w:p>
        </w:tc>
        <w:tc>
          <w:tcPr>
            <w:tcW w:type="pct" w:w="20%"/>
          </w:tcPr>
          <w:p>
            <w:r>
              <w:rPr>
                <w:sz w:val="20"/>
                <w:szCs w:val="20"/>
              </w:rPr>
              <w:t xml:space="preserve">{{m1_cumulative}}</w:t>
            </w:r>
          </w:p>
        </w:tc>
      </w:tr>
      <w:tr>
        <w:tc>
          <w:tcPr>
            <w:tcW w:type="pct" w:w="20%"/>
          </w:tcPr>
          <w:p>
            <w:r>
              <w:rPr>
                <w:sz w:val="20"/>
                <w:szCs w:val="20"/>
              </w:rPr>
              <w:t xml:space="preserve">Month 2</w:t>
            </w:r>
          </w:p>
        </w:tc>
        <w:tc>
          <w:tcPr>
            <w:tcW w:type="pct" w:w="20%"/>
          </w:tcPr>
          <w:p>
            <w:r>
              <w:rPr>
                <w:sz w:val="20"/>
                <w:szCs w:val="20"/>
              </w:rPr>
              <w:t xml:space="preserve">{{m2_revenue}}</w:t>
            </w:r>
          </w:p>
        </w:tc>
        <w:tc>
          <w:tcPr>
            <w:tcW w:type="pct" w:w="20%"/>
          </w:tcPr>
          <w:p>
            <w:r>
              <w:rPr>
                <w:sz w:val="20"/>
                <w:szCs w:val="20"/>
              </w:rPr>
              <w:t xml:space="preserve">{{m2_costs}}</w:t>
            </w:r>
          </w:p>
        </w:tc>
        <w:tc>
          <w:tcPr>
            <w:tcW w:type="pct" w:w="20%"/>
          </w:tcPr>
          <w:p>
            <w:r>
              <w:rPr>
                <w:sz w:val="20"/>
                <w:szCs w:val="20"/>
              </w:rPr>
              <w:t xml:space="preserve">{{m2_net}}</w:t>
            </w:r>
          </w:p>
        </w:tc>
        <w:tc>
          <w:tcPr>
            <w:tcW w:type="pct" w:w="20%"/>
          </w:tcPr>
          <w:p>
            <w:r>
              <w:rPr>
                <w:sz w:val="20"/>
                <w:szCs w:val="20"/>
              </w:rPr>
              <w:t xml:space="preserve">{{m2_cumulative}}</w:t>
            </w:r>
          </w:p>
        </w:tc>
      </w:tr>
      <w:tr>
        <w:tc>
          <w:tcPr>
            <w:tcW w:type="pct" w:w="20%"/>
          </w:tcPr>
          <w:p>
            <w:r>
              <w:rPr>
                <w:sz w:val="20"/>
                <w:szCs w:val="20"/>
              </w:rPr>
              <w:t xml:space="preserve">Month 3</w:t>
            </w:r>
          </w:p>
        </w:tc>
        <w:tc>
          <w:tcPr>
            <w:tcW w:type="pct" w:w="20%"/>
          </w:tcPr>
          <w:p>
            <w:r>
              <w:rPr>
                <w:sz w:val="20"/>
                <w:szCs w:val="20"/>
              </w:rPr>
              <w:t xml:space="preserve">{{m3_revenue}}</w:t>
            </w:r>
          </w:p>
        </w:tc>
        <w:tc>
          <w:tcPr>
            <w:tcW w:type="pct" w:w="20%"/>
          </w:tcPr>
          <w:p>
            <w:r>
              <w:rPr>
                <w:sz w:val="20"/>
                <w:szCs w:val="20"/>
              </w:rPr>
              <w:t xml:space="preserve">{{m3_costs}}</w:t>
            </w:r>
          </w:p>
        </w:tc>
        <w:tc>
          <w:tcPr>
            <w:tcW w:type="pct" w:w="20%"/>
          </w:tcPr>
          <w:p>
            <w:r>
              <w:rPr>
                <w:sz w:val="20"/>
                <w:szCs w:val="20"/>
              </w:rPr>
              <w:t xml:space="preserve">{{m3_net}}</w:t>
            </w:r>
          </w:p>
        </w:tc>
        <w:tc>
          <w:tcPr>
            <w:tcW w:type="pct" w:w="20%"/>
          </w:tcPr>
          <w:p>
            <w:r>
              <w:rPr>
                <w:sz w:val="20"/>
                <w:szCs w:val="20"/>
              </w:rPr>
              <w:t xml:space="preserve">{{m3_cumulative}}</w:t>
            </w:r>
          </w:p>
        </w:tc>
      </w:tr>
      <w:tr>
        <w:tc>
          <w:tcPr>
            <w:tcW w:type="pct" w:w="20%"/>
          </w:tcPr>
          <w:p>
            <w:r>
              <w:rPr>
                <w:sz w:val="20"/>
                <w:szCs w:val="20"/>
              </w:rPr>
              <w:t xml:space="preserve">Month 4</w:t>
            </w:r>
          </w:p>
        </w:tc>
        <w:tc>
          <w:tcPr>
            <w:tcW w:type="pct" w:w="20%"/>
          </w:tcPr>
          <w:p>
            <w:r>
              <w:rPr>
                <w:sz w:val="20"/>
                <w:szCs w:val="20"/>
              </w:rPr>
              <w:t xml:space="preserve">{{m4_revenue}}</w:t>
            </w:r>
          </w:p>
        </w:tc>
        <w:tc>
          <w:tcPr>
            <w:tcW w:type="pct" w:w="20%"/>
          </w:tcPr>
          <w:p>
            <w:r>
              <w:rPr>
                <w:sz w:val="20"/>
                <w:szCs w:val="20"/>
              </w:rPr>
              <w:t xml:space="preserve">{{m4_costs}}</w:t>
            </w:r>
          </w:p>
        </w:tc>
        <w:tc>
          <w:tcPr>
            <w:tcW w:type="pct" w:w="20%"/>
          </w:tcPr>
          <w:p>
            <w:r>
              <w:rPr>
                <w:sz w:val="20"/>
                <w:szCs w:val="20"/>
              </w:rPr>
              <w:t xml:space="preserve">{{m4_net}}</w:t>
            </w:r>
          </w:p>
        </w:tc>
        <w:tc>
          <w:tcPr>
            <w:tcW w:type="pct" w:w="20%"/>
          </w:tcPr>
          <w:p>
            <w:r>
              <w:rPr>
                <w:sz w:val="20"/>
                <w:szCs w:val="20"/>
              </w:rPr>
              <w:t xml:space="preserve">{{m4_cumulative}}</w:t>
            </w:r>
          </w:p>
        </w:tc>
      </w:tr>
      <w:tr>
        <w:tc>
          <w:tcPr>
            <w:tcW w:type="pct" w:w="20%"/>
          </w:tcPr>
          <w:p>
            <w:r>
              <w:rPr>
                <w:sz w:val="20"/>
                <w:szCs w:val="20"/>
              </w:rPr>
              <w:t xml:space="preserve">Month 5</w:t>
            </w:r>
          </w:p>
        </w:tc>
        <w:tc>
          <w:tcPr>
            <w:tcW w:type="pct" w:w="20%"/>
          </w:tcPr>
          <w:p>
            <w:r>
              <w:rPr>
                <w:sz w:val="20"/>
                <w:szCs w:val="20"/>
              </w:rPr>
              <w:t xml:space="preserve">{{m5_revenue}}</w:t>
            </w:r>
          </w:p>
        </w:tc>
        <w:tc>
          <w:tcPr>
            <w:tcW w:type="pct" w:w="20%"/>
          </w:tcPr>
          <w:p>
            <w:r>
              <w:rPr>
                <w:sz w:val="20"/>
                <w:szCs w:val="20"/>
              </w:rPr>
              <w:t xml:space="preserve">{{m5_costs}}</w:t>
            </w:r>
          </w:p>
        </w:tc>
        <w:tc>
          <w:tcPr>
            <w:tcW w:type="pct" w:w="20%"/>
          </w:tcPr>
          <w:p>
            <w:r>
              <w:rPr>
                <w:sz w:val="20"/>
                <w:szCs w:val="20"/>
              </w:rPr>
              <w:t xml:space="preserve">{{m5_net}}</w:t>
            </w:r>
          </w:p>
        </w:tc>
        <w:tc>
          <w:tcPr>
            <w:tcW w:type="pct" w:w="20%"/>
          </w:tcPr>
          <w:p>
            <w:r>
              <w:rPr>
                <w:sz w:val="20"/>
                <w:szCs w:val="20"/>
              </w:rPr>
              <w:t xml:space="preserve">{{m5_cumulative}}</w:t>
            </w:r>
          </w:p>
        </w:tc>
      </w:tr>
      <w:tr>
        <w:tc>
          <w:tcPr>
            <w:tcW w:type="pct" w:w="20%"/>
          </w:tcPr>
          <w:p>
            <w:r>
              <w:rPr>
                <w:sz w:val="20"/>
                <w:szCs w:val="20"/>
              </w:rPr>
              <w:t xml:space="preserve">Month 6</w:t>
            </w:r>
          </w:p>
        </w:tc>
        <w:tc>
          <w:tcPr>
            <w:tcW w:type="pct" w:w="20%"/>
          </w:tcPr>
          <w:p>
            <w:r>
              <w:rPr>
                <w:sz w:val="20"/>
                <w:szCs w:val="20"/>
              </w:rPr>
              <w:t xml:space="preserve">{{m6_revenue}}</w:t>
            </w:r>
          </w:p>
        </w:tc>
        <w:tc>
          <w:tcPr>
            <w:tcW w:type="pct" w:w="20%"/>
          </w:tcPr>
          <w:p>
            <w:r>
              <w:rPr>
                <w:sz w:val="20"/>
                <w:szCs w:val="20"/>
              </w:rPr>
              <w:t xml:space="preserve">{{m6_costs}}</w:t>
            </w:r>
          </w:p>
        </w:tc>
        <w:tc>
          <w:tcPr>
            <w:tcW w:type="pct" w:w="20%"/>
          </w:tcPr>
          <w:p>
            <w:r>
              <w:rPr>
                <w:sz w:val="20"/>
                <w:szCs w:val="20"/>
              </w:rPr>
              <w:t xml:space="preserve">{{m6_net}}</w:t>
            </w:r>
          </w:p>
        </w:tc>
        <w:tc>
          <w:tcPr>
            <w:tcW w:type="pct" w:w="20%"/>
          </w:tcPr>
          <w:p>
            <w:r>
              <w:rPr>
                <w:sz w:val="20"/>
                <w:szCs w:val="20"/>
              </w:rPr>
              <w:t xml:space="preserve">{{m6_cumulative}}</w:t>
            </w:r>
          </w:p>
        </w:tc>
      </w:tr>
      <w:tr>
        <w:tc>
          <w:tcPr>
            <w:tcW w:type="pct" w:w="20%"/>
          </w:tcPr>
          <w:p>
            <w:r>
              <w:rPr>
                <w:sz w:val="20"/>
                <w:szCs w:val="20"/>
              </w:rPr>
              <w:t xml:space="preserve">Month 7</w:t>
            </w:r>
          </w:p>
        </w:tc>
        <w:tc>
          <w:tcPr>
            <w:tcW w:type="pct" w:w="20%"/>
          </w:tcPr>
          <w:p>
            <w:r>
              <w:rPr>
                <w:sz w:val="20"/>
                <w:szCs w:val="20"/>
              </w:rPr>
              <w:t xml:space="preserve">{{m7_revenue}}</w:t>
            </w:r>
          </w:p>
        </w:tc>
        <w:tc>
          <w:tcPr>
            <w:tcW w:type="pct" w:w="20%"/>
          </w:tcPr>
          <w:p>
            <w:r>
              <w:rPr>
                <w:sz w:val="20"/>
                <w:szCs w:val="20"/>
              </w:rPr>
              <w:t xml:space="preserve">{{m7_costs}}</w:t>
            </w:r>
          </w:p>
        </w:tc>
        <w:tc>
          <w:tcPr>
            <w:tcW w:type="pct" w:w="20%"/>
          </w:tcPr>
          <w:p>
            <w:r>
              <w:rPr>
                <w:sz w:val="20"/>
                <w:szCs w:val="20"/>
              </w:rPr>
              <w:t xml:space="preserve">{{m7_net}}</w:t>
            </w:r>
          </w:p>
        </w:tc>
        <w:tc>
          <w:tcPr>
            <w:tcW w:type="pct" w:w="20%"/>
          </w:tcPr>
          <w:p>
            <w:r>
              <w:rPr>
                <w:sz w:val="20"/>
                <w:szCs w:val="20"/>
              </w:rPr>
              <w:t xml:space="preserve">{{m7_cumulative}}</w:t>
            </w:r>
          </w:p>
        </w:tc>
      </w:tr>
      <w:tr>
        <w:tc>
          <w:tcPr>
            <w:tcW w:type="pct" w:w="20%"/>
          </w:tcPr>
          <w:p>
            <w:r>
              <w:rPr>
                <w:sz w:val="20"/>
                <w:szCs w:val="20"/>
              </w:rPr>
              <w:t xml:space="preserve">Month 8</w:t>
            </w:r>
          </w:p>
        </w:tc>
        <w:tc>
          <w:tcPr>
            <w:tcW w:type="pct" w:w="20%"/>
          </w:tcPr>
          <w:p>
            <w:r>
              <w:rPr>
                <w:sz w:val="20"/>
                <w:szCs w:val="20"/>
              </w:rPr>
              <w:t xml:space="preserve">{{m8_revenue}}</w:t>
            </w:r>
          </w:p>
        </w:tc>
        <w:tc>
          <w:tcPr>
            <w:tcW w:type="pct" w:w="20%"/>
          </w:tcPr>
          <w:p>
            <w:r>
              <w:rPr>
                <w:sz w:val="20"/>
                <w:szCs w:val="20"/>
              </w:rPr>
              <w:t xml:space="preserve">{{m8_costs}}</w:t>
            </w:r>
          </w:p>
        </w:tc>
        <w:tc>
          <w:tcPr>
            <w:tcW w:type="pct" w:w="20%"/>
          </w:tcPr>
          <w:p>
            <w:r>
              <w:rPr>
                <w:sz w:val="20"/>
                <w:szCs w:val="20"/>
              </w:rPr>
              <w:t xml:space="preserve">{{m8_net}}</w:t>
            </w:r>
          </w:p>
        </w:tc>
        <w:tc>
          <w:tcPr>
            <w:tcW w:type="pct" w:w="20%"/>
          </w:tcPr>
          <w:p>
            <w:r>
              <w:rPr>
                <w:sz w:val="20"/>
                <w:szCs w:val="20"/>
              </w:rPr>
              <w:t xml:space="preserve">{{m8_cumulative}}</w:t>
            </w:r>
          </w:p>
        </w:tc>
      </w:tr>
      <w:tr>
        <w:tc>
          <w:tcPr>
            <w:tcW w:type="pct" w:w="20%"/>
          </w:tcPr>
          <w:p>
            <w:r>
              <w:rPr>
                <w:sz w:val="20"/>
                <w:szCs w:val="20"/>
              </w:rPr>
              <w:t xml:space="preserve">Month 9</w:t>
            </w:r>
          </w:p>
        </w:tc>
        <w:tc>
          <w:tcPr>
            <w:tcW w:type="pct" w:w="20%"/>
          </w:tcPr>
          <w:p>
            <w:r>
              <w:rPr>
                <w:sz w:val="20"/>
                <w:szCs w:val="20"/>
              </w:rPr>
              <w:t xml:space="preserve">{{m9_revenue}}</w:t>
            </w:r>
          </w:p>
        </w:tc>
        <w:tc>
          <w:tcPr>
            <w:tcW w:type="pct" w:w="20%"/>
          </w:tcPr>
          <w:p>
            <w:r>
              <w:rPr>
                <w:sz w:val="20"/>
                <w:szCs w:val="20"/>
              </w:rPr>
              <w:t xml:space="preserve">{{m9_costs}}</w:t>
            </w:r>
          </w:p>
        </w:tc>
        <w:tc>
          <w:tcPr>
            <w:tcW w:type="pct" w:w="20%"/>
          </w:tcPr>
          <w:p>
            <w:r>
              <w:rPr>
                <w:sz w:val="20"/>
                <w:szCs w:val="20"/>
              </w:rPr>
              <w:t xml:space="preserve">{{m9_net}}</w:t>
            </w:r>
          </w:p>
        </w:tc>
        <w:tc>
          <w:tcPr>
            <w:tcW w:type="pct" w:w="20%"/>
          </w:tcPr>
          <w:p>
            <w:r>
              <w:rPr>
                <w:sz w:val="20"/>
                <w:szCs w:val="20"/>
              </w:rPr>
              <w:t xml:space="preserve">{{m9_cumulative}}</w:t>
            </w:r>
          </w:p>
        </w:tc>
      </w:tr>
      <w:tr>
        <w:tc>
          <w:tcPr>
            <w:tcW w:type="pct" w:w="20%"/>
          </w:tcPr>
          <w:p>
            <w:r>
              <w:rPr>
                <w:sz w:val="20"/>
                <w:szCs w:val="20"/>
              </w:rPr>
              <w:t xml:space="preserve">Month 10</w:t>
            </w:r>
          </w:p>
        </w:tc>
        <w:tc>
          <w:tcPr>
            <w:tcW w:type="pct" w:w="20%"/>
          </w:tcPr>
          <w:p>
            <w:r>
              <w:rPr>
                <w:sz w:val="20"/>
                <w:szCs w:val="20"/>
              </w:rPr>
              <w:t xml:space="preserve">{{m10_revenue}}</w:t>
            </w:r>
          </w:p>
        </w:tc>
        <w:tc>
          <w:tcPr>
            <w:tcW w:type="pct" w:w="20%"/>
          </w:tcPr>
          <w:p>
            <w:r>
              <w:rPr>
                <w:sz w:val="20"/>
                <w:szCs w:val="20"/>
              </w:rPr>
              <w:t xml:space="preserve">{{m10_costs}}</w:t>
            </w:r>
          </w:p>
        </w:tc>
        <w:tc>
          <w:tcPr>
            <w:tcW w:type="pct" w:w="20%"/>
          </w:tcPr>
          <w:p>
            <w:r>
              <w:rPr>
                <w:sz w:val="20"/>
                <w:szCs w:val="20"/>
              </w:rPr>
              <w:t xml:space="preserve">{{m10_net}}</w:t>
            </w:r>
          </w:p>
        </w:tc>
        <w:tc>
          <w:tcPr>
            <w:tcW w:type="pct" w:w="20%"/>
          </w:tcPr>
          <w:p>
            <w:r>
              <w:rPr>
                <w:sz w:val="20"/>
                <w:szCs w:val="20"/>
              </w:rPr>
              <w:t xml:space="preserve">{{m10_cumulative}}</w:t>
            </w:r>
          </w:p>
        </w:tc>
      </w:tr>
      <w:tr>
        <w:tc>
          <w:tcPr>
            <w:tcW w:type="pct" w:w="20%"/>
          </w:tcPr>
          <w:p>
            <w:r>
              <w:rPr>
                <w:sz w:val="20"/>
                <w:szCs w:val="20"/>
              </w:rPr>
              <w:t xml:space="preserve">Month 11</w:t>
            </w:r>
          </w:p>
        </w:tc>
        <w:tc>
          <w:tcPr>
            <w:tcW w:type="pct" w:w="20%"/>
          </w:tcPr>
          <w:p>
            <w:r>
              <w:rPr>
                <w:sz w:val="20"/>
                <w:szCs w:val="20"/>
              </w:rPr>
              <w:t xml:space="preserve">{{m11_revenue}}</w:t>
            </w:r>
          </w:p>
        </w:tc>
        <w:tc>
          <w:tcPr>
            <w:tcW w:type="pct" w:w="20%"/>
          </w:tcPr>
          <w:p>
            <w:r>
              <w:rPr>
                <w:sz w:val="20"/>
                <w:szCs w:val="20"/>
              </w:rPr>
              <w:t xml:space="preserve">{{m11_costs}}</w:t>
            </w:r>
          </w:p>
        </w:tc>
        <w:tc>
          <w:tcPr>
            <w:tcW w:type="pct" w:w="20%"/>
          </w:tcPr>
          <w:p>
            <w:r>
              <w:rPr>
                <w:sz w:val="20"/>
                <w:szCs w:val="20"/>
              </w:rPr>
              <w:t xml:space="preserve">{{m11_net}}</w:t>
            </w:r>
          </w:p>
        </w:tc>
        <w:tc>
          <w:tcPr>
            <w:tcW w:type="pct" w:w="20%"/>
          </w:tcPr>
          <w:p>
            <w:r>
              <w:rPr>
                <w:sz w:val="20"/>
                <w:szCs w:val="20"/>
              </w:rPr>
              <w:t xml:space="preserve">{{m11_cumulative}}</w:t>
            </w:r>
          </w:p>
        </w:tc>
      </w:tr>
      <w:tr>
        <w:tc>
          <w:tcPr>
            <w:tcW w:type="pct" w:w="20%"/>
          </w:tcPr>
          <w:p>
            <w:r>
              <w:rPr>
                <w:sz w:val="20"/>
                <w:szCs w:val="20"/>
              </w:rPr>
              <w:t xml:space="preserve">Month 12</w:t>
            </w:r>
          </w:p>
        </w:tc>
        <w:tc>
          <w:tcPr>
            <w:tcW w:type="pct" w:w="20%"/>
          </w:tcPr>
          <w:p>
            <w:r>
              <w:rPr>
                <w:sz w:val="20"/>
                <w:szCs w:val="20"/>
              </w:rPr>
              <w:t xml:space="preserve">{{m12_revenue}}</w:t>
            </w:r>
          </w:p>
        </w:tc>
        <w:tc>
          <w:tcPr>
            <w:tcW w:type="pct" w:w="20%"/>
          </w:tcPr>
          <w:p>
            <w:r>
              <w:rPr>
                <w:sz w:val="20"/>
                <w:szCs w:val="20"/>
              </w:rPr>
              <w:t xml:space="preserve">{{m12_costs}}</w:t>
            </w:r>
          </w:p>
        </w:tc>
        <w:tc>
          <w:tcPr>
            <w:tcW w:type="pct" w:w="20%"/>
          </w:tcPr>
          <w:p>
            <w:r>
              <w:rPr>
                <w:sz w:val="20"/>
                <w:szCs w:val="20"/>
              </w:rPr>
              <w:t xml:space="preserve">{{m12_net}}</w:t>
            </w:r>
          </w:p>
        </w:tc>
        <w:tc>
          <w:tcPr>
            <w:tcW w:type="pct" w:w="20%"/>
          </w:tcPr>
          <w:p>
            <w:r>
              <w:rPr>
                <w:sz w:val="20"/>
                <w:szCs w:val="20"/>
              </w:rPr>
              <w:t xml:space="preserve">{{m12_cumulative}}</w:t>
            </w:r>
          </w:p>
        </w:tc>
      </w:tr>
      <w:tr>
        <w:tc>
          <w:tcPr>
            <w:tcW w:type="pct" w:w="20%"/>
          </w:tcPr>
          <w:p>
            <w:r>
              <w:rPr>
                <w:b/>
                <w:bCs/>
                <w:sz w:val="20"/>
                <w:szCs w:val="20"/>
              </w:rPr>
              <w:t xml:space="preserve">Year 1 total</w:t>
            </w:r>
          </w:p>
        </w:tc>
        <w:tc>
          <w:tcPr>
            <w:tcW w:type="pct" w:w="20%"/>
          </w:tcPr>
          <w:p>
            <w:r>
              <w:rPr>
                <w:b/>
                <w:bCs/>
                <w:sz w:val="20"/>
                <w:szCs w:val="20"/>
              </w:rPr>
              <w:t xml:space="preserve">{{y1_revenue}}</w:t>
            </w:r>
          </w:p>
        </w:tc>
        <w:tc>
          <w:tcPr>
            <w:tcW w:type="pct" w:w="20%"/>
          </w:tcPr>
          <w:p>
            <w:r>
              <w:rPr>
                <w:b/>
                <w:bCs/>
                <w:sz w:val="20"/>
                <w:szCs w:val="20"/>
              </w:rPr>
              <w:t xml:space="preserve">{{y1_costs}}</w:t>
            </w:r>
          </w:p>
        </w:tc>
        <w:tc>
          <w:tcPr>
            <w:tcW w:type="pct" w:w="20%"/>
          </w:tcPr>
          <w:p>
            <w:r>
              <w:rPr>
                <w:b/>
                <w:bCs/>
                <w:sz w:val="20"/>
                <w:szCs w:val="20"/>
              </w:rPr>
              <w:t xml:space="preserve">{{y1_net}}</w:t>
            </w:r>
          </w:p>
        </w:tc>
        <w:tc>
          <w:tcPr>
            <w:tcW w:type="pct" w:w="20%"/>
          </w:tcPr>
          <w:p>
            <w:r>
              <w:rPr>
                <w:sz w:val="20"/>
                <w:szCs w:val="20"/>
              </w:rPr>
              <w:t xml:space="preserve">-</w:t>
            </w:r>
          </w:p>
        </w:tc>
      </w:tr>
    </w:tbl>
    <w:p>
      <w:pPr>
        <w:spacing w:after="160" w:line="320"/>
      </w:pPr>
      <w:r>
        <w:rPr>
          <w:b/>
          <w:bCs/>
          <w:sz w:val="22"/>
          <w:szCs w:val="22"/>
        </w:rPr>
        <w:t xml:space="preserve">Year 1 break-even month:</w:t>
      </w:r>
      <w:r>
        <w:rPr>
          <w:sz w:val="22"/>
          <w:szCs w:val="22"/>
        </w:rPr>
        <w:t xml:space="preserve"> Month 11</w:t>
      </w:r>
    </w:p>
    <w:p>
      <w:pPr>
        <w:spacing w:after="160" w:line="320"/>
      </w:pPr>
      <w:r>
        <w:rPr>
          <w:sz w:val="22"/>
          <w:szCs w:val="22"/>
        </w:rPr>
        <w:t xml:space="preserve">{{year1</w:t>
      </w:r>
      <w:r>
        <w:rPr>
          <w:i/>
          <w:iCs/>
          <w:sz w:val="22"/>
          <w:szCs w:val="22"/>
        </w:rPr>
        <w:t xml:space="preserve">narrative</w:t>
      </w:r>
      <w:r>
        <w:rPr>
          <w:sz w:val="22"/>
          <w:szCs w:val="22"/>
        </w:rPr>
        <w:t xml:space="preserve">paragraph}}</w:t>
      </w:r>
    </w:p>
    <w:p>
      <w:pPr>
        <w:pStyle w:val="Heading2"/>
        <w:spacing w:after="180" w:before="360"/>
      </w:pPr>
      <w:r>
        <w:rPr>
          <w:sz w:val="26"/>
          <w:szCs w:val="26"/>
        </w:rPr>
        <w:t xml:space="preserve">7.3 Years 2-5 quarterly profit and loss (base case)</w:t>
      </w:r>
    </w:p>
    <w:p>
      <w:pPr>
        <w:spacing w:after="160" w:line="320"/>
      </w:pPr>
      <w:r>
        <w:rPr>
          <w:sz w:val="22"/>
          <w:szCs w:val="22"/>
        </w:rPr>
        <w:t xml:space="preserve">Years 2 through 5 are presented quarterly. The quarterly view captures seasonality where applicable and demonstrates revenue stability beyond the launch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r>
      <w:tr>
        <w:tc>
          <w:tcPr>
            <w:tcW w:type="pct" w:w="25%"/>
          </w:tcPr>
          <w:p>
            <w:r>
              <w:rPr>
                <w:sz w:val="20"/>
                <w:szCs w:val="20"/>
              </w:rPr>
              <w:t xml:space="preserve">Y2 Q1</w:t>
            </w:r>
          </w:p>
        </w:tc>
        <w:tc>
          <w:tcPr>
            <w:tcW w:type="pct" w:w="25%"/>
          </w:tcPr>
          <w:p>
            <w:r>
              <w:rPr>
                <w:sz w:val="20"/>
                <w:szCs w:val="20"/>
              </w:rPr>
              <w:t xml:space="preserve">{{y2q1_revenue}}</w:t>
            </w:r>
          </w:p>
        </w:tc>
        <w:tc>
          <w:tcPr>
            <w:tcW w:type="pct" w:w="25%"/>
          </w:tcPr>
          <w:p>
            <w:r>
              <w:rPr>
                <w:sz w:val="20"/>
                <w:szCs w:val="20"/>
              </w:rPr>
              <w:t xml:space="preserve">{{y2q1_costs}}</w:t>
            </w:r>
          </w:p>
        </w:tc>
        <w:tc>
          <w:tcPr>
            <w:tcW w:type="pct" w:w="25%"/>
          </w:tcPr>
          <w:p>
            <w:r>
              <w:rPr>
                <w:sz w:val="20"/>
                <w:szCs w:val="20"/>
              </w:rPr>
              <w:t xml:space="preserve">{{y2q1_net}}</w:t>
            </w:r>
          </w:p>
        </w:tc>
      </w:tr>
      <w:tr>
        <w:tc>
          <w:tcPr>
            <w:tcW w:type="pct" w:w="25%"/>
          </w:tcPr>
          <w:p>
            <w:r>
              <w:rPr>
                <w:sz w:val="20"/>
                <w:szCs w:val="20"/>
              </w:rPr>
              <w:t xml:space="preserve">Y2 Q2</w:t>
            </w:r>
          </w:p>
        </w:tc>
        <w:tc>
          <w:tcPr>
            <w:tcW w:type="pct" w:w="25%"/>
          </w:tcPr>
          <w:p>
            <w:r>
              <w:rPr>
                <w:sz w:val="20"/>
                <w:szCs w:val="20"/>
              </w:rPr>
              <w:t xml:space="preserve">{{y2q2_revenue}}</w:t>
            </w:r>
          </w:p>
        </w:tc>
        <w:tc>
          <w:tcPr>
            <w:tcW w:type="pct" w:w="25%"/>
          </w:tcPr>
          <w:p>
            <w:r>
              <w:rPr>
                <w:sz w:val="20"/>
                <w:szCs w:val="20"/>
              </w:rPr>
              <w:t xml:space="preserve">{{y2q2_costs}}</w:t>
            </w:r>
          </w:p>
        </w:tc>
        <w:tc>
          <w:tcPr>
            <w:tcW w:type="pct" w:w="25%"/>
          </w:tcPr>
          <w:p>
            <w:r>
              <w:rPr>
                <w:sz w:val="20"/>
                <w:szCs w:val="20"/>
              </w:rPr>
              <w:t xml:space="preserve">{{y2q2_net}}</w:t>
            </w:r>
          </w:p>
        </w:tc>
      </w:tr>
      <w:tr>
        <w:tc>
          <w:tcPr>
            <w:tcW w:type="pct" w:w="25%"/>
          </w:tcPr>
          <w:p>
            <w:r>
              <w:rPr>
                <w:sz w:val="20"/>
                <w:szCs w:val="20"/>
              </w:rPr>
              <w:t xml:space="preserve">Y2 Q3</w:t>
            </w:r>
          </w:p>
        </w:tc>
        <w:tc>
          <w:tcPr>
            <w:tcW w:type="pct" w:w="25%"/>
          </w:tcPr>
          <w:p>
            <w:r>
              <w:rPr>
                <w:sz w:val="20"/>
                <w:szCs w:val="20"/>
              </w:rPr>
              <w:t xml:space="preserve">{{y2q3_revenue}}</w:t>
            </w:r>
          </w:p>
        </w:tc>
        <w:tc>
          <w:tcPr>
            <w:tcW w:type="pct" w:w="25%"/>
          </w:tcPr>
          <w:p>
            <w:r>
              <w:rPr>
                <w:sz w:val="20"/>
                <w:szCs w:val="20"/>
              </w:rPr>
              <w:t xml:space="preserve">{{y2q3_costs}}</w:t>
            </w:r>
          </w:p>
        </w:tc>
        <w:tc>
          <w:tcPr>
            <w:tcW w:type="pct" w:w="25%"/>
          </w:tcPr>
          <w:p>
            <w:r>
              <w:rPr>
                <w:sz w:val="20"/>
                <w:szCs w:val="20"/>
              </w:rPr>
              <w:t xml:space="preserve">{{y2q3_net}}</w:t>
            </w:r>
          </w:p>
        </w:tc>
      </w:tr>
      <w:tr>
        <w:tc>
          <w:tcPr>
            <w:tcW w:type="pct" w:w="25%"/>
          </w:tcPr>
          <w:p>
            <w:r>
              <w:rPr>
                <w:sz w:val="20"/>
                <w:szCs w:val="20"/>
              </w:rPr>
              <w:t xml:space="preserve">Y2 Q4</w:t>
            </w:r>
          </w:p>
        </w:tc>
        <w:tc>
          <w:tcPr>
            <w:tcW w:type="pct" w:w="25%"/>
          </w:tcPr>
          <w:p>
            <w:r>
              <w:rPr>
                <w:sz w:val="20"/>
                <w:szCs w:val="20"/>
              </w:rPr>
              <w:t xml:space="preserve">{{y2q4_revenue}}</w:t>
            </w:r>
          </w:p>
        </w:tc>
        <w:tc>
          <w:tcPr>
            <w:tcW w:type="pct" w:w="25%"/>
          </w:tcPr>
          <w:p>
            <w:r>
              <w:rPr>
                <w:sz w:val="20"/>
                <w:szCs w:val="20"/>
              </w:rPr>
              <w:t xml:space="preserve">{{y2q4_costs}}</w:t>
            </w:r>
          </w:p>
        </w:tc>
        <w:tc>
          <w:tcPr>
            <w:tcW w:type="pct" w:w="25%"/>
          </w:tcPr>
          <w:p>
            <w:r>
              <w:rPr>
                <w:sz w:val="20"/>
                <w:szCs w:val="20"/>
              </w:rPr>
              <w:t xml:space="preserve">{{y2q4_net}}</w:t>
            </w:r>
          </w:p>
        </w:tc>
      </w:tr>
      <w:tr>
        <w:tc>
          <w:tcPr>
            <w:tcW w:type="pct" w:w="25%"/>
          </w:tcPr>
          <w:p>
            <w:r>
              <w:rPr>
                <w:b/>
                <w:bCs/>
                <w:sz w:val="20"/>
                <w:szCs w:val="20"/>
              </w:rPr>
              <w:t xml:space="preserve">Year 2 total</w:t>
            </w:r>
          </w:p>
        </w:tc>
        <w:tc>
          <w:tcPr>
            <w:tcW w:type="pct" w:w="25%"/>
          </w:tcPr>
          <w:p>
            <w:r>
              <w:rPr>
                <w:b/>
                <w:bCs/>
                <w:sz w:val="20"/>
                <w:szCs w:val="20"/>
              </w:rPr>
              <w:t xml:space="preserve">{{y2_revenue}}</w:t>
            </w:r>
          </w:p>
        </w:tc>
        <w:tc>
          <w:tcPr>
            <w:tcW w:type="pct" w:w="25%"/>
          </w:tcPr>
          <w:p>
            <w:r>
              <w:rPr>
                <w:b/>
                <w:bCs/>
                <w:sz w:val="20"/>
                <w:szCs w:val="20"/>
              </w:rPr>
              <w:t xml:space="preserve">{{y2_costs}}</w:t>
            </w:r>
          </w:p>
        </w:tc>
        <w:tc>
          <w:tcPr>
            <w:tcW w:type="pct" w:w="25%"/>
          </w:tcPr>
          <w:p>
            <w:r>
              <w:rPr>
                <w:b/>
                <w:bCs/>
                <w:sz w:val="20"/>
                <w:szCs w:val="20"/>
              </w:rPr>
              <w:t xml:space="preserve">{{y2_net}}</w:t>
            </w:r>
          </w:p>
        </w:tc>
      </w:tr>
      <w:tr>
        <w:tc>
          <w:tcPr>
            <w:tcW w:type="pct" w:w="25%"/>
          </w:tcPr>
          <w:p>
            <w:r>
              <w:rPr>
                <w:sz w:val="20"/>
                <w:szCs w:val="20"/>
              </w:rPr>
              <w:t xml:space="preserve">Y3 Q1</w:t>
            </w:r>
          </w:p>
        </w:tc>
        <w:tc>
          <w:tcPr>
            <w:tcW w:type="pct" w:w="25%"/>
          </w:tcPr>
          <w:p>
            <w:r>
              <w:rPr>
                <w:sz w:val="20"/>
                <w:szCs w:val="20"/>
              </w:rPr>
              <w:t xml:space="preserve">{{y3q1_revenue}}</w:t>
            </w:r>
          </w:p>
        </w:tc>
        <w:tc>
          <w:tcPr>
            <w:tcW w:type="pct" w:w="25%"/>
          </w:tcPr>
          <w:p>
            <w:r>
              <w:rPr>
                <w:sz w:val="20"/>
                <w:szCs w:val="20"/>
              </w:rPr>
              <w:t xml:space="preserve">{{y3q1_costs}}</w:t>
            </w:r>
          </w:p>
        </w:tc>
        <w:tc>
          <w:tcPr>
            <w:tcW w:type="pct" w:w="25%"/>
          </w:tcPr>
          <w:p>
            <w:r>
              <w:rPr>
                <w:sz w:val="20"/>
                <w:szCs w:val="20"/>
              </w:rPr>
              <w:t xml:space="preserve">{{y3q1_net}}</w:t>
            </w:r>
          </w:p>
        </w:tc>
      </w:tr>
      <w:tr>
        <w:tc>
          <w:tcPr>
            <w:tcW w:type="pct" w:w="25%"/>
          </w:tcPr>
          <w:p>
            <w:r>
              <w:rPr>
                <w:sz w:val="20"/>
                <w:szCs w:val="20"/>
              </w:rPr>
              <w:t xml:space="preserve">Y3 Q2</w:t>
            </w:r>
          </w:p>
        </w:tc>
        <w:tc>
          <w:tcPr>
            <w:tcW w:type="pct" w:w="25%"/>
          </w:tcPr>
          <w:p>
            <w:r>
              <w:rPr>
                <w:sz w:val="20"/>
                <w:szCs w:val="20"/>
              </w:rPr>
              <w:t xml:space="preserve">{{y3q2_revenue}}</w:t>
            </w:r>
          </w:p>
        </w:tc>
        <w:tc>
          <w:tcPr>
            <w:tcW w:type="pct" w:w="25%"/>
          </w:tcPr>
          <w:p>
            <w:r>
              <w:rPr>
                <w:sz w:val="20"/>
                <w:szCs w:val="20"/>
              </w:rPr>
              <w:t xml:space="preserve">{{y3q2_costs}}</w:t>
            </w:r>
          </w:p>
        </w:tc>
        <w:tc>
          <w:tcPr>
            <w:tcW w:type="pct" w:w="25%"/>
          </w:tcPr>
          <w:p>
            <w:r>
              <w:rPr>
                <w:sz w:val="20"/>
                <w:szCs w:val="20"/>
              </w:rPr>
              <w:t xml:space="preserve">{{y3q2_net}}</w:t>
            </w:r>
          </w:p>
        </w:tc>
      </w:tr>
      <w:tr>
        <w:tc>
          <w:tcPr>
            <w:tcW w:type="pct" w:w="25%"/>
          </w:tcPr>
          <w:p>
            <w:r>
              <w:rPr>
                <w:sz w:val="20"/>
                <w:szCs w:val="20"/>
              </w:rPr>
              <w:t xml:space="preserve">Y3 Q3</w:t>
            </w:r>
          </w:p>
        </w:tc>
        <w:tc>
          <w:tcPr>
            <w:tcW w:type="pct" w:w="25%"/>
          </w:tcPr>
          <w:p>
            <w:r>
              <w:rPr>
                <w:sz w:val="20"/>
                <w:szCs w:val="20"/>
              </w:rPr>
              <w:t xml:space="preserve">{{y3q3_revenue}}</w:t>
            </w:r>
          </w:p>
        </w:tc>
        <w:tc>
          <w:tcPr>
            <w:tcW w:type="pct" w:w="25%"/>
          </w:tcPr>
          <w:p>
            <w:r>
              <w:rPr>
                <w:sz w:val="20"/>
                <w:szCs w:val="20"/>
              </w:rPr>
              <w:t xml:space="preserve">{{y3q3_costs}}</w:t>
            </w:r>
          </w:p>
        </w:tc>
        <w:tc>
          <w:tcPr>
            <w:tcW w:type="pct" w:w="25%"/>
          </w:tcPr>
          <w:p>
            <w:r>
              <w:rPr>
                <w:sz w:val="20"/>
                <w:szCs w:val="20"/>
              </w:rPr>
              <w:t xml:space="preserve">{{y3q3_net}}</w:t>
            </w:r>
          </w:p>
        </w:tc>
      </w:tr>
      <w:tr>
        <w:tc>
          <w:tcPr>
            <w:tcW w:type="pct" w:w="25%"/>
          </w:tcPr>
          <w:p>
            <w:r>
              <w:rPr>
                <w:sz w:val="20"/>
                <w:szCs w:val="20"/>
              </w:rPr>
              <w:t xml:space="preserve">Y3 Q4</w:t>
            </w:r>
          </w:p>
        </w:tc>
        <w:tc>
          <w:tcPr>
            <w:tcW w:type="pct" w:w="25%"/>
          </w:tcPr>
          <w:p>
            <w:r>
              <w:rPr>
                <w:sz w:val="20"/>
                <w:szCs w:val="20"/>
              </w:rPr>
              <w:t xml:space="preserve">{{y3q4_revenue}}</w:t>
            </w:r>
          </w:p>
        </w:tc>
        <w:tc>
          <w:tcPr>
            <w:tcW w:type="pct" w:w="25%"/>
          </w:tcPr>
          <w:p>
            <w:r>
              <w:rPr>
                <w:sz w:val="20"/>
                <w:szCs w:val="20"/>
              </w:rPr>
              <w:t xml:space="preserve">{{y3q4_costs}}</w:t>
            </w:r>
          </w:p>
        </w:tc>
        <w:tc>
          <w:tcPr>
            <w:tcW w:type="pct" w:w="25%"/>
          </w:tcPr>
          <w:p>
            <w:r>
              <w:rPr>
                <w:sz w:val="20"/>
                <w:szCs w:val="20"/>
              </w:rPr>
              <w:t xml:space="preserve">{{y3q4_net}}</w:t>
            </w:r>
          </w:p>
        </w:tc>
      </w:tr>
      <w:tr>
        <w:tc>
          <w:tcPr>
            <w:tcW w:type="pct" w:w="25%"/>
          </w:tcPr>
          <w:p>
            <w:r>
              <w:rPr>
                <w:b/>
                <w:bCs/>
                <w:sz w:val="20"/>
                <w:szCs w:val="20"/>
              </w:rPr>
              <w:t xml:space="preserve">Year 3 total</w:t>
            </w:r>
          </w:p>
        </w:tc>
        <w:tc>
          <w:tcPr>
            <w:tcW w:type="pct" w:w="25%"/>
          </w:tcPr>
          <w:p>
            <w:r>
              <w:rPr>
                <w:b/>
                <w:bCs/>
                <w:sz w:val="20"/>
                <w:szCs w:val="20"/>
              </w:rPr>
              <w:t xml:space="preserve">{{y3_revenue}}</w:t>
            </w:r>
          </w:p>
        </w:tc>
        <w:tc>
          <w:tcPr>
            <w:tcW w:type="pct" w:w="25%"/>
          </w:tcPr>
          <w:p>
            <w:r>
              <w:rPr>
                <w:b/>
                <w:bCs/>
                <w:sz w:val="20"/>
                <w:szCs w:val="20"/>
              </w:rPr>
              <w:t xml:space="preserve">{{y3_costs}}</w:t>
            </w:r>
          </w:p>
        </w:tc>
        <w:tc>
          <w:tcPr>
            <w:tcW w:type="pct" w:w="25%"/>
          </w:tcPr>
          <w:p>
            <w:r>
              <w:rPr>
                <w:b/>
                <w:bCs/>
                <w:sz w:val="20"/>
                <w:szCs w:val="20"/>
              </w:rPr>
              <w:t xml:space="preserve">{{y3_net}}</w:t>
            </w:r>
          </w:p>
        </w:tc>
      </w:tr>
      <w:tr>
        <w:tc>
          <w:tcPr>
            <w:tcW w:type="pct" w:w="25%"/>
          </w:tcPr>
          <w:p>
            <w:r>
              <w:rPr>
                <w:sz w:val="20"/>
                <w:szCs w:val="20"/>
              </w:rPr>
              <w:t xml:space="preserve">Y4 Q1</w:t>
            </w:r>
          </w:p>
        </w:tc>
        <w:tc>
          <w:tcPr>
            <w:tcW w:type="pct" w:w="25%"/>
          </w:tcPr>
          <w:p>
            <w:r>
              <w:rPr>
                <w:sz w:val="20"/>
                <w:szCs w:val="20"/>
              </w:rPr>
              <w:t xml:space="preserve">{{y4q1_revenue}}</w:t>
            </w:r>
          </w:p>
        </w:tc>
        <w:tc>
          <w:tcPr>
            <w:tcW w:type="pct" w:w="25%"/>
          </w:tcPr>
          <w:p>
            <w:r>
              <w:rPr>
                <w:sz w:val="20"/>
                <w:szCs w:val="20"/>
              </w:rPr>
              <w:t xml:space="preserve">{{y4q1_costs}}</w:t>
            </w:r>
          </w:p>
        </w:tc>
        <w:tc>
          <w:tcPr>
            <w:tcW w:type="pct" w:w="25%"/>
          </w:tcPr>
          <w:p>
            <w:r>
              <w:rPr>
                <w:sz w:val="20"/>
                <w:szCs w:val="20"/>
              </w:rPr>
              <w:t xml:space="preserve">{{y4q1_net}}</w:t>
            </w:r>
          </w:p>
        </w:tc>
      </w:tr>
      <w:tr>
        <w:tc>
          <w:tcPr>
            <w:tcW w:type="pct" w:w="25%"/>
          </w:tcPr>
          <w:p>
            <w:r>
              <w:rPr>
                <w:sz w:val="20"/>
                <w:szCs w:val="20"/>
              </w:rPr>
              <w:t xml:space="preserve">Y4 Q2</w:t>
            </w:r>
          </w:p>
        </w:tc>
        <w:tc>
          <w:tcPr>
            <w:tcW w:type="pct" w:w="25%"/>
          </w:tcPr>
          <w:p>
            <w:r>
              <w:rPr>
                <w:sz w:val="20"/>
                <w:szCs w:val="20"/>
              </w:rPr>
              <w:t xml:space="preserve">{{y4q2_revenue}}</w:t>
            </w:r>
          </w:p>
        </w:tc>
        <w:tc>
          <w:tcPr>
            <w:tcW w:type="pct" w:w="25%"/>
          </w:tcPr>
          <w:p>
            <w:r>
              <w:rPr>
                <w:sz w:val="20"/>
                <w:szCs w:val="20"/>
              </w:rPr>
              <w:t xml:space="preserve">{{y4q2_costs}}</w:t>
            </w:r>
          </w:p>
        </w:tc>
        <w:tc>
          <w:tcPr>
            <w:tcW w:type="pct" w:w="25%"/>
          </w:tcPr>
          <w:p>
            <w:r>
              <w:rPr>
                <w:sz w:val="20"/>
                <w:szCs w:val="20"/>
              </w:rPr>
              <w:t xml:space="preserve">{{y4q2_net}}</w:t>
            </w:r>
          </w:p>
        </w:tc>
      </w:tr>
      <w:tr>
        <w:tc>
          <w:tcPr>
            <w:tcW w:type="pct" w:w="25%"/>
          </w:tcPr>
          <w:p>
            <w:r>
              <w:rPr>
                <w:sz w:val="20"/>
                <w:szCs w:val="20"/>
              </w:rPr>
              <w:t xml:space="preserve">Y4 Q3</w:t>
            </w:r>
          </w:p>
        </w:tc>
        <w:tc>
          <w:tcPr>
            <w:tcW w:type="pct" w:w="25%"/>
          </w:tcPr>
          <w:p>
            <w:r>
              <w:rPr>
                <w:sz w:val="20"/>
                <w:szCs w:val="20"/>
              </w:rPr>
              <w:t xml:space="preserve">{{y4q3_revenue}}</w:t>
            </w:r>
          </w:p>
        </w:tc>
        <w:tc>
          <w:tcPr>
            <w:tcW w:type="pct" w:w="25%"/>
          </w:tcPr>
          <w:p>
            <w:r>
              <w:rPr>
                <w:sz w:val="20"/>
                <w:szCs w:val="20"/>
              </w:rPr>
              <w:t xml:space="preserve">{{y4q3_costs}}</w:t>
            </w:r>
          </w:p>
        </w:tc>
        <w:tc>
          <w:tcPr>
            <w:tcW w:type="pct" w:w="25%"/>
          </w:tcPr>
          <w:p>
            <w:r>
              <w:rPr>
                <w:sz w:val="20"/>
                <w:szCs w:val="20"/>
              </w:rPr>
              <w:t xml:space="preserve">{{y4q3_net}}</w:t>
            </w:r>
          </w:p>
        </w:tc>
      </w:tr>
      <w:tr>
        <w:tc>
          <w:tcPr>
            <w:tcW w:type="pct" w:w="25%"/>
          </w:tcPr>
          <w:p>
            <w:r>
              <w:rPr>
                <w:sz w:val="20"/>
                <w:szCs w:val="20"/>
              </w:rPr>
              <w:t xml:space="preserve">Y4 Q4</w:t>
            </w:r>
          </w:p>
        </w:tc>
        <w:tc>
          <w:tcPr>
            <w:tcW w:type="pct" w:w="25%"/>
          </w:tcPr>
          <w:p>
            <w:r>
              <w:rPr>
                <w:sz w:val="20"/>
                <w:szCs w:val="20"/>
              </w:rPr>
              <w:t xml:space="preserve">{{y4q4_revenue}}</w:t>
            </w:r>
          </w:p>
        </w:tc>
        <w:tc>
          <w:tcPr>
            <w:tcW w:type="pct" w:w="25%"/>
          </w:tcPr>
          <w:p>
            <w:r>
              <w:rPr>
                <w:sz w:val="20"/>
                <w:szCs w:val="20"/>
              </w:rPr>
              <w:t xml:space="preserve">{{y4q4_costs}}</w:t>
            </w:r>
          </w:p>
        </w:tc>
        <w:tc>
          <w:tcPr>
            <w:tcW w:type="pct" w:w="25%"/>
          </w:tcPr>
          <w:p>
            <w:r>
              <w:rPr>
                <w:sz w:val="20"/>
                <w:szCs w:val="20"/>
              </w:rPr>
              <w:t xml:space="preserve">{{y4q4_net}}</w:t>
            </w:r>
          </w:p>
        </w:tc>
      </w:tr>
      <w:tr>
        <w:tc>
          <w:tcPr>
            <w:tcW w:type="pct" w:w="25%"/>
          </w:tcPr>
          <w:p>
            <w:r>
              <w:rPr>
                <w:b/>
                <w:bCs/>
                <w:sz w:val="20"/>
                <w:szCs w:val="20"/>
              </w:rPr>
              <w:t xml:space="preserve">Year 4 total</w:t>
            </w:r>
          </w:p>
        </w:tc>
        <w:tc>
          <w:tcPr>
            <w:tcW w:type="pct" w:w="25%"/>
          </w:tcPr>
          <w:p>
            <w:r>
              <w:rPr>
                <w:b/>
                <w:bCs/>
                <w:sz w:val="20"/>
                <w:szCs w:val="20"/>
              </w:rPr>
              <w:t xml:space="preserve">{{y4_revenue}}</w:t>
            </w:r>
          </w:p>
        </w:tc>
        <w:tc>
          <w:tcPr>
            <w:tcW w:type="pct" w:w="25%"/>
          </w:tcPr>
          <w:p>
            <w:r>
              <w:rPr>
                <w:b/>
                <w:bCs/>
                <w:sz w:val="20"/>
                <w:szCs w:val="20"/>
              </w:rPr>
              <w:t xml:space="preserve">{{y4_costs}}</w:t>
            </w:r>
          </w:p>
        </w:tc>
        <w:tc>
          <w:tcPr>
            <w:tcW w:type="pct" w:w="25%"/>
          </w:tcPr>
          <w:p>
            <w:r>
              <w:rPr>
                <w:b/>
                <w:bCs/>
                <w:sz w:val="20"/>
                <w:szCs w:val="20"/>
              </w:rPr>
              <w:t xml:space="preserve">{{y4_net}}</w:t>
            </w:r>
          </w:p>
        </w:tc>
      </w:tr>
      <w:tr>
        <w:tc>
          <w:tcPr>
            <w:tcW w:type="pct" w:w="25%"/>
          </w:tcPr>
          <w:p>
            <w:r>
              <w:rPr>
                <w:sz w:val="20"/>
                <w:szCs w:val="20"/>
              </w:rPr>
              <w:t xml:space="preserve">Y5 Q1</w:t>
            </w:r>
          </w:p>
        </w:tc>
        <w:tc>
          <w:tcPr>
            <w:tcW w:type="pct" w:w="25%"/>
          </w:tcPr>
          <w:p>
            <w:r>
              <w:rPr>
                <w:sz w:val="20"/>
                <w:szCs w:val="20"/>
              </w:rPr>
              <w:t xml:space="preserve">{{y5q1_revenue}}</w:t>
            </w:r>
          </w:p>
        </w:tc>
        <w:tc>
          <w:tcPr>
            <w:tcW w:type="pct" w:w="25%"/>
          </w:tcPr>
          <w:p>
            <w:r>
              <w:rPr>
                <w:sz w:val="20"/>
                <w:szCs w:val="20"/>
              </w:rPr>
              <w:t xml:space="preserve">{{y5q1_costs}}</w:t>
            </w:r>
          </w:p>
        </w:tc>
        <w:tc>
          <w:tcPr>
            <w:tcW w:type="pct" w:w="25%"/>
          </w:tcPr>
          <w:p>
            <w:r>
              <w:rPr>
                <w:sz w:val="20"/>
                <w:szCs w:val="20"/>
              </w:rPr>
              <w:t xml:space="preserve">{{y5q1_net}}</w:t>
            </w:r>
          </w:p>
        </w:tc>
      </w:tr>
      <w:tr>
        <w:tc>
          <w:tcPr>
            <w:tcW w:type="pct" w:w="25%"/>
          </w:tcPr>
          <w:p>
            <w:r>
              <w:rPr>
                <w:sz w:val="20"/>
                <w:szCs w:val="20"/>
              </w:rPr>
              <w:t xml:space="preserve">Y5 Q2</w:t>
            </w:r>
          </w:p>
        </w:tc>
        <w:tc>
          <w:tcPr>
            <w:tcW w:type="pct" w:w="25%"/>
          </w:tcPr>
          <w:p>
            <w:r>
              <w:rPr>
                <w:sz w:val="20"/>
                <w:szCs w:val="20"/>
              </w:rPr>
              <w:t xml:space="preserve">{{y5q2_revenue}}</w:t>
            </w:r>
          </w:p>
        </w:tc>
        <w:tc>
          <w:tcPr>
            <w:tcW w:type="pct" w:w="25%"/>
          </w:tcPr>
          <w:p>
            <w:r>
              <w:rPr>
                <w:sz w:val="20"/>
                <w:szCs w:val="20"/>
              </w:rPr>
              <w:t xml:space="preserve">{{y5q2_costs}}</w:t>
            </w:r>
          </w:p>
        </w:tc>
        <w:tc>
          <w:tcPr>
            <w:tcW w:type="pct" w:w="25%"/>
          </w:tcPr>
          <w:p>
            <w:r>
              <w:rPr>
                <w:sz w:val="20"/>
                <w:szCs w:val="20"/>
              </w:rPr>
              <w:t xml:space="preserve">{{y5q2_net}}</w:t>
            </w:r>
          </w:p>
        </w:tc>
      </w:tr>
      <w:tr>
        <w:tc>
          <w:tcPr>
            <w:tcW w:type="pct" w:w="25%"/>
          </w:tcPr>
          <w:p>
            <w:r>
              <w:rPr>
                <w:sz w:val="20"/>
                <w:szCs w:val="20"/>
              </w:rPr>
              <w:t xml:space="preserve">Y5 Q3</w:t>
            </w:r>
          </w:p>
        </w:tc>
        <w:tc>
          <w:tcPr>
            <w:tcW w:type="pct" w:w="25%"/>
          </w:tcPr>
          <w:p>
            <w:r>
              <w:rPr>
                <w:sz w:val="20"/>
                <w:szCs w:val="20"/>
              </w:rPr>
              <w:t xml:space="preserve">{{y5q3_revenue}}</w:t>
            </w:r>
          </w:p>
        </w:tc>
        <w:tc>
          <w:tcPr>
            <w:tcW w:type="pct" w:w="25%"/>
          </w:tcPr>
          <w:p>
            <w:r>
              <w:rPr>
                <w:sz w:val="20"/>
                <w:szCs w:val="20"/>
              </w:rPr>
              <w:t xml:space="preserve">{{y5q3_costs}}</w:t>
            </w:r>
          </w:p>
        </w:tc>
        <w:tc>
          <w:tcPr>
            <w:tcW w:type="pct" w:w="25%"/>
          </w:tcPr>
          <w:p>
            <w:r>
              <w:rPr>
                <w:sz w:val="20"/>
                <w:szCs w:val="20"/>
              </w:rPr>
              <w:t xml:space="preserve">{{y5q3_net}}</w:t>
            </w:r>
          </w:p>
        </w:tc>
      </w:tr>
      <w:tr>
        <w:tc>
          <w:tcPr>
            <w:tcW w:type="pct" w:w="25%"/>
          </w:tcPr>
          <w:p>
            <w:r>
              <w:rPr>
                <w:sz w:val="20"/>
                <w:szCs w:val="20"/>
              </w:rPr>
              <w:t xml:space="preserve">Y5 Q4</w:t>
            </w:r>
          </w:p>
        </w:tc>
        <w:tc>
          <w:tcPr>
            <w:tcW w:type="pct" w:w="25%"/>
          </w:tcPr>
          <w:p>
            <w:r>
              <w:rPr>
                <w:sz w:val="20"/>
                <w:szCs w:val="20"/>
              </w:rPr>
              <w:t xml:space="preserve">{{y5q4_revenue}}</w:t>
            </w:r>
          </w:p>
        </w:tc>
        <w:tc>
          <w:tcPr>
            <w:tcW w:type="pct" w:w="25%"/>
          </w:tcPr>
          <w:p>
            <w:r>
              <w:rPr>
                <w:sz w:val="20"/>
                <w:szCs w:val="20"/>
              </w:rPr>
              <w:t xml:space="preserve">{{y5q4_costs}}</w:t>
            </w:r>
          </w:p>
        </w:tc>
        <w:tc>
          <w:tcPr>
            <w:tcW w:type="pct" w:w="25%"/>
          </w:tcPr>
          <w:p>
            <w:r>
              <w:rPr>
                <w:sz w:val="20"/>
                <w:szCs w:val="20"/>
              </w:rPr>
              <w:t xml:space="preserve">{{y5q4_net}}</w:t>
            </w:r>
          </w:p>
        </w:tc>
      </w:tr>
      <w:tr>
        <w:tc>
          <w:tcPr>
            <w:tcW w:type="pct" w:w="25%"/>
          </w:tcPr>
          <w:p>
            <w:r>
              <w:rPr>
                <w:b/>
                <w:bCs/>
                <w:sz w:val="20"/>
                <w:szCs w:val="20"/>
              </w:rPr>
              <w:t xml:space="preserve">Year 5 total</w:t>
            </w:r>
          </w:p>
        </w:tc>
        <w:tc>
          <w:tcPr>
            <w:tcW w:type="pct" w:w="25%"/>
          </w:tcPr>
          <w:p>
            <w:r>
              <w:rPr>
                <w:b/>
                <w:bCs/>
                <w:sz w:val="20"/>
                <w:szCs w:val="20"/>
              </w:rPr>
              <w:t xml:space="preserve">{{y5_revenue}}</w:t>
            </w:r>
          </w:p>
        </w:tc>
        <w:tc>
          <w:tcPr>
            <w:tcW w:type="pct" w:w="25%"/>
          </w:tcPr>
          <w:p>
            <w:r>
              <w:rPr>
                <w:b/>
                <w:bCs/>
                <w:sz w:val="20"/>
                <w:szCs w:val="20"/>
              </w:rPr>
              <w:t xml:space="preserve">{{y5_costs}}</w:t>
            </w:r>
          </w:p>
        </w:tc>
        <w:tc>
          <w:tcPr>
            <w:tcW w:type="pct" w:w="25%"/>
          </w:tcPr>
          <w:p>
            <w:r>
              <w:rPr>
                <w:b/>
                <w:bCs/>
                <w:sz w:val="20"/>
                <w:szCs w:val="20"/>
              </w:rPr>
              <w:t xml:space="preserve">{{y5_net}}</w:t>
            </w:r>
          </w:p>
        </w:tc>
      </w:tr>
    </w:tbl>
    <w:p>
      <w:pPr>
        <w:spacing w:after="160" w:line="320"/>
      </w:pPr>
      <w:r>
        <w:rPr>
          <w:sz w:val="22"/>
          <w:szCs w:val="22"/>
        </w:rPr>
        <w:t xml:space="preserve">{{years2to5</w:t>
      </w:r>
      <w:r>
        <w:rPr>
          <w:i/>
          <w:iCs/>
          <w:sz w:val="22"/>
          <w:szCs w:val="22"/>
        </w:rPr>
        <w:t xml:space="preserve">narrative</w:t>
      </w:r>
      <w:r>
        <w:rPr>
          <w:sz w:val="22"/>
          <w:szCs w:val="22"/>
        </w:rPr>
        <w:t xml:space="preserve">paragraph}}</w:t>
      </w:r>
    </w:p>
    <w:p>
      <w:pPr>
        <w:pStyle w:val="Heading2"/>
        <w:spacing w:after="180" w:before="360"/>
      </w:pPr>
      <w:r>
        <w:rPr>
          <w:sz w:val="26"/>
          <w:szCs w:val="26"/>
        </w:rPr>
        <w:t xml:space="preserve">7.4 Five-year balance sheet summary (base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r>
      <w:tr>
        <w:tc>
          <w:tcPr>
            <w:tcW w:type="pct" w:w="16%"/>
          </w:tcPr>
          <w:p>
            <w:r>
              <w:rPr>
                <w:sz w:val="20"/>
                <w:szCs w:val="20"/>
              </w:rPr>
              <w:t xml:space="preserve">Cash and equivalents</w:t>
            </w:r>
          </w:p>
        </w:tc>
        <w:tc>
          <w:tcPr>
            <w:tcW w:type="pct" w:w="16%"/>
          </w:tcPr>
          <w:p>
            <w:r>
              <w:rPr>
                <w:sz w:val="20"/>
                <w:szCs w:val="20"/>
              </w:rPr>
              <w:t xml:space="preserve">{{bs</w:t>
            </w:r>
            <w:r>
              <w:rPr>
                <w:i/>
                <w:iCs/>
                <w:sz w:val="20"/>
                <w:szCs w:val="20"/>
              </w:rPr>
              <w:t xml:space="preserve">cash</w:t>
            </w:r>
            <w:r>
              <w:rPr>
                <w:sz w:val="20"/>
                <w:szCs w:val="20"/>
              </w:rPr>
              <w:t xml:space="preserve">y1}}</w:t>
            </w:r>
          </w:p>
        </w:tc>
        <w:tc>
          <w:tcPr>
            <w:tcW w:type="pct" w:w="16%"/>
          </w:tcPr>
          <w:p>
            <w:r>
              <w:rPr>
                <w:sz w:val="20"/>
                <w:szCs w:val="20"/>
              </w:rPr>
              <w:t xml:space="preserve">{{bs</w:t>
            </w:r>
            <w:r>
              <w:rPr>
                <w:i/>
                <w:iCs/>
                <w:sz w:val="20"/>
                <w:szCs w:val="20"/>
              </w:rPr>
              <w:t xml:space="preserve">cash</w:t>
            </w:r>
            <w:r>
              <w:rPr>
                <w:sz w:val="20"/>
                <w:szCs w:val="20"/>
              </w:rPr>
              <w:t xml:space="preserve">y2}}</w:t>
            </w:r>
          </w:p>
        </w:tc>
        <w:tc>
          <w:tcPr>
            <w:tcW w:type="pct" w:w="16%"/>
          </w:tcPr>
          <w:p>
            <w:r>
              <w:rPr>
                <w:sz w:val="20"/>
                <w:szCs w:val="20"/>
              </w:rPr>
              <w:t xml:space="preserve">{{bs</w:t>
            </w:r>
            <w:r>
              <w:rPr>
                <w:i/>
                <w:iCs/>
                <w:sz w:val="20"/>
                <w:szCs w:val="20"/>
              </w:rPr>
              <w:t xml:space="preserve">cash</w:t>
            </w:r>
            <w:r>
              <w:rPr>
                <w:sz w:val="20"/>
                <w:szCs w:val="20"/>
              </w:rPr>
              <w:t xml:space="preserve">y3}}</w:t>
            </w:r>
          </w:p>
        </w:tc>
        <w:tc>
          <w:tcPr>
            <w:tcW w:type="pct" w:w="16%"/>
          </w:tcPr>
          <w:p>
            <w:r>
              <w:rPr>
                <w:sz w:val="20"/>
                <w:szCs w:val="20"/>
              </w:rPr>
              <w:t xml:space="preserve">{{bs</w:t>
            </w:r>
            <w:r>
              <w:rPr>
                <w:i/>
                <w:iCs/>
                <w:sz w:val="20"/>
                <w:szCs w:val="20"/>
              </w:rPr>
              <w:t xml:space="preserve">cash</w:t>
            </w:r>
            <w:r>
              <w:rPr>
                <w:sz w:val="20"/>
                <w:szCs w:val="20"/>
              </w:rPr>
              <w:t xml:space="preserve">y4}}</w:t>
            </w:r>
          </w:p>
        </w:tc>
        <w:tc>
          <w:tcPr>
            <w:tcW w:type="pct" w:w="16%"/>
          </w:tcPr>
          <w:p>
            <w:r>
              <w:rPr>
                <w:sz w:val="20"/>
                <w:szCs w:val="20"/>
              </w:rPr>
              <w:t xml:space="preserve">{{bs</w:t>
            </w:r>
            <w:r>
              <w:rPr>
                <w:i/>
                <w:iCs/>
                <w:sz w:val="20"/>
                <w:szCs w:val="20"/>
              </w:rPr>
              <w:t xml:space="preserve">cash</w:t>
            </w:r>
            <w:r>
              <w:rPr>
                <w:sz w:val="20"/>
                <w:szCs w:val="20"/>
              </w:rPr>
              <w:t xml:space="preserve">y5}}</w:t>
            </w:r>
          </w:p>
        </w:tc>
      </w:tr>
      <w:tr>
        <w:tc>
          <w:tcPr>
            <w:tcW w:type="pct" w:w="16%"/>
          </w:tcPr>
          <w:p>
            <w:r>
              <w:rPr>
                <w:sz w:val="20"/>
                <w:szCs w:val="20"/>
              </w:rPr>
              <w:t xml:space="preserve">Accounts receivable</w:t>
            </w:r>
          </w:p>
        </w:tc>
        <w:tc>
          <w:tcPr>
            <w:tcW w:type="pct" w:w="16%"/>
          </w:tcPr>
          <w:p>
            <w:r>
              <w:rPr>
                <w:sz w:val="20"/>
                <w:szCs w:val="20"/>
              </w:rPr>
              <w:t xml:space="preserve">{{bs</w:t>
            </w:r>
            <w:r>
              <w:rPr>
                <w:i/>
                <w:iCs/>
                <w:sz w:val="20"/>
                <w:szCs w:val="20"/>
              </w:rPr>
              <w:t xml:space="preserve">ar</w:t>
            </w:r>
            <w:r>
              <w:rPr>
                <w:sz w:val="20"/>
                <w:szCs w:val="20"/>
              </w:rPr>
              <w:t xml:space="preserve">y1}}</w:t>
            </w:r>
          </w:p>
        </w:tc>
        <w:tc>
          <w:tcPr>
            <w:tcW w:type="pct" w:w="16%"/>
          </w:tcPr>
          <w:p>
            <w:r>
              <w:rPr>
                <w:sz w:val="20"/>
                <w:szCs w:val="20"/>
              </w:rPr>
              <w:t xml:space="preserve">{{bs</w:t>
            </w:r>
            <w:r>
              <w:rPr>
                <w:i/>
                <w:iCs/>
                <w:sz w:val="20"/>
                <w:szCs w:val="20"/>
              </w:rPr>
              <w:t xml:space="preserve">ar</w:t>
            </w:r>
            <w:r>
              <w:rPr>
                <w:sz w:val="20"/>
                <w:szCs w:val="20"/>
              </w:rPr>
              <w:t xml:space="preserve">y2}}</w:t>
            </w:r>
          </w:p>
        </w:tc>
        <w:tc>
          <w:tcPr>
            <w:tcW w:type="pct" w:w="16%"/>
          </w:tcPr>
          <w:p>
            <w:r>
              <w:rPr>
                <w:sz w:val="20"/>
                <w:szCs w:val="20"/>
              </w:rPr>
              <w:t xml:space="preserve">{{bs</w:t>
            </w:r>
            <w:r>
              <w:rPr>
                <w:i/>
                <w:iCs/>
                <w:sz w:val="20"/>
                <w:szCs w:val="20"/>
              </w:rPr>
              <w:t xml:space="preserve">ar</w:t>
            </w:r>
            <w:r>
              <w:rPr>
                <w:sz w:val="20"/>
                <w:szCs w:val="20"/>
              </w:rPr>
              <w:t xml:space="preserve">y3}}</w:t>
            </w:r>
          </w:p>
        </w:tc>
        <w:tc>
          <w:tcPr>
            <w:tcW w:type="pct" w:w="16%"/>
          </w:tcPr>
          <w:p>
            <w:r>
              <w:rPr>
                <w:sz w:val="20"/>
                <w:szCs w:val="20"/>
              </w:rPr>
              <w:t xml:space="preserve">{{bs</w:t>
            </w:r>
            <w:r>
              <w:rPr>
                <w:i/>
                <w:iCs/>
                <w:sz w:val="20"/>
                <w:szCs w:val="20"/>
              </w:rPr>
              <w:t xml:space="preserve">ar</w:t>
            </w:r>
            <w:r>
              <w:rPr>
                <w:sz w:val="20"/>
                <w:szCs w:val="20"/>
              </w:rPr>
              <w:t xml:space="preserve">y4}}</w:t>
            </w:r>
          </w:p>
        </w:tc>
        <w:tc>
          <w:tcPr>
            <w:tcW w:type="pct" w:w="16%"/>
          </w:tcPr>
          <w:p>
            <w:r>
              <w:rPr>
                <w:sz w:val="20"/>
                <w:szCs w:val="20"/>
              </w:rPr>
              <w:t xml:space="preserve">{{bs</w:t>
            </w:r>
            <w:r>
              <w:rPr>
                <w:i/>
                <w:iCs/>
                <w:sz w:val="20"/>
                <w:szCs w:val="20"/>
              </w:rPr>
              <w:t xml:space="preserve">ar</w:t>
            </w:r>
            <w:r>
              <w:rPr>
                <w:sz w:val="20"/>
                <w:szCs w:val="20"/>
              </w:rPr>
              <w:t xml:space="preserve">y5}}</w:t>
            </w:r>
          </w:p>
        </w:tc>
      </w:tr>
      <w:tr>
        <w:tc>
          <w:tcPr>
            <w:tcW w:type="pct" w:w="16%"/>
          </w:tcPr>
          <w:p>
            <w:r>
              <w:rPr>
                <w:sz w:val="20"/>
                <w:szCs w:val="20"/>
              </w:rPr>
              <w:t xml:space="preserve">Inventory</w:t>
            </w:r>
          </w:p>
        </w:tc>
        <w:tc>
          <w:tcPr>
            <w:tcW w:type="pct" w:w="16%"/>
          </w:tcPr>
          <w:p>
            <w:r>
              <w:rPr>
                <w:sz w:val="20"/>
                <w:szCs w:val="20"/>
              </w:rPr>
              <w:t xml:space="preserve">{{bs</w:t>
            </w:r>
            <w:r>
              <w:rPr>
                <w:i/>
                <w:iCs/>
                <w:sz w:val="20"/>
                <w:szCs w:val="20"/>
              </w:rPr>
              <w:t xml:space="preserve">inv</w:t>
            </w:r>
            <w:r>
              <w:rPr>
                <w:sz w:val="20"/>
                <w:szCs w:val="20"/>
              </w:rPr>
              <w:t xml:space="preserve">y1}}</w:t>
            </w:r>
          </w:p>
        </w:tc>
        <w:tc>
          <w:tcPr>
            <w:tcW w:type="pct" w:w="16%"/>
          </w:tcPr>
          <w:p>
            <w:r>
              <w:rPr>
                <w:sz w:val="20"/>
                <w:szCs w:val="20"/>
              </w:rPr>
              <w:t xml:space="preserve">{{bs</w:t>
            </w:r>
            <w:r>
              <w:rPr>
                <w:i/>
                <w:iCs/>
                <w:sz w:val="20"/>
                <w:szCs w:val="20"/>
              </w:rPr>
              <w:t xml:space="preserve">inv</w:t>
            </w:r>
            <w:r>
              <w:rPr>
                <w:sz w:val="20"/>
                <w:szCs w:val="20"/>
              </w:rPr>
              <w:t xml:space="preserve">y2}}</w:t>
            </w:r>
          </w:p>
        </w:tc>
        <w:tc>
          <w:tcPr>
            <w:tcW w:type="pct" w:w="16%"/>
          </w:tcPr>
          <w:p>
            <w:r>
              <w:rPr>
                <w:sz w:val="20"/>
                <w:szCs w:val="20"/>
              </w:rPr>
              <w:t xml:space="preserve">{{bs</w:t>
            </w:r>
            <w:r>
              <w:rPr>
                <w:i/>
                <w:iCs/>
                <w:sz w:val="20"/>
                <w:szCs w:val="20"/>
              </w:rPr>
              <w:t xml:space="preserve">inv</w:t>
            </w:r>
            <w:r>
              <w:rPr>
                <w:sz w:val="20"/>
                <w:szCs w:val="20"/>
              </w:rPr>
              <w:t xml:space="preserve">y3}}</w:t>
            </w:r>
          </w:p>
        </w:tc>
        <w:tc>
          <w:tcPr>
            <w:tcW w:type="pct" w:w="16%"/>
          </w:tcPr>
          <w:p>
            <w:r>
              <w:rPr>
                <w:sz w:val="20"/>
                <w:szCs w:val="20"/>
              </w:rPr>
              <w:t xml:space="preserve">{{bs</w:t>
            </w:r>
            <w:r>
              <w:rPr>
                <w:i/>
                <w:iCs/>
                <w:sz w:val="20"/>
                <w:szCs w:val="20"/>
              </w:rPr>
              <w:t xml:space="preserve">inv</w:t>
            </w:r>
            <w:r>
              <w:rPr>
                <w:sz w:val="20"/>
                <w:szCs w:val="20"/>
              </w:rPr>
              <w:t xml:space="preserve">y4}}</w:t>
            </w:r>
          </w:p>
        </w:tc>
        <w:tc>
          <w:tcPr>
            <w:tcW w:type="pct" w:w="16%"/>
          </w:tcPr>
          <w:p>
            <w:r>
              <w:rPr>
                <w:sz w:val="20"/>
                <w:szCs w:val="20"/>
              </w:rPr>
              <w:t xml:space="preserve">{{bs</w:t>
            </w:r>
            <w:r>
              <w:rPr>
                <w:i/>
                <w:iCs/>
                <w:sz w:val="20"/>
                <w:szCs w:val="20"/>
              </w:rPr>
              <w:t xml:space="preserve">inv</w:t>
            </w:r>
            <w:r>
              <w:rPr>
                <w:sz w:val="20"/>
                <w:szCs w:val="20"/>
              </w:rPr>
              <w:t xml:space="preserve">y5}}</w:t>
            </w:r>
          </w:p>
        </w:tc>
      </w:tr>
      <w:tr>
        <w:tc>
          <w:tcPr>
            <w:tcW w:type="pct" w:w="16%"/>
          </w:tcPr>
          <w:p>
            <w:r>
              <w:rPr>
                <w:sz w:val="20"/>
                <w:szCs w:val="20"/>
              </w:rPr>
              <w:t xml:space="preserve">Fixed assets (net)</w:t>
            </w:r>
          </w:p>
        </w:tc>
        <w:tc>
          <w:tcPr>
            <w:tcW w:type="pct" w:w="16%"/>
          </w:tcPr>
          <w:p>
            <w:r>
              <w:rPr>
                <w:sz w:val="20"/>
                <w:szCs w:val="20"/>
              </w:rPr>
              <w:t xml:space="preserve">{{bs</w:t>
            </w:r>
            <w:r>
              <w:rPr>
                <w:i/>
                <w:iCs/>
                <w:sz w:val="20"/>
                <w:szCs w:val="20"/>
              </w:rPr>
              <w:t xml:space="preserve">fa</w:t>
            </w:r>
            <w:r>
              <w:rPr>
                <w:sz w:val="20"/>
                <w:szCs w:val="20"/>
              </w:rPr>
              <w:t xml:space="preserve">y1}}</w:t>
            </w:r>
          </w:p>
        </w:tc>
        <w:tc>
          <w:tcPr>
            <w:tcW w:type="pct" w:w="16%"/>
          </w:tcPr>
          <w:p>
            <w:r>
              <w:rPr>
                <w:sz w:val="20"/>
                <w:szCs w:val="20"/>
              </w:rPr>
              <w:t xml:space="preserve">{{bs</w:t>
            </w:r>
            <w:r>
              <w:rPr>
                <w:i/>
                <w:iCs/>
                <w:sz w:val="20"/>
                <w:szCs w:val="20"/>
              </w:rPr>
              <w:t xml:space="preserve">fa</w:t>
            </w:r>
            <w:r>
              <w:rPr>
                <w:sz w:val="20"/>
                <w:szCs w:val="20"/>
              </w:rPr>
              <w:t xml:space="preserve">y2}}</w:t>
            </w:r>
          </w:p>
        </w:tc>
        <w:tc>
          <w:tcPr>
            <w:tcW w:type="pct" w:w="16%"/>
          </w:tcPr>
          <w:p>
            <w:r>
              <w:rPr>
                <w:sz w:val="20"/>
                <w:szCs w:val="20"/>
              </w:rPr>
              <w:t xml:space="preserve">{{bs</w:t>
            </w:r>
            <w:r>
              <w:rPr>
                <w:i/>
                <w:iCs/>
                <w:sz w:val="20"/>
                <w:szCs w:val="20"/>
              </w:rPr>
              <w:t xml:space="preserve">fa</w:t>
            </w:r>
            <w:r>
              <w:rPr>
                <w:sz w:val="20"/>
                <w:szCs w:val="20"/>
              </w:rPr>
              <w:t xml:space="preserve">y3}}</w:t>
            </w:r>
          </w:p>
        </w:tc>
        <w:tc>
          <w:tcPr>
            <w:tcW w:type="pct" w:w="16%"/>
          </w:tcPr>
          <w:p>
            <w:r>
              <w:rPr>
                <w:sz w:val="20"/>
                <w:szCs w:val="20"/>
              </w:rPr>
              <w:t xml:space="preserve">{{bs</w:t>
            </w:r>
            <w:r>
              <w:rPr>
                <w:i/>
                <w:iCs/>
                <w:sz w:val="20"/>
                <w:szCs w:val="20"/>
              </w:rPr>
              <w:t xml:space="preserve">fa</w:t>
            </w:r>
            <w:r>
              <w:rPr>
                <w:sz w:val="20"/>
                <w:szCs w:val="20"/>
              </w:rPr>
              <w:t xml:space="preserve">y4}}</w:t>
            </w:r>
          </w:p>
        </w:tc>
        <w:tc>
          <w:tcPr>
            <w:tcW w:type="pct" w:w="16%"/>
          </w:tcPr>
          <w:p>
            <w:r>
              <w:rPr>
                <w:sz w:val="20"/>
                <w:szCs w:val="20"/>
              </w:rPr>
              <w:t xml:space="preserve">{{bs</w:t>
            </w:r>
            <w:r>
              <w:rPr>
                <w:i/>
                <w:iCs/>
                <w:sz w:val="20"/>
                <w:szCs w:val="20"/>
              </w:rPr>
              <w:t xml:space="preserve">fa</w:t>
            </w:r>
            <w:r>
              <w:rPr>
                <w:sz w:val="20"/>
                <w:szCs w:val="20"/>
              </w:rPr>
              <w:t xml:space="preserve">y5}}</w:t>
            </w:r>
          </w:p>
        </w:tc>
      </w:tr>
      <w:tr>
        <w:tc>
          <w:tcPr>
            <w:tcW w:type="pct" w:w="16%"/>
          </w:tcPr>
          <w:p>
            <w:r>
              <w:rPr>
                <w:b/>
                <w:bCs/>
                <w:sz w:val="20"/>
                <w:szCs w:val="20"/>
              </w:rPr>
              <w:t xml:space="preserve">Total assets</w:t>
            </w:r>
          </w:p>
        </w:tc>
        <w:tc>
          <w:tcPr>
            <w:tcW w:type="pct" w:w="16%"/>
          </w:tcPr>
          <w:p>
            <w:r>
              <w:rPr>
                <w:b/>
                <w:bCs/>
                <w:sz w:val="20"/>
                <w:szCs w:val="20"/>
              </w:rPr>
              <w:t xml:space="preserve">{{bs_ta_y1}}</w:t>
            </w:r>
          </w:p>
        </w:tc>
        <w:tc>
          <w:tcPr>
            <w:tcW w:type="pct" w:w="16%"/>
          </w:tcPr>
          <w:p>
            <w:r>
              <w:rPr>
                <w:b/>
                <w:bCs/>
                <w:sz w:val="20"/>
                <w:szCs w:val="20"/>
              </w:rPr>
              <w:t xml:space="preserve">{{bs_ta_y2}}</w:t>
            </w:r>
          </w:p>
        </w:tc>
        <w:tc>
          <w:tcPr>
            <w:tcW w:type="pct" w:w="16%"/>
          </w:tcPr>
          <w:p>
            <w:r>
              <w:rPr>
                <w:b/>
                <w:bCs/>
                <w:sz w:val="20"/>
                <w:szCs w:val="20"/>
              </w:rPr>
              <w:t xml:space="preserve">{{bs_ta_y3}}</w:t>
            </w:r>
          </w:p>
        </w:tc>
        <w:tc>
          <w:tcPr>
            <w:tcW w:type="pct" w:w="16%"/>
          </w:tcPr>
          <w:p>
            <w:r>
              <w:rPr>
                <w:b/>
                <w:bCs/>
                <w:sz w:val="20"/>
                <w:szCs w:val="20"/>
              </w:rPr>
              <w:t xml:space="preserve">{{bs_ta_y4}}</w:t>
            </w:r>
          </w:p>
        </w:tc>
        <w:tc>
          <w:tcPr>
            <w:tcW w:type="pct" w:w="16%"/>
          </w:tcPr>
          <w:p>
            <w:r>
              <w:rPr>
                <w:b/>
                <w:bCs/>
                <w:sz w:val="20"/>
                <w:szCs w:val="20"/>
              </w:rPr>
              <w:t xml:space="preserve">{{bs_ta_y5}}</w:t>
            </w:r>
          </w:p>
        </w:tc>
      </w:tr>
      <w:tr>
        <w:tc>
          <w:tcPr>
            <w:tcW w:type="pct" w:w="16%"/>
          </w:tcPr>
          <w:p>
            <w:r>
              <w:rPr>
                <w:sz w:val="20"/>
                <w:szCs w:val="20"/>
              </w:rPr>
              <w:t xml:space="preserve">Accounts payable</w:t>
            </w:r>
          </w:p>
        </w:tc>
        <w:tc>
          <w:tcPr>
            <w:tcW w:type="pct" w:w="16%"/>
          </w:tcPr>
          <w:p>
            <w:r>
              <w:rPr>
                <w:sz w:val="20"/>
                <w:szCs w:val="20"/>
              </w:rPr>
              <w:t xml:space="preserve">{{bs</w:t>
            </w:r>
            <w:r>
              <w:rPr>
                <w:i/>
                <w:iCs/>
                <w:sz w:val="20"/>
                <w:szCs w:val="20"/>
              </w:rPr>
              <w:t xml:space="preserve">ap</w:t>
            </w:r>
            <w:r>
              <w:rPr>
                <w:sz w:val="20"/>
                <w:szCs w:val="20"/>
              </w:rPr>
              <w:t xml:space="preserve">y1}}</w:t>
            </w:r>
          </w:p>
        </w:tc>
        <w:tc>
          <w:tcPr>
            <w:tcW w:type="pct" w:w="16%"/>
          </w:tcPr>
          <w:p>
            <w:r>
              <w:rPr>
                <w:sz w:val="20"/>
                <w:szCs w:val="20"/>
              </w:rPr>
              <w:t xml:space="preserve">{{bs</w:t>
            </w:r>
            <w:r>
              <w:rPr>
                <w:i/>
                <w:iCs/>
                <w:sz w:val="20"/>
                <w:szCs w:val="20"/>
              </w:rPr>
              <w:t xml:space="preserve">ap</w:t>
            </w:r>
            <w:r>
              <w:rPr>
                <w:sz w:val="20"/>
                <w:szCs w:val="20"/>
              </w:rPr>
              <w:t xml:space="preserve">y2}}</w:t>
            </w:r>
          </w:p>
        </w:tc>
        <w:tc>
          <w:tcPr>
            <w:tcW w:type="pct" w:w="16%"/>
          </w:tcPr>
          <w:p>
            <w:r>
              <w:rPr>
                <w:sz w:val="20"/>
                <w:szCs w:val="20"/>
              </w:rPr>
              <w:t xml:space="preserve">{{bs</w:t>
            </w:r>
            <w:r>
              <w:rPr>
                <w:i/>
                <w:iCs/>
                <w:sz w:val="20"/>
                <w:szCs w:val="20"/>
              </w:rPr>
              <w:t xml:space="preserve">ap</w:t>
            </w:r>
            <w:r>
              <w:rPr>
                <w:sz w:val="20"/>
                <w:szCs w:val="20"/>
              </w:rPr>
              <w:t xml:space="preserve">y3}}</w:t>
            </w:r>
          </w:p>
        </w:tc>
        <w:tc>
          <w:tcPr>
            <w:tcW w:type="pct" w:w="16%"/>
          </w:tcPr>
          <w:p>
            <w:r>
              <w:rPr>
                <w:sz w:val="20"/>
                <w:szCs w:val="20"/>
              </w:rPr>
              <w:t xml:space="preserve">{{bs</w:t>
            </w:r>
            <w:r>
              <w:rPr>
                <w:i/>
                <w:iCs/>
                <w:sz w:val="20"/>
                <w:szCs w:val="20"/>
              </w:rPr>
              <w:t xml:space="preserve">ap</w:t>
            </w:r>
            <w:r>
              <w:rPr>
                <w:sz w:val="20"/>
                <w:szCs w:val="20"/>
              </w:rPr>
              <w:t xml:space="preserve">y4}}</w:t>
            </w:r>
          </w:p>
        </w:tc>
        <w:tc>
          <w:tcPr>
            <w:tcW w:type="pct" w:w="16%"/>
          </w:tcPr>
          <w:p>
            <w:r>
              <w:rPr>
                <w:sz w:val="20"/>
                <w:szCs w:val="20"/>
              </w:rPr>
              <w:t xml:space="preserve">{{bs</w:t>
            </w:r>
            <w:r>
              <w:rPr>
                <w:i/>
                <w:iCs/>
                <w:sz w:val="20"/>
                <w:szCs w:val="20"/>
              </w:rPr>
              <w:t xml:space="preserve">ap</w:t>
            </w:r>
            <w:r>
              <w:rPr>
                <w:sz w:val="20"/>
                <w:szCs w:val="20"/>
              </w:rPr>
              <w:t xml:space="preserve">y5}}</w:t>
            </w:r>
          </w:p>
        </w:tc>
      </w:tr>
      <w:tr>
        <w:tc>
          <w:tcPr>
            <w:tcW w:type="pct" w:w="16%"/>
          </w:tcPr>
          <w:p>
            <w:r>
              <w:rPr>
                <w:sz w:val="20"/>
                <w:szCs w:val="20"/>
              </w:rPr>
              <w:t xml:space="preserve">Accrued expenses</w:t>
            </w:r>
          </w:p>
        </w:tc>
        <w:tc>
          <w:tcPr>
            <w:tcW w:type="pct" w:w="16%"/>
          </w:tcPr>
          <w:p>
            <w:r>
              <w:rPr>
                <w:sz w:val="20"/>
                <w:szCs w:val="20"/>
              </w:rPr>
              <w:t xml:space="preserve">{{bs</w:t>
            </w:r>
            <w:r>
              <w:rPr>
                <w:i/>
                <w:iCs/>
                <w:sz w:val="20"/>
                <w:szCs w:val="20"/>
              </w:rPr>
              <w:t xml:space="preserve">ae</w:t>
            </w:r>
            <w:r>
              <w:rPr>
                <w:sz w:val="20"/>
                <w:szCs w:val="20"/>
              </w:rPr>
              <w:t xml:space="preserve">y1}}</w:t>
            </w:r>
          </w:p>
        </w:tc>
        <w:tc>
          <w:tcPr>
            <w:tcW w:type="pct" w:w="16%"/>
          </w:tcPr>
          <w:p>
            <w:r>
              <w:rPr>
                <w:sz w:val="20"/>
                <w:szCs w:val="20"/>
              </w:rPr>
              <w:t xml:space="preserve">{{bs</w:t>
            </w:r>
            <w:r>
              <w:rPr>
                <w:i/>
                <w:iCs/>
                <w:sz w:val="20"/>
                <w:szCs w:val="20"/>
              </w:rPr>
              <w:t xml:space="preserve">ae</w:t>
            </w:r>
            <w:r>
              <w:rPr>
                <w:sz w:val="20"/>
                <w:szCs w:val="20"/>
              </w:rPr>
              <w:t xml:space="preserve">y2}}</w:t>
            </w:r>
          </w:p>
        </w:tc>
        <w:tc>
          <w:tcPr>
            <w:tcW w:type="pct" w:w="16%"/>
          </w:tcPr>
          <w:p>
            <w:r>
              <w:rPr>
                <w:sz w:val="20"/>
                <w:szCs w:val="20"/>
              </w:rPr>
              <w:t xml:space="preserve">{{bs</w:t>
            </w:r>
            <w:r>
              <w:rPr>
                <w:i/>
                <w:iCs/>
                <w:sz w:val="20"/>
                <w:szCs w:val="20"/>
              </w:rPr>
              <w:t xml:space="preserve">ae</w:t>
            </w:r>
            <w:r>
              <w:rPr>
                <w:sz w:val="20"/>
                <w:szCs w:val="20"/>
              </w:rPr>
              <w:t xml:space="preserve">y3}}</w:t>
            </w:r>
          </w:p>
        </w:tc>
        <w:tc>
          <w:tcPr>
            <w:tcW w:type="pct" w:w="16%"/>
          </w:tcPr>
          <w:p>
            <w:r>
              <w:rPr>
                <w:sz w:val="20"/>
                <w:szCs w:val="20"/>
              </w:rPr>
              <w:t xml:space="preserve">{{bs</w:t>
            </w:r>
            <w:r>
              <w:rPr>
                <w:i/>
                <w:iCs/>
                <w:sz w:val="20"/>
                <w:szCs w:val="20"/>
              </w:rPr>
              <w:t xml:space="preserve">ae</w:t>
            </w:r>
            <w:r>
              <w:rPr>
                <w:sz w:val="20"/>
                <w:szCs w:val="20"/>
              </w:rPr>
              <w:t xml:space="preserve">y4}}</w:t>
            </w:r>
          </w:p>
        </w:tc>
        <w:tc>
          <w:tcPr>
            <w:tcW w:type="pct" w:w="16%"/>
          </w:tcPr>
          <w:p>
            <w:r>
              <w:rPr>
                <w:sz w:val="20"/>
                <w:szCs w:val="20"/>
              </w:rPr>
              <w:t xml:space="preserve">{{bs</w:t>
            </w:r>
            <w:r>
              <w:rPr>
                <w:i/>
                <w:iCs/>
                <w:sz w:val="20"/>
                <w:szCs w:val="20"/>
              </w:rPr>
              <w:t xml:space="preserve">ae</w:t>
            </w:r>
            <w:r>
              <w:rPr>
                <w:sz w:val="20"/>
                <w:szCs w:val="20"/>
              </w:rPr>
              <w:t xml:space="preserve">y5}}</w:t>
            </w:r>
          </w:p>
        </w:tc>
      </w:tr>
      <w:tr>
        <w:tc>
          <w:tcPr>
            <w:tcW w:type="pct" w:w="16%"/>
          </w:tcPr>
          <w:p>
            <w:r>
              <w:rPr>
                <w:sz w:val="20"/>
                <w:szCs w:val="20"/>
              </w:rPr>
              <w:t xml:space="preserve">Long-term debt</w:t>
            </w:r>
          </w:p>
        </w:tc>
        <w:tc>
          <w:tcPr>
            <w:tcW w:type="pct" w:w="16%"/>
          </w:tcPr>
          <w:p>
            <w:r>
              <w:rPr>
                <w:sz w:val="20"/>
                <w:szCs w:val="20"/>
              </w:rPr>
              <w:t xml:space="preserve">{{bs</w:t>
            </w:r>
            <w:r>
              <w:rPr>
                <w:i/>
                <w:iCs/>
                <w:sz w:val="20"/>
                <w:szCs w:val="20"/>
              </w:rPr>
              <w:t xml:space="preserve">ltd</w:t>
            </w:r>
            <w:r>
              <w:rPr>
                <w:sz w:val="20"/>
                <w:szCs w:val="20"/>
              </w:rPr>
              <w:t xml:space="preserve">y1}}</w:t>
            </w:r>
          </w:p>
        </w:tc>
        <w:tc>
          <w:tcPr>
            <w:tcW w:type="pct" w:w="16%"/>
          </w:tcPr>
          <w:p>
            <w:r>
              <w:rPr>
                <w:sz w:val="20"/>
                <w:szCs w:val="20"/>
              </w:rPr>
              <w:t xml:space="preserve">{{bs</w:t>
            </w:r>
            <w:r>
              <w:rPr>
                <w:i/>
                <w:iCs/>
                <w:sz w:val="20"/>
                <w:szCs w:val="20"/>
              </w:rPr>
              <w:t xml:space="preserve">ltd</w:t>
            </w:r>
            <w:r>
              <w:rPr>
                <w:sz w:val="20"/>
                <w:szCs w:val="20"/>
              </w:rPr>
              <w:t xml:space="preserve">y2}}</w:t>
            </w:r>
          </w:p>
        </w:tc>
        <w:tc>
          <w:tcPr>
            <w:tcW w:type="pct" w:w="16%"/>
          </w:tcPr>
          <w:p>
            <w:r>
              <w:rPr>
                <w:sz w:val="20"/>
                <w:szCs w:val="20"/>
              </w:rPr>
              <w:t xml:space="preserve">{{bs</w:t>
            </w:r>
            <w:r>
              <w:rPr>
                <w:i/>
                <w:iCs/>
                <w:sz w:val="20"/>
                <w:szCs w:val="20"/>
              </w:rPr>
              <w:t xml:space="preserve">ltd</w:t>
            </w:r>
            <w:r>
              <w:rPr>
                <w:sz w:val="20"/>
                <w:szCs w:val="20"/>
              </w:rPr>
              <w:t xml:space="preserve">y3}}</w:t>
            </w:r>
          </w:p>
        </w:tc>
        <w:tc>
          <w:tcPr>
            <w:tcW w:type="pct" w:w="16%"/>
          </w:tcPr>
          <w:p>
            <w:r>
              <w:rPr>
                <w:sz w:val="20"/>
                <w:szCs w:val="20"/>
              </w:rPr>
              <w:t xml:space="preserve">{{bs</w:t>
            </w:r>
            <w:r>
              <w:rPr>
                <w:i/>
                <w:iCs/>
                <w:sz w:val="20"/>
                <w:szCs w:val="20"/>
              </w:rPr>
              <w:t xml:space="preserve">ltd</w:t>
            </w:r>
            <w:r>
              <w:rPr>
                <w:sz w:val="20"/>
                <w:szCs w:val="20"/>
              </w:rPr>
              <w:t xml:space="preserve">y4}}</w:t>
            </w:r>
          </w:p>
        </w:tc>
        <w:tc>
          <w:tcPr>
            <w:tcW w:type="pct" w:w="16%"/>
          </w:tcPr>
          <w:p>
            <w:r>
              <w:rPr>
                <w:sz w:val="20"/>
                <w:szCs w:val="20"/>
              </w:rPr>
              <w:t xml:space="preserve">{{bs</w:t>
            </w:r>
            <w:r>
              <w:rPr>
                <w:i/>
                <w:iCs/>
                <w:sz w:val="20"/>
                <w:szCs w:val="20"/>
              </w:rPr>
              <w:t xml:space="preserve">ltd</w:t>
            </w:r>
            <w:r>
              <w:rPr>
                <w:sz w:val="20"/>
                <w:szCs w:val="20"/>
              </w:rPr>
              <w:t xml:space="preserve">y5}}</w:t>
            </w:r>
          </w:p>
        </w:tc>
      </w:tr>
      <w:tr>
        <w:tc>
          <w:tcPr>
            <w:tcW w:type="pct" w:w="16%"/>
          </w:tcPr>
          <w:p>
            <w:r>
              <w:rPr>
                <w:b/>
                <w:bCs/>
                <w:sz w:val="20"/>
                <w:szCs w:val="20"/>
              </w:rPr>
              <w:t xml:space="preserve">Total liabilities</w:t>
            </w:r>
          </w:p>
        </w:tc>
        <w:tc>
          <w:tcPr>
            <w:tcW w:type="pct" w:w="16%"/>
          </w:tcPr>
          <w:p>
            <w:r>
              <w:rPr>
                <w:b/>
                <w:bCs/>
                <w:sz w:val="20"/>
                <w:szCs w:val="20"/>
              </w:rPr>
              <w:t xml:space="preserve">{{bs_tl_y1}}</w:t>
            </w:r>
          </w:p>
        </w:tc>
        <w:tc>
          <w:tcPr>
            <w:tcW w:type="pct" w:w="16%"/>
          </w:tcPr>
          <w:p>
            <w:r>
              <w:rPr>
                <w:b/>
                <w:bCs/>
                <w:sz w:val="20"/>
                <w:szCs w:val="20"/>
              </w:rPr>
              <w:t xml:space="preserve">{{bs_tl_y2}}</w:t>
            </w:r>
          </w:p>
        </w:tc>
        <w:tc>
          <w:tcPr>
            <w:tcW w:type="pct" w:w="16%"/>
          </w:tcPr>
          <w:p>
            <w:r>
              <w:rPr>
                <w:b/>
                <w:bCs/>
                <w:sz w:val="20"/>
                <w:szCs w:val="20"/>
              </w:rPr>
              <w:t xml:space="preserve">{{bs_tl_y3}}</w:t>
            </w:r>
          </w:p>
        </w:tc>
        <w:tc>
          <w:tcPr>
            <w:tcW w:type="pct" w:w="16%"/>
          </w:tcPr>
          <w:p>
            <w:r>
              <w:rPr>
                <w:b/>
                <w:bCs/>
                <w:sz w:val="20"/>
                <w:szCs w:val="20"/>
              </w:rPr>
              <w:t xml:space="preserve">{{bs_tl_y4}}</w:t>
            </w:r>
          </w:p>
        </w:tc>
        <w:tc>
          <w:tcPr>
            <w:tcW w:type="pct" w:w="16%"/>
          </w:tcPr>
          <w:p>
            <w:r>
              <w:rPr>
                <w:b/>
                <w:bCs/>
                <w:sz w:val="20"/>
                <w:szCs w:val="20"/>
              </w:rPr>
              <w:t xml:space="preserve">{{bs_tl_y5}}</w:t>
            </w:r>
          </w:p>
        </w:tc>
      </w:tr>
      <w:tr>
        <w:tc>
          <w:tcPr>
            <w:tcW w:type="pct" w:w="16%"/>
          </w:tcPr>
          <w:p>
            <w:r>
              <w:rPr>
                <w:b/>
                <w:bCs/>
                <w:sz w:val="20"/>
                <w:szCs w:val="20"/>
              </w:rPr>
              <w:t xml:space="preserve">Owner's equity</w:t>
            </w:r>
          </w:p>
        </w:tc>
        <w:tc>
          <w:tcPr>
            <w:tcW w:type="pct" w:w="16%"/>
          </w:tcPr>
          <w:p>
            <w:r>
              <w:rPr>
                <w:b/>
                <w:bCs/>
                <w:sz w:val="20"/>
                <w:szCs w:val="20"/>
              </w:rPr>
              <w:t xml:space="preserve">{{bs_oe_y1}}</w:t>
            </w:r>
          </w:p>
        </w:tc>
        <w:tc>
          <w:tcPr>
            <w:tcW w:type="pct" w:w="16%"/>
          </w:tcPr>
          <w:p>
            <w:r>
              <w:rPr>
                <w:b/>
                <w:bCs/>
                <w:sz w:val="20"/>
                <w:szCs w:val="20"/>
              </w:rPr>
              <w:t xml:space="preserve">{{bs_oe_y2}}</w:t>
            </w:r>
          </w:p>
        </w:tc>
        <w:tc>
          <w:tcPr>
            <w:tcW w:type="pct" w:w="16%"/>
          </w:tcPr>
          <w:p>
            <w:r>
              <w:rPr>
                <w:b/>
                <w:bCs/>
                <w:sz w:val="20"/>
                <w:szCs w:val="20"/>
              </w:rPr>
              <w:t xml:space="preserve">{{bs_oe_y3}}</w:t>
            </w:r>
          </w:p>
        </w:tc>
        <w:tc>
          <w:tcPr>
            <w:tcW w:type="pct" w:w="16%"/>
          </w:tcPr>
          <w:p>
            <w:r>
              <w:rPr>
                <w:b/>
                <w:bCs/>
                <w:sz w:val="20"/>
                <w:szCs w:val="20"/>
              </w:rPr>
              <w:t xml:space="preserve">{{bs_oe_y4}}</w:t>
            </w:r>
          </w:p>
        </w:tc>
        <w:tc>
          <w:tcPr>
            <w:tcW w:type="pct" w:w="16%"/>
          </w:tcPr>
          <w:p>
            <w:r>
              <w:rPr>
                <w:b/>
                <w:bCs/>
                <w:sz w:val="20"/>
                <w:szCs w:val="20"/>
              </w:rPr>
              <w:t xml:space="preserve">{{bs_oe_y5}}</w:t>
            </w:r>
          </w:p>
        </w:tc>
      </w:tr>
    </w:tbl>
    <w:p>
      <w:pPr>
        <w:pStyle w:val="Heading2"/>
        <w:spacing w:after="180" w:before="360"/>
      </w:pPr>
      <w:r>
        <w:rPr>
          <w:sz w:val="26"/>
          <w:szCs w:val="26"/>
        </w:rPr>
        <w:t xml:space="preserve">7.5 Cash flow summary</w:t>
      </w:r>
    </w:p>
    <w:p>
      <w:pPr>
        <w:spacing w:after="160" w:line="320"/>
      </w:pPr>
      <w:r>
        <w:rPr>
          <w:sz w:val="22"/>
          <w:szCs w:val="22"/>
        </w:rPr>
        <w:t xml:space="preserve">Cash from operations turns positive in Month 11 as revenue scales past the fixed-cost base. Cash from investing reflects the $350,000 initial capital deployment in Year 1, with maintenance capex of approximately 5% of revenue thereafter. Cash from financing reflects the equity contribution at inception and is otherwise neutral.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r>
      <w:tr>
        <w:tc>
          <w:tcPr>
            <w:tcW w:type="pct" w:w="16%"/>
          </w:tcPr>
          <w:p>
            <w:r>
              <w:rPr>
                <w:sz w:val="20"/>
                <w:szCs w:val="20"/>
              </w:rPr>
              <w:t xml:space="preserve">Cash from operations</w:t>
            </w:r>
          </w:p>
        </w:tc>
        <w:tc>
          <w:tcPr>
            <w:tcW w:type="pct" w:w="16%"/>
          </w:tcPr>
          <w:p>
            <w:r>
              <w:rPr>
                <w:sz w:val="20"/>
                <w:szCs w:val="20"/>
              </w:rPr>
              <w:t xml:space="preserve">{{cf</w:t>
            </w:r>
            <w:r>
              <w:rPr>
                <w:i/>
                <w:iCs/>
                <w:sz w:val="20"/>
                <w:szCs w:val="20"/>
              </w:rPr>
              <w:t xml:space="preserve">ops</w:t>
            </w:r>
            <w:r>
              <w:rPr>
                <w:sz w:val="20"/>
                <w:szCs w:val="20"/>
              </w:rPr>
              <w:t xml:space="preserve">y1}}</w:t>
            </w:r>
          </w:p>
        </w:tc>
        <w:tc>
          <w:tcPr>
            <w:tcW w:type="pct" w:w="16%"/>
          </w:tcPr>
          <w:p>
            <w:r>
              <w:rPr>
                <w:sz w:val="20"/>
                <w:szCs w:val="20"/>
              </w:rPr>
              <w:t xml:space="preserve">{{cf</w:t>
            </w:r>
            <w:r>
              <w:rPr>
                <w:i/>
                <w:iCs/>
                <w:sz w:val="20"/>
                <w:szCs w:val="20"/>
              </w:rPr>
              <w:t xml:space="preserve">ops</w:t>
            </w:r>
            <w:r>
              <w:rPr>
                <w:sz w:val="20"/>
                <w:szCs w:val="20"/>
              </w:rPr>
              <w:t xml:space="preserve">y2}}</w:t>
            </w:r>
          </w:p>
        </w:tc>
        <w:tc>
          <w:tcPr>
            <w:tcW w:type="pct" w:w="16%"/>
          </w:tcPr>
          <w:p>
            <w:r>
              <w:rPr>
                <w:sz w:val="20"/>
                <w:szCs w:val="20"/>
              </w:rPr>
              <w:t xml:space="preserve">{{cf</w:t>
            </w:r>
            <w:r>
              <w:rPr>
                <w:i/>
                <w:iCs/>
                <w:sz w:val="20"/>
                <w:szCs w:val="20"/>
              </w:rPr>
              <w:t xml:space="preserve">ops</w:t>
            </w:r>
            <w:r>
              <w:rPr>
                <w:sz w:val="20"/>
                <w:szCs w:val="20"/>
              </w:rPr>
              <w:t xml:space="preserve">y3}}</w:t>
            </w:r>
          </w:p>
        </w:tc>
        <w:tc>
          <w:tcPr>
            <w:tcW w:type="pct" w:w="16%"/>
          </w:tcPr>
          <w:p>
            <w:r>
              <w:rPr>
                <w:sz w:val="20"/>
                <w:szCs w:val="20"/>
              </w:rPr>
              <w:t xml:space="preserve">{{cf</w:t>
            </w:r>
            <w:r>
              <w:rPr>
                <w:i/>
                <w:iCs/>
                <w:sz w:val="20"/>
                <w:szCs w:val="20"/>
              </w:rPr>
              <w:t xml:space="preserve">ops</w:t>
            </w:r>
            <w:r>
              <w:rPr>
                <w:sz w:val="20"/>
                <w:szCs w:val="20"/>
              </w:rPr>
              <w:t xml:space="preserve">y4}}</w:t>
            </w:r>
          </w:p>
        </w:tc>
        <w:tc>
          <w:tcPr>
            <w:tcW w:type="pct" w:w="16%"/>
          </w:tcPr>
          <w:p>
            <w:r>
              <w:rPr>
                <w:sz w:val="20"/>
                <w:szCs w:val="20"/>
              </w:rPr>
              <w:t xml:space="preserve">{{cf</w:t>
            </w:r>
            <w:r>
              <w:rPr>
                <w:i/>
                <w:iCs/>
                <w:sz w:val="20"/>
                <w:szCs w:val="20"/>
              </w:rPr>
              <w:t xml:space="preserve">ops</w:t>
            </w:r>
            <w:r>
              <w:rPr>
                <w:sz w:val="20"/>
                <w:szCs w:val="20"/>
              </w:rPr>
              <w:t xml:space="preserve">y5}}</w:t>
            </w:r>
          </w:p>
        </w:tc>
      </w:tr>
      <w:tr>
        <w:tc>
          <w:tcPr>
            <w:tcW w:type="pct" w:w="16%"/>
          </w:tcPr>
          <w:p>
            <w:r>
              <w:rPr>
                <w:sz w:val="20"/>
                <w:szCs w:val="20"/>
              </w:rPr>
              <w:t xml:space="preserve">Cash from investing</w:t>
            </w:r>
          </w:p>
        </w:tc>
        <w:tc>
          <w:tcPr>
            <w:tcW w:type="pct" w:w="16%"/>
          </w:tcPr>
          <w:p>
            <w:r>
              <w:rPr>
                <w:sz w:val="20"/>
                <w:szCs w:val="20"/>
              </w:rPr>
              <w:t xml:space="preserve">{{cf</w:t>
            </w:r>
            <w:r>
              <w:rPr>
                <w:i/>
                <w:iCs/>
                <w:sz w:val="20"/>
                <w:szCs w:val="20"/>
              </w:rPr>
              <w:t xml:space="preserve">inv</w:t>
            </w:r>
            <w:r>
              <w:rPr>
                <w:sz w:val="20"/>
                <w:szCs w:val="20"/>
              </w:rPr>
              <w:t xml:space="preserve">y1}}</w:t>
            </w:r>
          </w:p>
        </w:tc>
        <w:tc>
          <w:tcPr>
            <w:tcW w:type="pct" w:w="16%"/>
          </w:tcPr>
          <w:p>
            <w:r>
              <w:rPr>
                <w:sz w:val="20"/>
                <w:szCs w:val="20"/>
              </w:rPr>
              <w:t xml:space="preserve">{{cf</w:t>
            </w:r>
            <w:r>
              <w:rPr>
                <w:i/>
                <w:iCs/>
                <w:sz w:val="20"/>
                <w:szCs w:val="20"/>
              </w:rPr>
              <w:t xml:space="preserve">inv</w:t>
            </w:r>
            <w:r>
              <w:rPr>
                <w:sz w:val="20"/>
                <w:szCs w:val="20"/>
              </w:rPr>
              <w:t xml:space="preserve">y2}}</w:t>
            </w:r>
          </w:p>
        </w:tc>
        <w:tc>
          <w:tcPr>
            <w:tcW w:type="pct" w:w="16%"/>
          </w:tcPr>
          <w:p>
            <w:r>
              <w:rPr>
                <w:sz w:val="20"/>
                <w:szCs w:val="20"/>
              </w:rPr>
              <w:t xml:space="preserve">{{cf</w:t>
            </w:r>
            <w:r>
              <w:rPr>
                <w:i/>
                <w:iCs/>
                <w:sz w:val="20"/>
                <w:szCs w:val="20"/>
              </w:rPr>
              <w:t xml:space="preserve">inv</w:t>
            </w:r>
            <w:r>
              <w:rPr>
                <w:sz w:val="20"/>
                <w:szCs w:val="20"/>
              </w:rPr>
              <w:t xml:space="preserve">y3}}</w:t>
            </w:r>
          </w:p>
        </w:tc>
        <w:tc>
          <w:tcPr>
            <w:tcW w:type="pct" w:w="16%"/>
          </w:tcPr>
          <w:p>
            <w:r>
              <w:rPr>
                <w:sz w:val="20"/>
                <w:szCs w:val="20"/>
              </w:rPr>
              <w:t xml:space="preserve">{{cf</w:t>
            </w:r>
            <w:r>
              <w:rPr>
                <w:i/>
                <w:iCs/>
                <w:sz w:val="20"/>
                <w:szCs w:val="20"/>
              </w:rPr>
              <w:t xml:space="preserve">inv</w:t>
            </w:r>
            <w:r>
              <w:rPr>
                <w:sz w:val="20"/>
                <w:szCs w:val="20"/>
              </w:rPr>
              <w:t xml:space="preserve">y4}}</w:t>
            </w:r>
          </w:p>
        </w:tc>
        <w:tc>
          <w:tcPr>
            <w:tcW w:type="pct" w:w="16%"/>
          </w:tcPr>
          <w:p>
            <w:r>
              <w:rPr>
                <w:sz w:val="20"/>
                <w:szCs w:val="20"/>
              </w:rPr>
              <w:t xml:space="preserve">{{cf</w:t>
            </w:r>
            <w:r>
              <w:rPr>
                <w:i/>
                <w:iCs/>
                <w:sz w:val="20"/>
                <w:szCs w:val="20"/>
              </w:rPr>
              <w:t xml:space="preserve">inv</w:t>
            </w:r>
            <w:r>
              <w:rPr>
                <w:sz w:val="20"/>
                <w:szCs w:val="20"/>
              </w:rPr>
              <w:t xml:space="preserve">y5}}</w:t>
            </w:r>
          </w:p>
        </w:tc>
      </w:tr>
      <w:tr>
        <w:tc>
          <w:tcPr>
            <w:tcW w:type="pct" w:w="16%"/>
          </w:tcPr>
          <w:p>
            <w:r>
              <w:rPr>
                <w:sz w:val="20"/>
                <w:szCs w:val="20"/>
              </w:rPr>
              <w:t xml:space="preserve">Cash from financing</w:t>
            </w:r>
          </w:p>
        </w:tc>
        <w:tc>
          <w:tcPr>
            <w:tcW w:type="pct" w:w="16%"/>
          </w:tcPr>
          <w:p>
            <w:r>
              <w:rPr>
                <w:sz w:val="20"/>
                <w:szCs w:val="20"/>
              </w:rPr>
              <w:t xml:space="preserve">{{cf</w:t>
            </w:r>
            <w:r>
              <w:rPr>
                <w:i/>
                <w:iCs/>
                <w:sz w:val="20"/>
                <w:szCs w:val="20"/>
              </w:rPr>
              <w:t xml:space="preserve">fin</w:t>
            </w:r>
            <w:r>
              <w:rPr>
                <w:sz w:val="20"/>
                <w:szCs w:val="20"/>
              </w:rPr>
              <w:t xml:space="preserve">y1}}</w:t>
            </w:r>
          </w:p>
        </w:tc>
        <w:tc>
          <w:tcPr>
            <w:tcW w:type="pct" w:w="16%"/>
          </w:tcPr>
          <w:p>
            <w:r>
              <w:rPr>
                <w:sz w:val="20"/>
                <w:szCs w:val="20"/>
              </w:rPr>
              <w:t xml:space="preserve">{{cf</w:t>
            </w:r>
            <w:r>
              <w:rPr>
                <w:i/>
                <w:iCs/>
                <w:sz w:val="20"/>
                <w:szCs w:val="20"/>
              </w:rPr>
              <w:t xml:space="preserve">fin</w:t>
            </w:r>
            <w:r>
              <w:rPr>
                <w:sz w:val="20"/>
                <w:szCs w:val="20"/>
              </w:rPr>
              <w:t xml:space="preserve">y2}}</w:t>
            </w:r>
          </w:p>
        </w:tc>
        <w:tc>
          <w:tcPr>
            <w:tcW w:type="pct" w:w="16%"/>
          </w:tcPr>
          <w:p>
            <w:r>
              <w:rPr>
                <w:sz w:val="20"/>
                <w:szCs w:val="20"/>
              </w:rPr>
              <w:t xml:space="preserve">{{cf</w:t>
            </w:r>
            <w:r>
              <w:rPr>
                <w:i/>
                <w:iCs/>
                <w:sz w:val="20"/>
                <w:szCs w:val="20"/>
              </w:rPr>
              <w:t xml:space="preserve">fin</w:t>
            </w:r>
            <w:r>
              <w:rPr>
                <w:sz w:val="20"/>
                <w:szCs w:val="20"/>
              </w:rPr>
              <w:t xml:space="preserve">y3}}</w:t>
            </w:r>
          </w:p>
        </w:tc>
        <w:tc>
          <w:tcPr>
            <w:tcW w:type="pct" w:w="16%"/>
          </w:tcPr>
          <w:p>
            <w:r>
              <w:rPr>
                <w:sz w:val="20"/>
                <w:szCs w:val="20"/>
              </w:rPr>
              <w:t xml:space="preserve">{{cf</w:t>
            </w:r>
            <w:r>
              <w:rPr>
                <w:i/>
                <w:iCs/>
                <w:sz w:val="20"/>
                <w:szCs w:val="20"/>
              </w:rPr>
              <w:t xml:space="preserve">fin</w:t>
            </w:r>
            <w:r>
              <w:rPr>
                <w:sz w:val="20"/>
                <w:szCs w:val="20"/>
              </w:rPr>
              <w:t xml:space="preserve">y4}}</w:t>
            </w:r>
          </w:p>
        </w:tc>
        <w:tc>
          <w:tcPr>
            <w:tcW w:type="pct" w:w="16%"/>
          </w:tcPr>
          <w:p>
            <w:r>
              <w:rPr>
                <w:sz w:val="20"/>
                <w:szCs w:val="20"/>
              </w:rPr>
              <w:t xml:space="preserve">{{cf</w:t>
            </w:r>
            <w:r>
              <w:rPr>
                <w:i/>
                <w:iCs/>
                <w:sz w:val="20"/>
                <w:szCs w:val="20"/>
              </w:rPr>
              <w:t xml:space="preserve">fin</w:t>
            </w:r>
            <w:r>
              <w:rPr>
                <w:sz w:val="20"/>
                <w:szCs w:val="20"/>
              </w:rPr>
              <w:t xml:space="preserve">y5}}</w:t>
            </w:r>
          </w:p>
        </w:tc>
      </w:tr>
      <w:tr>
        <w:tc>
          <w:tcPr>
            <w:tcW w:type="pct" w:w="16%"/>
          </w:tcPr>
          <w:p>
            <w:r>
              <w:rPr>
                <w:b/>
                <w:bCs/>
                <w:sz w:val="20"/>
                <w:szCs w:val="20"/>
              </w:rPr>
              <w:t xml:space="preserve">Net change in cash</w:t>
            </w:r>
          </w:p>
        </w:tc>
        <w:tc>
          <w:tcPr>
            <w:tcW w:type="pct" w:w="16%"/>
          </w:tcPr>
          <w:p>
            <w:r>
              <w:rPr>
                <w:b/>
                <w:bCs/>
                <w:sz w:val="20"/>
                <w:szCs w:val="20"/>
              </w:rPr>
              <w:t xml:space="preserve">{{cf_net_y1}}</w:t>
            </w:r>
          </w:p>
        </w:tc>
        <w:tc>
          <w:tcPr>
            <w:tcW w:type="pct" w:w="16%"/>
          </w:tcPr>
          <w:p>
            <w:r>
              <w:rPr>
                <w:b/>
                <w:bCs/>
                <w:sz w:val="20"/>
                <w:szCs w:val="20"/>
              </w:rPr>
              <w:t xml:space="preserve">{{cf_net_y2}}</w:t>
            </w:r>
          </w:p>
        </w:tc>
        <w:tc>
          <w:tcPr>
            <w:tcW w:type="pct" w:w="16%"/>
          </w:tcPr>
          <w:p>
            <w:r>
              <w:rPr>
                <w:b/>
                <w:bCs/>
                <w:sz w:val="20"/>
                <w:szCs w:val="20"/>
              </w:rPr>
              <w:t xml:space="preserve">{{cf_net_y3}}</w:t>
            </w:r>
          </w:p>
        </w:tc>
        <w:tc>
          <w:tcPr>
            <w:tcW w:type="pct" w:w="16%"/>
          </w:tcPr>
          <w:p>
            <w:r>
              <w:rPr>
                <w:b/>
                <w:bCs/>
                <w:sz w:val="20"/>
                <w:szCs w:val="20"/>
              </w:rPr>
              <w:t xml:space="preserve">{{cf_net_y4}}</w:t>
            </w:r>
          </w:p>
        </w:tc>
        <w:tc>
          <w:tcPr>
            <w:tcW w:type="pct" w:w="16%"/>
          </w:tcPr>
          <w:p>
            <w:r>
              <w:rPr>
                <w:b/>
                <w:bCs/>
                <w:sz w:val="20"/>
                <w:szCs w:val="20"/>
              </w:rPr>
              <w:t xml:space="preserve">{{cf_net_y5}}</w:t>
            </w:r>
          </w:p>
        </w:tc>
      </w:tr>
    </w:tbl>
    <w:p>
      <w:pPr>
        <w:pStyle w:val="Heading2"/>
        <w:spacing w:after="180" w:before="360"/>
      </w:pPr>
      <w:r>
        <w:rPr>
          <w:sz w:val="26"/>
          <w:szCs w:val="26"/>
        </w:rPr>
        <w:t xml:space="preserve">7.6 Sensitivity analysis</w:t>
      </w:r>
    </w:p>
    <w:p>
      <w:pPr>
        <w:spacing w:after="160" w:line="320"/>
      </w:pPr>
      <w:r>
        <w:rPr>
          <w:sz w:val="22"/>
          <w:szCs w:val="22"/>
        </w:rPr>
        <w:t xml:space="preserve">The model has been stress-tested against revenue variability of ±25%. The following table presents Year-3 outcomes under each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Pr>
          <w:p>
            <w:r>
              <w:rPr>
                <w:b/>
                <w:bCs/>
                <w:sz w:val="20"/>
                <w:szCs w:val="20"/>
              </w:rPr>
            </w:r>
          </w:p>
        </w:tc>
        <w:tc>
          <w:tcPr>
            <w:tcW w:type="pct" w:w="20%"/>
          </w:tcPr>
          <w:p>
            <w:r>
              <w:rPr>
                <w:b/>
                <w:bCs/>
                <w:sz w:val="20"/>
                <w:szCs w:val="20"/>
              </w:rPr>
            </w:r>
          </w:p>
        </w:tc>
        <w:tc>
          <w:tcPr>
            <w:tcW w:type="pct" w:w="20%"/>
          </w:tcPr>
          <w:p>
            <w:r>
              <w:rPr>
                <w:b/>
                <w:bCs/>
                <w:sz w:val="20"/>
                <w:szCs w:val="20"/>
              </w:rPr>
            </w:r>
          </w:p>
        </w:tc>
        <w:tc>
          <w:tcPr>
            <w:tcW w:type="pct" w:w="20%"/>
          </w:tcPr>
          <w:p>
            <w:r>
              <w:rPr>
                <w:b/>
                <w:bCs/>
                <w:sz w:val="20"/>
                <w:szCs w:val="20"/>
              </w:rPr>
            </w:r>
          </w:p>
        </w:tc>
        <w:tc>
          <w:tcPr>
            <w:tcW w:type="pct" w:w="20%"/>
          </w:tcPr>
          <w:p>
            <w:r>
              <w:rPr>
                <w:b/>
                <w:bCs/>
                <w:sz w:val="20"/>
                <w:szCs w:val="20"/>
              </w:rPr>
            </w:r>
          </w:p>
        </w:tc>
      </w:tr>
      <w:tr>
        <w:tc>
          <w:tcPr>
            <w:tcW w:type="pct" w:w="20%"/>
          </w:tcPr>
          <w:p>
            <w:r>
              <w:rPr>
                <w:sz w:val="20"/>
                <w:szCs w:val="20"/>
              </w:rPr>
              <w:t xml:space="preserve">Best case (+25%)</w:t>
            </w:r>
          </w:p>
        </w:tc>
        <w:tc>
          <w:tcPr>
            <w:tcW w:type="pct" w:w="20%"/>
          </w:tcPr>
          <w:p>
            <w:r>
              <w:rPr>
                <w:sz w:val="20"/>
                <w:szCs w:val="20"/>
              </w:rPr>
              <w:t xml:space="preserve">{{best</w:t>
            </w:r>
            <w:r>
              <w:rPr>
                <w:i/>
                <w:iCs/>
                <w:sz w:val="20"/>
                <w:szCs w:val="20"/>
              </w:rPr>
              <w:t xml:space="preserve">y3</w:t>
            </w:r>
            <w:r>
              <w:rPr>
                <w:sz w:val="20"/>
                <w:szCs w:val="20"/>
              </w:rPr>
              <w:t xml:space="preserve">rev}}</w:t>
            </w:r>
          </w:p>
        </w:tc>
        <w:tc>
          <w:tcPr>
            <w:tcW w:type="pct" w:w="20%"/>
          </w:tcPr>
          <w:p>
            <w:r>
              <w:rPr>
                <w:sz w:val="20"/>
                <w:szCs w:val="20"/>
              </w:rPr>
              <w:t xml:space="preserve">{{best</w:t>
            </w:r>
            <w:r>
              <w:rPr>
                <w:i/>
                <w:iCs/>
                <w:sz w:val="20"/>
                <w:szCs w:val="20"/>
              </w:rPr>
              <w:t xml:space="preserve">y3</w:t>
            </w:r>
            <w:r>
              <w:rPr>
                <w:sz w:val="20"/>
                <w:szCs w:val="20"/>
              </w:rPr>
              <w:t xml:space="preserve">net}}</w:t>
            </w:r>
          </w:p>
        </w:tc>
        <w:tc>
          <w:tcPr>
            <w:tcW w:type="pct" w:w="20%"/>
          </w:tcPr>
          <w:p>
            <w:r>
              <w:rPr>
                <w:sz w:val="20"/>
                <w:szCs w:val="20"/>
              </w:rPr>
              <w:t xml:space="preserve">{{best</w:t>
            </w:r>
            <w:r>
              <w:rPr>
                <w:i/>
                <w:iCs/>
                <w:sz w:val="20"/>
                <w:szCs w:val="20"/>
              </w:rPr>
              <w:t xml:space="preserve">y5</w:t>
            </w:r>
            <w:r>
              <w:rPr>
                <w:sz w:val="20"/>
                <w:szCs w:val="20"/>
              </w:rPr>
              <w:t xml:space="preserve">cum}}</w:t>
            </w:r>
          </w:p>
        </w:tc>
        <w:tc>
          <w:tcPr>
            <w:tcW w:type="pct" w:w="20%"/>
          </w:tcPr>
          <w:p>
            <w:r>
              <w:rPr>
                <w:sz w:val="20"/>
                <w:szCs w:val="20"/>
              </w:rPr>
              <w:t xml:space="preserve">+1308%</w:t>
            </w:r>
          </w:p>
        </w:tc>
      </w:tr>
      <w:tr>
        <w:tc>
          <w:tcPr>
            <w:tcW w:type="pct" w:w="20%"/>
          </w:tcPr>
          <w:p>
            <w:r>
              <w:rPr>
                <w:sz w:val="20"/>
                <w:szCs w:val="20"/>
              </w:rPr>
              <w:t xml:space="preserve">Base case</w:t>
            </w:r>
          </w:p>
        </w:tc>
        <w:tc>
          <w:tcPr>
            <w:tcW w:type="pct" w:w="20%"/>
          </w:tcPr>
          <w:p>
            <w:r>
              <w:rPr>
                <w:sz w:val="20"/>
                <w:szCs w:val="20"/>
              </w:rPr>
              <w:t xml:space="preserve">{{base</w:t>
            </w:r>
            <w:r>
              <w:rPr>
                <w:i/>
                <w:iCs/>
                <w:sz w:val="20"/>
                <w:szCs w:val="20"/>
              </w:rPr>
              <w:t xml:space="preserve">y3</w:t>
            </w:r>
            <w:r>
              <w:rPr>
                <w:sz w:val="20"/>
                <w:szCs w:val="20"/>
              </w:rPr>
              <w:t xml:space="preserve">rev}}</w:t>
            </w:r>
          </w:p>
        </w:tc>
        <w:tc>
          <w:tcPr>
            <w:tcW w:type="pct" w:w="20%"/>
          </w:tcPr>
          <w:p>
            <w:r>
              <w:rPr>
                <w:sz w:val="20"/>
                <w:szCs w:val="20"/>
              </w:rPr>
              <w:t xml:space="preserve">{{base</w:t>
            </w:r>
            <w:r>
              <w:rPr>
                <w:i/>
                <w:iCs/>
                <w:sz w:val="20"/>
                <w:szCs w:val="20"/>
              </w:rPr>
              <w:t xml:space="preserve">y3</w:t>
            </w:r>
            <w:r>
              <w:rPr>
                <w:sz w:val="20"/>
                <w:szCs w:val="20"/>
              </w:rPr>
              <w:t xml:space="preserve">net}}</w:t>
            </w:r>
          </w:p>
        </w:tc>
        <w:tc>
          <w:tcPr>
            <w:tcW w:type="pct" w:w="20%"/>
          </w:tcPr>
          <w:p>
            <w:r>
              <w:rPr>
                <w:sz w:val="20"/>
                <w:szCs w:val="20"/>
              </w:rPr>
              <w:t xml:space="preserve">{{base</w:t>
            </w:r>
            <w:r>
              <w:rPr>
                <w:i/>
                <w:iCs/>
                <w:sz w:val="20"/>
                <w:szCs w:val="20"/>
              </w:rPr>
              <w:t xml:space="preserve">y5</w:t>
            </w:r>
            <w:r>
              <w:rPr>
                <w:sz w:val="20"/>
                <w:szCs w:val="20"/>
              </w:rPr>
              <w:t xml:space="preserve">cum}}</w:t>
            </w:r>
          </w:p>
        </w:tc>
        <w:tc>
          <w:tcPr>
            <w:tcW w:type="pct" w:w="20%"/>
          </w:tcPr>
          <w:p>
            <w:r>
              <w:rPr>
                <w:sz w:val="20"/>
                <w:szCs w:val="20"/>
              </w:rPr>
              <w:t xml:space="preserve">+503%</w:t>
            </w:r>
          </w:p>
        </w:tc>
      </w:tr>
      <w:tr>
        <w:tc>
          <w:tcPr>
            <w:tcW w:type="pct" w:w="20%"/>
          </w:tcPr>
          <w:p>
            <w:r>
              <w:rPr>
                <w:sz w:val="20"/>
                <w:szCs w:val="20"/>
              </w:rPr>
              <w:t xml:space="preserve">Worst case (-25%)</w:t>
            </w:r>
          </w:p>
        </w:tc>
        <w:tc>
          <w:tcPr>
            <w:tcW w:type="pct" w:w="20%"/>
          </w:tcPr>
          <w:p>
            <w:r>
              <w:rPr>
                <w:sz w:val="20"/>
                <w:szCs w:val="20"/>
              </w:rPr>
              <w:t xml:space="preserve">{{worst</w:t>
            </w:r>
            <w:r>
              <w:rPr>
                <w:i/>
                <w:iCs/>
                <w:sz w:val="20"/>
                <w:szCs w:val="20"/>
              </w:rPr>
              <w:t xml:space="preserve">y3</w:t>
            </w:r>
            <w:r>
              <w:rPr>
                <w:sz w:val="20"/>
                <w:szCs w:val="20"/>
              </w:rPr>
              <w:t xml:space="preserve">rev}}</w:t>
            </w:r>
          </w:p>
        </w:tc>
        <w:tc>
          <w:tcPr>
            <w:tcW w:type="pct" w:w="20%"/>
          </w:tcPr>
          <w:p>
            <w:r>
              <w:rPr>
                <w:sz w:val="20"/>
                <w:szCs w:val="20"/>
              </w:rPr>
              <w:t xml:space="preserve">{{worst</w:t>
            </w:r>
            <w:r>
              <w:rPr>
                <w:i/>
                <w:iCs/>
                <w:sz w:val="20"/>
                <w:szCs w:val="20"/>
              </w:rPr>
              <w:t xml:space="preserve">y3</w:t>
            </w:r>
            <w:r>
              <w:rPr>
                <w:sz w:val="20"/>
                <w:szCs w:val="20"/>
              </w:rPr>
              <w:t xml:space="preserve">net}}</w:t>
            </w:r>
          </w:p>
        </w:tc>
        <w:tc>
          <w:tcPr>
            <w:tcW w:type="pct" w:w="20%"/>
          </w:tcPr>
          <w:p>
            <w:r>
              <w:rPr>
                <w:sz w:val="20"/>
                <w:szCs w:val="20"/>
              </w:rPr>
              <w:t xml:space="preserve">{{worst</w:t>
            </w:r>
            <w:r>
              <w:rPr>
                <w:i/>
                <w:iCs/>
                <w:sz w:val="20"/>
                <w:szCs w:val="20"/>
              </w:rPr>
              <w:t xml:space="preserve">y5</w:t>
            </w:r>
            <w:r>
              <w:rPr>
                <w:sz w:val="20"/>
                <w:szCs w:val="20"/>
              </w:rPr>
              <w:t xml:space="preserve">cum}}</w:t>
            </w:r>
          </w:p>
        </w:tc>
        <w:tc>
          <w:tcPr>
            <w:tcW w:type="pct" w:w="20%"/>
          </w:tcPr>
          <w:p>
            <w:r>
              <w:rPr>
                <w:sz w:val="20"/>
                <w:szCs w:val="20"/>
              </w:rPr>
              <w:t xml:space="preserve">-301%</w:t>
            </w:r>
          </w:p>
        </w:tc>
      </w:tr>
    </w:tbl>
    <w:p>
      <w:pPr>
        <w:spacing w:after="160" w:line="320"/>
      </w:pPr>
      <w:r>
        <w:rPr>
          <w:b/>
          <w:bCs/>
          <w:sz w:val="22"/>
          <w:szCs w:val="22"/>
        </w:rPr>
        <w:t xml:space="preserve">Worst-case interpretation:</w:t>
      </w:r>
      <w:r>
        <w:rPr>
          <w:sz w:val="22"/>
          <w:szCs w:val="22"/>
        </w:rPr>
        <w:t xml:space="preserve"> Worst-case Year-3 net income falls short of the marginality benchmark. The enterprise reaches the benchmark by Year 5 under worst-case revenue assumptions.</w:t>
      </w:r>
    </w:p>
    <w:p>
      <w:pPr>
        <w:spacing w:after="160" w:line="320"/>
      </w:pPr>
      <w:r>
        <w:rPr>
          <w:sz w:val="22"/>
          <w:szCs w:val="22"/>
        </w:rPr>
        <w:t xml:space="preserve">Even under worst-case revenue assumptions, the enterprise satisfies the marginality test by Year 5, demonstrating durable economic viability across plausible market conditions.</w:t>
      </w:r>
    </w:p>
    <w:p>
      <w:pPr>
        <w:pStyle w:val="Heading2"/>
        <w:spacing w:after="180" w:before="360"/>
      </w:pPr>
      <w:r>
        <w:rPr>
          <w:sz w:val="26"/>
          <w:szCs w:val="26"/>
        </w:rPr>
        <w:t xml:space="preserve">7.7 Source-of-funds reconciliation</w:t>
      </w:r>
    </w:p>
    <w:p>
      <w:pPr>
        <w:spacing w:after="160" w:line="320"/>
      </w:pPr>
      <w:r>
        <w:rPr>
          <w:sz w:val="22"/>
          <w:szCs w:val="22"/>
        </w:rPr>
        <w:t xml:space="preserve">The Year-1 closing balance reconciles to the invested capital and operating performance as follows:</w:t>
      </w:r>
    </w:p>
    <w:p>
      <w:pPr>
        <w:pStyle w:val="ListParagraph"/>
        <w:numPr>
          <w:ilvl w:val="0"/>
          <w:numId w:val="1"/>
        </w:numPr>
        <w:spacing w:after="80" w:line="300"/>
      </w:pPr>
      <w:r>
        <w:rPr>
          <w:sz w:val="22"/>
          <w:szCs w:val="22"/>
        </w:rPr>
        <w:t xml:space="preserve">Opening capital invested: $350,000</w:t>
      </w:r>
    </w:p>
    <w:p>
      <w:pPr>
        <w:pStyle w:val="ListParagraph"/>
        <w:numPr>
          <w:ilvl w:val="0"/>
          <w:numId w:val="1"/>
        </w:numPr>
        <w:spacing w:after="80" w:line="300"/>
      </w:pPr>
      <w:r>
        <w:rPr>
          <w:sz w:val="22"/>
          <w:szCs w:val="22"/>
        </w:rPr>
        <w:t xml:space="preserve">Year-1 operating cash flow: {{cf</w:t>
      </w:r>
      <w:r>
        <w:rPr>
          <w:i/>
          <w:iCs/>
          <w:sz w:val="22"/>
          <w:szCs w:val="22"/>
        </w:rPr>
        <w:t xml:space="preserve">ops</w:t>
      </w:r>
      <w:r>
        <w:rPr>
          <w:sz w:val="22"/>
          <w:szCs w:val="22"/>
        </w:rPr>
        <w:t xml:space="preserve">y1}}</w:t>
      </w:r>
    </w:p>
    <w:p>
      <w:pPr>
        <w:pStyle w:val="ListParagraph"/>
        <w:numPr>
          <w:ilvl w:val="0"/>
          <w:numId w:val="1"/>
        </w:numPr>
        <w:spacing w:after="80" w:line="300"/>
      </w:pPr>
      <w:r>
        <w:rPr>
          <w:sz w:val="22"/>
          <w:szCs w:val="22"/>
        </w:rPr>
        <w:t xml:space="preserve">Year-1 capex: {{cf</w:t>
      </w:r>
      <w:r>
        <w:rPr>
          <w:i/>
          <w:iCs/>
          <w:sz w:val="22"/>
          <w:szCs w:val="22"/>
        </w:rPr>
        <w:t xml:space="preserve">inv</w:t>
      </w:r>
      <w:r>
        <w:rPr>
          <w:sz w:val="22"/>
          <w:szCs w:val="22"/>
        </w:rPr>
        <w:t xml:space="preserve">y1}}</w:t>
      </w:r>
    </w:p>
    <w:p>
      <w:pPr>
        <w:pStyle w:val="ListParagraph"/>
        <w:numPr>
          <w:ilvl w:val="0"/>
          <w:numId w:val="1"/>
        </w:numPr>
        <w:spacing w:after="80" w:line="300"/>
      </w:pPr>
      <w:r>
        <w:rPr>
          <w:sz w:val="22"/>
          <w:szCs w:val="22"/>
        </w:rPr>
        <w:t xml:space="preserve">Year-1 financing inflows: {{cf</w:t>
      </w:r>
      <w:r>
        <w:rPr>
          <w:i/>
          <w:iCs/>
          <w:sz w:val="22"/>
          <w:szCs w:val="22"/>
        </w:rPr>
        <w:t xml:space="preserve">fin</w:t>
      </w:r>
      <w:r>
        <w:rPr>
          <w:sz w:val="22"/>
          <w:szCs w:val="22"/>
        </w:rPr>
        <w:t xml:space="preserve">y1}}</w:t>
      </w:r>
    </w:p>
    <w:p>
      <w:pPr>
        <w:pStyle w:val="ListParagraph"/>
        <w:numPr>
          <w:ilvl w:val="0"/>
          <w:numId w:val="1"/>
        </w:numPr>
        <w:spacing w:after="80" w:line="300"/>
      </w:pPr>
      <w:r>
        <w:rPr>
          <w:b/>
          <w:bCs/>
          <w:sz w:val="22"/>
          <w:szCs w:val="22"/>
        </w:rPr>
        <w:t xml:space="preserve">Year-1 closing cash:</w:t>
      </w:r>
      <w:r>
        <w:rPr>
          <w:sz w:val="22"/>
          <w:szCs w:val="22"/>
        </w:rPr>
        <w:t xml:space="preserve"> </w:t>
      </w:r>
      <w:r>
        <w:rPr>
          <w:b/>
          <w:bCs/>
          <w:sz w:val="22"/>
          <w:szCs w:val="22"/>
        </w:rPr>
        <w:t xml:space="preserve">{{bs_cash_y1}}</w:t>
      </w:r>
    </w:p>
    <w:p>
      <w:pPr>
        <w:spacing w:after="160" w:line="320"/>
      </w:pPr>
      <w:r>
        <w:rPr>
          <w:sz w:val="22"/>
          <w:szCs w:val="22"/>
        </w:rPr>
        <w:t xml:space="preserve">The reconciliation confirms internal consistency of the model with the Source of Funds narrative in Section 2 and the at-risk capital analysis in the L-1 Eligibility section.</w:t>
      </w:r>
    </w:p>
    <w:p>
      <w:pPr>
        <w:pStyle w:val="Heading1"/>
        <w:pageBreakBefore/>
        <w:spacing w:after="180" w:before="480"/>
      </w:pPr>
      <w:r>
        <w:rPr>
          <w:sz w:val="32"/>
          <w:szCs w:val="32"/>
        </w:rPr>
        <w:t xml:space="preserve">US Hiring Plan and Job Creation</w:t>
      </w:r>
    </w:p>
    <w:p>
      <w:pPr>
        <w:spacing w:after="160" w:line="320"/>
      </w:pPr>
      <w:r>
        <w:rPr>
          <w:sz w:val="22"/>
          <w:szCs w:val="22"/>
        </w:rPr>
        <w:t xml:space="preserve">This section details the U.S. hiring plan for CodeWave US Inc.. The plan supports the L-1 non-marginality analysis (Section 3.5) by demonstrating economic impact extending beyond the petitioner's family. Salary ranges reference Bureau of Labor Statistics (BLS) Occupational Employment and Wage Statistics for the Austin, TX Metropolitan Statistical Area or the closest published comparable.</w:t>
      </w:r>
    </w:p>
    <w:p>
      <w:pPr>
        <w:pStyle w:val="Heading2"/>
        <w:spacing w:after="180" w:before="360"/>
      </w:pPr>
      <w:r>
        <w:rPr>
          <w:sz w:val="26"/>
          <w:szCs w:val="26"/>
        </w:rPr>
        <w:t xml:space="preserve">8.1 Organization chart</w:t>
      </w:r>
    </w:p>
    <w:p>
      <w:pPr>
        <w:spacing w:after="160" w:line="320"/>
      </w:pPr>
      <w:r>
        <w:rPr>
          <w:sz w:val="22"/>
          <w:szCs w:val="22"/>
        </w:rPr>
        <w:t xml:space="preserve">Andrei Popescu (President and Chief Executive Officer) leads the enterprise. Reporting structure flows: Petitioner -&gt; direct managers -&gt; line staff. Detailed organization chart with named or to-be-hired roles is maintained in the firm's HR exhibit.</w:t>
      </w:r>
    </w:p>
    <w:p>
      <w:pPr>
        <w:pStyle w:val="Heading2"/>
        <w:spacing w:after="180" w:before="360"/>
      </w:pPr>
      <w:r>
        <w:rPr>
          <w:sz w:val="26"/>
          <w:szCs w:val="26"/>
        </w:rPr>
        <w:t xml:space="preserve">8.2 Year-by-year U.S. hiring schedule</w:t>
      </w:r>
    </w:p>
    <w:p>
      <w:pPr>
        <w:spacing w:after="160" w:line="320"/>
      </w:pPr>
      <w:r>
        <w:rPr>
          <w:sz w:val="22"/>
          <w:szCs w:val="22"/>
        </w:rPr>
        <w:t xml:space="preserve">CodeWave US Inc. will create the following U.S. direct jobs across the five-year planning horizon: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r>
      <w:tr>
        <w:tc>
          <w:tcPr>
            <w:tcW w:type="pct" w:w="25%"/>
          </w:tcPr>
          <w:p>
            <w:r>
              <w:rPr>
                <w:sz w:val="20"/>
                <w:szCs w:val="20"/>
              </w:rPr>
              <w:t xml:space="preserve">Year 1</w:t>
            </w:r>
          </w:p>
        </w:tc>
        <w:tc>
          <w:tcPr>
            <w:tcW w:type="pct" w:w="25%"/>
          </w:tcPr>
          <w:p>
            <w:r>
              <w:rPr>
                <w:sz w:val="20"/>
                <w:szCs w:val="20"/>
              </w:rPr>
              <w:t xml:space="preserve">{{hires_y1}}</w:t>
            </w:r>
          </w:p>
        </w:tc>
        <w:tc>
          <w:tcPr>
            <w:tcW w:type="pct" w:w="25%"/>
          </w:tcPr>
          <w:p>
            <w:r>
              <w:rPr>
                <w:sz w:val="20"/>
                <w:szCs w:val="20"/>
              </w:rPr>
              <w:t xml:space="preserve">{{cum</w:t>
            </w:r>
            <w:r>
              <w:rPr>
                <w:i/>
                <w:iCs/>
                <w:sz w:val="20"/>
                <w:szCs w:val="20"/>
              </w:rPr>
              <w:t xml:space="preserve">hires</w:t>
            </w:r>
            <w:r>
              <w:rPr>
                <w:sz w:val="20"/>
                <w:szCs w:val="20"/>
              </w:rPr>
              <w:t xml:space="preserve">y1}}</w:t>
            </w:r>
          </w:p>
        </w:tc>
        <w:tc>
          <w:tcPr>
            <w:tcW w:type="pct" w:w="25%"/>
          </w:tcPr>
          <w:p>
            <w:r>
              <w:rPr>
                <w:sz w:val="20"/>
                <w:szCs w:val="20"/>
              </w:rPr>
              <w:t xml:space="preserve">{{payroll_y1}}</w:t>
            </w:r>
          </w:p>
        </w:tc>
      </w:tr>
      <w:tr>
        <w:tc>
          <w:tcPr>
            <w:tcW w:type="pct" w:w="25%"/>
          </w:tcPr>
          <w:p>
            <w:r>
              <w:rPr>
                <w:sz w:val="20"/>
                <w:szCs w:val="20"/>
              </w:rPr>
              <w:t xml:space="preserve">Year 2</w:t>
            </w:r>
          </w:p>
        </w:tc>
        <w:tc>
          <w:tcPr>
            <w:tcW w:type="pct" w:w="25%"/>
          </w:tcPr>
          <w:p>
            <w:r>
              <w:rPr>
                <w:sz w:val="20"/>
                <w:szCs w:val="20"/>
              </w:rPr>
              <w:t xml:space="preserve">{{hires_y2}}</w:t>
            </w:r>
          </w:p>
        </w:tc>
        <w:tc>
          <w:tcPr>
            <w:tcW w:type="pct" w:w="25%"/>
          </w:tcPr>
          <w:p>
            <w:r>
              <w:rPr>
                <w:sz w:val="20"/>
                <w:szCs w:val="20"/>
              </w:rPr>
              <w:t xml:space="preserve">{{cum</w:t>
            </w:r>
            <w:r>
              <w:rPr>
                <w:i/>
                <w:iCs/>
                <w:sz w:val="20"/>
                <w:szCs w:val="20"/>
              </w:rPr>
              <w:t xml:space="preserve">hires</w:t>
            </w:r>
            <w:r>
              <w:rPr>
                <w:sz w:val="20"/>
                <w:szCs w:val="20"/>
              </w:rPr>
              <w:t xml:space="preserve">y2}}</w:t>
            </w:r>
          </w:p>
        </w:tc>
        <w:tc>
          <w:tcPr>
            <w:tcW w:type="pct" w:w="25%"/>
          </w:tcPr>
          <w:p>
            <w:r>
              <w:rPr>
                <w:sz w:val="20"/>
                <w:szCs w:val="20"/>
              </w:rPr>
              <w:t xml:space="preserve">{{payroll_y2}}</w:t>
            </w:r>
          </w:p>
        </w:tc>
      </w:tr>
      <w:tr>
        <w:tc>
          <w:tcPr>
            <w:tcW w:type="pct" w:w="25%"/>
          </w:tcPr>
          <w:p>
            <w:r>
              <w:rPr>
                <w:sz w:val="20"/>
                <w:szCs w:val="20"/>
              </w:rPr>
              <w:t xml:space="preserve">Year 3</w:t>
            </w:r>
          </w:p>
        </w:tc>
        <w:tc>
          <w:tcPr>
            <w:tcW w:type="pct" w:w="25%"/>
          </w:tcPr>
          <w:p>
            <w:r>
              <w:rPr>
                <w:sz w:val="20"/>
                <w:szCs w:val="20"/>
              </w:rPr>
              <w:t xml:space="preserve">{{hires_y3}}</w:t>
            </w:r>
          </w:p>
        </w:tc>
        <w:tc>
          <w:tcPr>
            <w:tcW w:type="pct" w:w="25%"/>
          </w:tcPr>
          <w:p>
            <w:r>
              <w:rPr>
                <w:sz w:val="20"/>
                <w:szCs w:val="20"/>
              </w:rPr>
              <w:t xml:space="preserve">{{cum</w:t>
            </w:r>
            <w:r>
              <w:rPr>
                <w:i/>
                <w:iCs/>
                <w:sz w:val="20"/>
                <w:szCs w:val="20"/>
              </w:rPr>
              <w:t xml:space="preserve">hires</w:t>
            </w:r>
            <w:r>
              <w:rPr>
                <w:sz w:val="20"/>
                <w:szCs w:val="20"/>
              </w:rPr>
              <w:t xml:space="preserve">y3}}</w:t>
            </w:r>
          </w:p>
        </w:tc>
        <w:tc>
          <w:tcPr>
            <w:tcW w:type="pct" w:w="25%"/>
          </w:tcPr>
          <w:p>
            <w:r>
              <w:rPr>
                <w:sz w:val="20"/>
                <w:szCs w:val="20"/>
              </w:rPr>
              <w:t xml:space="preserve">{{payroll_y3}}</w:t>
            </w:r>
          </w:p>
        </w:tc>
      </w:tr>
      <w:tr>
        <w:tc>
          <w:tcPr>
            <w:tcW w:type="pct" w:w="25%"/>
          </w:tcPr>
          <w:p>
            <w:r>
              <w:rPr>
                <w:sz w:val="20"/>
                <w:szCs w:val="20"/>
              </w:rPr>
              <w:t xml:space="preserve">Year 4</w:t>
            </w:r>
          </w:p>
        </w:tc>
        <w:tc>
          <w:tcPr>
            <w:tcW w:type="pct" w:w="25%"/>
          </w:tcPr>
          <w:p>
            <w:r>
              <w:rPr>
                <w:sz w:val="20"/>
                <w:szCs w:val="20"/>
              </w:rPr>
              <w:t xml:space="preserve">{{hires_y4}}</w:t>
            </w:r>
          </w:p>
        </w:tc>
        <w:tc>
          <w:tcPr>
            <w:tcW w:type="pct" w:w="25%"/>
          </w:tcPr>
          <w:p>
            <w:r>
              <w:rPr>
                <w:sz w:val="20"/>
                <w:szCs w:val="20"/>
              </w:rPr>
              <w:t xml:space="preserve">{{cum</w:t>
            </w:r>
            <w:r>
              <w:rPr>
                <w:i/>
                <w:iCs/>
                <w:sz w:val="20"/>
                <w:szCs w:val="20"/>
              </w:rPr>
              <w:t xml:space="preserve">hires</w:t>
            </w:r>
            <w:r>
              <w:rPr>
                <w:sz w:val="20"/>
                <w:szCs w:val="20"/>
              </w:rPr>
              <w:t xml:space="preserve">y4}}</w:t>
            </w:r>
          </w:p>
        </w:tc>
        <w:tc>
          <w:tcPr>
            <w:tcW w:type="pct" w:w="25%"/>
          </w:tcPr>
          <w:p>
            <w:r>
              <w:rPr>
                <w:sz w:val="20"/>
                <w:szCs w:val="20"/>
              </w:rPr>
              <w:t xml:space="preserve">{{payroll_y4}}</w:t>
            </w:r>
          </w:p>
        </w:tc>
      </w:tr>
      <w:tr>
        <w:tc>
          <w:tcPr>
            <w:tcW w:type="pct" w:w="25%"/>
          </w:tcPr>
          <w:p>
            <w:r>
              <w:rPr>
                <w:sz w:val="20"/>
                <w:szCs w:val="20"/>
              </w:rPr>
              <w:t xml:space="preserve">Year 5</w:t>
            </w:r>
          </w:p>
        </w:tc>
        <w:tc>
          <w:tcPr>
            <w:tcW w:type="pct" w:w="25%"/>
          </w:tcPr>
          <w:p>
            <w:r>
              <w:rPr>
                <w:sz w:val="20"/>
                <w:szCs w:val="20"/>
              </w:rPr>
              <w:t xml:space="preserve">{{hires_y5}}</w:t>
            </w:r>
          </w:p>
        </w:tc>
        <w:tc>
          <w:tcPr>
            <w:tcW w:type="pct" w:w="25%"/>
          </w:tcPr>
          <w:p>
            <w:r>
              <w:rPr>
                <w:sz w:val="20"/>
                <w:szCs w:val="20"/>
              </w:rPr>
              <w:t xml:space="preserve">{{cum</w:t>
            </w:r>
            <w:r>
              <w:rPr>
                <w:i/>
                <w:iCs/>
                <w:sz w:val="20"/>
                <w:szCs w:val="20"/>
              </w:rPr>
              <w:t xml:space="preserve">hires</w:t>
            </w:r>
            <w:r>
              <w:rPr>
                <w:sz w:val="20"/>
                <w:szCs w:val="20"/>
              </w:rPr>
              <w:t xml:space="preserve">y5}}</w:t>
            </w:r>
          </w:p>
        </w:tc>
        <w:tc>
          <w:tcPr>
            <w:tcW w:type="pct" w:w="25%"/>
          </w:tcPr>
          <w:p>
            <w:r>
              <w:rPr>
                <w:sz w:val="20"/>
                <w:szCs w:val="20"/>
              </w:rPr>
              <w:t xml:space="preserve">{{payroll_y5}}</w:t>
            </w:r>
          </w:p>
        </w:tc>
      </w:tr>
    </w:tbl>
    <w:p>
      <w:pPr>
        <w:spacing w:after="160" w:line="320"/>
      </w:pPr>
      <w:r>
        <w:rPr>
          <w:sz w:val="22"/>
          <w:szCs w:val="22"/>
        </w:rPr>
        <w:t xml:space="preserve">The hiring schedule is mapped to the financial milestones detailed in Section 7 (Expanded Financial Model). All positions are full-time U.S.-based roles. Part-time and contractor positions are excluded from the headcount above and would constitute additional indirect economic impact.</w:t>
      </w:r>
    </w:p>
    <w:p>
      <w:pPr>
        <w:pStyle w:val="Heading2"/>
        <w:spacing w:after="180" w:before="360"/>
      </w:pPr>
      <w:r>
        <w:rPr>
          <w:sz w:val="26"/>
          <w:szCs w:val="26"/>
        </w:rPr>
        <w:t xml:space="preserve">8.3 Position-by-position descriptions</w:t>
      </w:r>
    </w:p>
    <w:p>
      <w:pPr>
        <w:spacing w:after="160" w:line="320"/>
      </w:pPr>
      <w:r>
        <w:rPr>
          <w:sz w:val="22"/>
          <w:szCs w:val="22"/>
        </w:rPr>
        <w:t xml:space="preserve">The following positions will be filled in the order listed:</w:t>
      </w:r>
    </w:p>
    <w:p>
      <w:pPr>
        <w:pStyle w:val="Heading3"/>
        <w:spacing w:after="180" w:before="360"/>
      </w:pPr>
      <w:r>
        <w:rPr>
          <w:sz w:val="22"/>
          <w:szCs w:val="22"/>
        </w:rPr>
        <w:t xml:space="preserve">Position 1: Andrei Popescu - President and CEO (transferred from foreign parent)</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Austin, TX):</w:t>
      </w:r>
      <w:r>
        <w:rPr>
          <w:sz w:val="22"/>
          <w:szCs w:val="22"/>
        </w:rPr>
        <w:t xml:space="preserve"> $180,000 to $220,000 plus benefits</w:t>
      </w:r>
    </w:p>
    <w:p>
      <w:pPr>
        <w:spacing w:after="160" w:line="320"/>
      </w:pPr>
      <w:r>
        <w:rPr>
          <w:b/>
          <w:bCs/>
          <w:sz w:val="22"/>
          <w:szCs w:val="22"/>
        </w:rPr>
        <w:t xml:space="preserve">Responsibilities:</w:t>
      </w:r>
      <w:r>
        <w:rPr>
          <w:sz w:val="22"/>
          <w:szCs w:val="22"/>
        </w:rPr>
        <w:t xml:space="preserve"> Strategic direction of U.S. subsidiary, final authority over hiring, capital allocation, U.S. client relationships, board reporting to the foreign parent.</w:t>
      </w:r>
    </w:p>
    <w:p>
      <w:pPr>
        <w:pStyle w:val="Heading3"/>
        <w:spacing w:after="180" w:before="360"/>
      </w:pPr>
      <w:r>
        <w:rPr>
          <w:sz w:val="22"/>
          <w:szCs w:val="22"/>
        </w:rPr>
        <w:t xml:space="preserve">Position 2: Senior Sales Director (Months 1-3)</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Austin, TX):</w:t>
      </w:r>
      <w:r>
        <w:rPr>
          <w:sz w:val="22"/>
          <w:szCs w:val="22"/>
        </w:rPr>
        <w:t xml:space="preserve"> $120,000 to $145,000 plus commission</w:t>
      </w:r>
    </w:p>
    <w:p>
      <w:pPr>
        <w:spacing w:after="160" w:line="320"/>
      </w:pPr>
      <w:r>
        <w:rPr>
          <w:b/>
          <w:bCs/>
          <w:sz w:val="22"/>
          <w:szCs w:val="22"/>
        </w:rPr>
        <w:t xml:space="preserve">Responsibilities:</w:t>
      </w:r>
      <w:r>
        <w:rPr>
          <w:sz w:val="22"/>
          <w:szCs w:val="22"/>
        </w:rPr>
        <w:t xml:space="preserve"> U.S. enterprise sales pipeline development, proposal authorship, client contracts. Reports to CEO.</w:t>
      </w:r>
    </w:p>
    <w:p>
      <w:pPr>
        <w:pStyle w:val="Heading3"/>
        <w:spacing w:after="180" w:before="360"/>
      </w:pPr>
      <w:r>
        <w:rPr>
          <w:sz w:val="22"/>
          <w:szCs w:val="22"/>
        </w:rPr>
        <w:t xml:space="preserve">Position 3: Senior Software Engineering Manager (Months 1-2)</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Austin, TX):</w:t>
      </w:r>
      <w:r>
        <w:rPr>
          <w:sz w:val="22"/>
          <w:szCs w:val="22"/>
        </w:rPr>
        <w:t xml:space="preserve"> $135,000 to $160,000 plus equity</w:t>
      </w:r>
    </w:p>
    <w:p>
      <w:pPr>
        <w:spacing w:after="160" w:line="320"/>
      </w:pPr>
      <w:r>
        <w:rPr>
          <w:b/>
          <w:bCs/>
          <w:sz w:val="22"/>
          <w:szCs w:val="22"/>
        </w:rPr>
        <w:t xml:space="preserve">Responsibilities:</w:t>
      </w:r>
      <w:r>
        <w:rPr>
          <w:sz w:val="22"/>
          <w:szCs w:val="22"/>
        </w:rPr>
        <w:t xml:space="preserve"> U.S. delivery team leadership, technical architecture, recruiting U.S. engineers. Reports to CEO.</w:t>
      </w:r>
    </w:p>
    <w:p>
      <w:pPr>
        <w:pStyle w:val="Heading3"/>
        <w:spacing w:after="180" w:before="360"/>
      </w:pPr>
      <w:r>
        <w:rPr>
          <w:sz w:val="22"/>
          <w:szCs w:val="22"/>
        </w:rPr>
        <w:t xml:space="preserve">Position 4: Two Senior Software Engineers (Months 2-4)</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Austin, TX):</w:t>
      </w:r>
      <w:r>
        <w:rPr>
          <w:sz w:val="22"/>
          <w:szCs w:val="22"/>
        </w:rPr>
        <w:t xml:space="preserve"> $110,000 to $140,000 each plus benefits</w:t>
      </w:r>
    </w:p>
    <w:p>
      <w:pPr>
        <w:spacing w:after="160" w:line="320"/>
      </w:pPr>
      <w:r>
        <w:rPr>
          <w:b/>
          <w:bCs/>
          <w:sz w:val="22"/>
          <w:szCs w:val="22"/>
        </w:rPr>
        <w:t xml:space="preserve">Responsibilities:</w:t>
      </w:r>
      <w:r>
        <w:rPr>
          <w:sz w:val="22"/>
          <w:szCs w:val="22"/>
        </w:rPr>
        <w:t xml:space="preserve"> Direct delivery on U.S. client engagements, mentorship of junior engineers in subsequent quarters.</w:t>
      </w:r>
    </w:p>
    <w:p>
      <w:pPr>
        <w:pStyle w:val="Heading3"/>
        <w:spacing w:after="180" w:before="360"/>
      </w:pPr>
      <w:r>
        <w:rPr>
          <w:sz w:val="22"/>
          <w:szCs w:val="22"/>
        </w:rPr>
        <w:t xml:space="preserve">Position 5: Customer Success Manager (Month 4)</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Austin, TX):</w:t>
      </w:r>
      <w:r>
        <w:rPr>
          <w:sz w:val="22"/>
          <w:szCs w:val="22"/>
        </w:rPr>
        <w:t xml:space="preserve"> $75,000 to $90,000 plus benefits</w:t>
      </w:r>
    </w:p>
    <w:p>
      <w:pPr>
        <w:spacing w:after="160" w:line="320"/>
      </w:pPr>
      <w:r>
        <w:rPr>
          <w:b/>
          <w:bCs/>
          <w:sz w:val="22"/>
          <w:szCs w:val="22"/>
        </w:rPr>
        <w:t xml:space="preserve">Responsibilities:</w:t>
      </w:r>
      <w:r>
        <w:rPr>
          <w:sz w:val="22"/>
          <w:szCs w:val="22"/>
        </w:rPr>
        <w:t xml:space="preserve"> Onboarding new U.S. clients, retention, account growth coordination.</w:t>
      </w:r>
    </w:p>
    <w:p>
      <w:pPr>
        <w:pStyle w:val="Heading3"/>
        <w:spacing w:after="180" w:before="360"/>
      </w:pPr>
      <w:r>
        <w:rPr>
          <w:sz w:val="22"/>
          <w:szCs w:val="22"/>
        </w:rPr>
        <w:t xml:space="preserve">Position 6: Year-2 expansion: 4 additional roles (mix of engineering, sales, ops)</w:t>
      </w:r>
    </w:p>
    <w:p>
      <w:pPr>
        <w:spacing w:after="160" w:line="320"/>
      </w:pPr>
      <w:r>
        <w:rPr>
          <w:b/>
          <w:bCs/>
          <w:sz w:val="22"/>
          <w:szCs w:val="22"/>
        </w:rPr>
        <w:t xml:space="preserve">Hire timing:</w:t>
      </w:r>
      <w:r>
        <w:rPr>
          <w:sz w:val="22"/>
          <w:szCs w:val="22"/>
        </w:rPr>
        <w:t xml:space="preserve"> Year 2</w:t>
      </w:r>
    </w:p>
    <w:p>
      <w:pPr>
        <w:spacing w:after="160" w:line="320"/>
      </w:pPr>
      <w:r>
        <w:rPr>
          <w:b/>
          <w:bCs/>
          <w:sz w:val="22"/>
          <w:szCs w:val="22"/>
        </w:rPr>
        <w:t xml:space="preserve">Salary range (BLS-aligned for Austin, TX):</w:t>
      </w:r>
      <w:r>
        <w:rPr>
          <w:sz w:val="22"/>
          <w:szCs w:val="22"/>
        </w:rPr>
        <w:t xml:space="preserve"> $70,000 to $145,000 each</w:t>
      </w:r>
    </w:p>
    <w:p>
      <w:pPr>
        <w:spacing w:after="160" w:line="320"/>
      </w:pPr>
      <w:r>
        <w:rPr>
          <w:b/>
          <w:bCs/>
          <w:sz w:val="22"/>
          <w:szCs w:val="22"/>
        </w:rPr>
        <w:t xml:space="preserve">Responsibilities:</w:t>
      </w:r>
      <w:r>
        <w:rPr>
          <w:sz w:val="22"/>
          <w:szCs w:val="22"/>
        </w:rPr>
        <w:t xml:space="preserve"> Capacity expansion supporting Y2 revenue ramp from $480K to $1.2M.</w:t>
      </w:r>
    </w:p>
    <w:p>
      <w:pPr>
        <w:pStyle w:val="Heading2"/>
        <w:spacing w:after="180" w:before="360"/>
      </w:pPr>
      <w:r>
        <w:rPr>
          <w:sz w:val="26"/>
          <w:szCs w:val="26"/>
        </w:rPr>
        <w:t xml:space="preserve">8.4 Hiring criteria and recruitment</w:t>
      </w:r>
    </w:p>
    <w:p>
      <w:pPr>
        <w:spacing w:after="160" w:line="320"/>
      </w:pPr>
      <w:r>
        <w:rPr>
          <w:sz w:val="22"/>
          <w:szCs w:val="22"/>
        </w:rPr>
        <w:t xml:space="preserve">All U.S. hires will be made through standard U.S. labor market channels (job boards, professional recruiters, direct outreach). The petitioner does not intend to fill any position with a foreign national requiring sponsorship beyond the petitioner's own L-1 status.</w:t>
      </w:r>
    </w:p>
    <w:p>
      <w:pPr>
        <w:spacing w:after="160" w:line="320"/>
      </w:pPr>
      <w:r>
        <w:rPr>
          <w:sz w:val="22"/>
          <w:szCs w:val="22"/>
        </w:rPr>
        <w:t xml:space="preserve">Compensation ranges reflect BLS published data for the Austin, TX area for the corresponding Standard Occupational Classification (SOC) codes. Where the role does not map cleanly to a published SOC, the range reflects the petitioner's market research and adviser input on competitive wages for similar roles in the local market.</w:t>
      </w:r>
    </w:p>
    <w:p>
      <w:pPr>
        <w:pStyle w:val="Heading2"/>
        <w:spacing w:after="180" w:before="360"/>
      </w:pPr>
      <w:r>
        <w:rPr>
          <w:sz w:val="26"/>
          <w:szCs w:val="26"/>
        </w:rPr>
        <w:t xml:space="preserve">8.5 Job creation timeline mapped to financial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r>
      <w:tr>
        <w:tc>
          <w:tcPr>
            <w:tcW w:type="pct" w:w="25%"/>
          </w:tcPr>
          <w:p>
            <w:r>
              <w:rPr>
                <w:sz w:val="20"/>
                <w:szCs w:val="20"/>
              </w:rPr>
              <w:t xml:space="preserve">Pre-launch buildout complete</w:t>
            </w:r>
          </w:p>
        </w:tc>
        <w:tc>
          <w:tcPr>
            <w:tcW w:type="pct" w:w="25%"/>
          </w:tcPr>
          <w:p>
            <w:r>
              <w:rPr>
                <w:sz w:val="20"/>
                <w:szCs w:val="20"/>
              </w:rPr>
              <w:t xml:space="preserve">Month 0</w:t>
            </w:r>
          </w:p>
        </w:tc>
        <w:tc>
          <w:tcPr>
            <w:tcW w:type="pct" w:w="25%"/>
          </w:tcPr>
          <w:p>
            <w:r>
              <w:rPr>
                <w:sz w:val="20"/>
                <w:szCs w:val="20"/>
              </w:rPr>
              <w:t xml:space="preserve">{{milestone</w:t>
            </w:r>
            <w:r>
              <w:rPr>
                <w:i/>
                <w:iCs/>
                <w:sz w:val="20"/>
                <w:szCs w:val="20"/>
              </w:rPr>
              <w:t xml:space="preserve">m0</w:t>
            </w:r>
            <w:r>
              <w:rPr>
                <w:sz w:val="20"/>
                <w:szCs w:val="20"/>
              </w:rPr>
              <w:t xml:space="preserve">jobs}}</w:t>
            </w:r>
          </w:p>
        </w:tc>
        <w:tc>
          <w:tcPr>
            <w:tcW w:type="pct" w:w="25%"/>
          </w:tcPr>
          <w:p>
            <w:r>
              <w:rPr>
                <w:sz w:val="20"/>
                <w:szCs w:val="20"/>
              </w:rPr>
              <w:t xml:space="preserve">Lease executed, equipment installed</w:t>
            </w:r>
          </w:p>
        </w:tc>
      </w:tr>
      <w:tr>
        <w:tc>
          <w:tcPr>
            <w:tcW w:type="pct" w:w="25%"/>
          </w:tcPr>
          <w:p>
            <w:r>
              <w:rPr>
                <w:sz w:val="20"/>
                <w:szCs w:val="20"/>
              </w:rPr>
              <w:t xml:space="preserve">Soft launch</w:t>
            </w:r>
          </w:p>
        </w:tc>
        <w:tc>
          <w:tcPr>
            <w:tcW w:type="pct" w:w="25%"/>
          </w:tcPr>
          <w:p>
            <w:r>
              <w:rPr>
                <w:sz w:val="20"/>
                <w:szCs w:val="20"/>
              </w:rPr>
              <w:t xml:space="preserve">Month 1-2</w:t>
            </w:r>
          </w:p>
        </w:tc>
        <w:tc>
          <w:tcPr>
            <w:tcW w:type="pct" w:w="25%"/>
          </w:tcPr>
          <w:p>
            <w:r>
              <w:rPr>
                <w:sz w:val="20"/>
                <w:szCs w:val="20"/>
              </w:rPr>
              <w:t xml:space="preserve">{{milestone</w:t>
            </w:r>
            <w:r>
              <w:rPr>
                <w:i/>
                <w:iCs/>
                <w:sz w:val="20"/>
                <w:szCs w:val="20"/>
              </w:rPr>
              <w:t xml:space="preserve">m2</w:t>
            </w:r>
            <w:r>
              <w:rPr>
                <w:sz w:val="20"/>
                <w:szCs w:val="20"/>
              </w:rPr>
              <w:t xml:space="preserve">jobs}}</w:t>
            </w:r>
          </w:p>
        </w:tc>
        <w:tc>
          <w:tcPr>
            <w:tcW w:type="pct" w:w="25%"/>
          </w:tcPr>
          <w:p>
            <w:r>
              <w:rPr>
                <w:sz w:val="20"/>
                <w:szCs w:val="20"/>
              </w:rPr>
              <w:t xml:space="preserve">First customers served</w:t>
            </w:r>
          </w:p>
        </w:tc>
      </w:tr>
      <w:tr>
        <w:tc>
          <w:tcPr>
            <w:tcW w:type="pct" w:w="25%"/>
          </w:tcPr>
          <w:p>
            <w:r>
              <w:rPr>
                <w:sz w:val="20"/>
                <w:szCs w:val="20"/>
              </w:rPr>
              <w:t xml:space="preserve">Stabilized operations</w:t>
            </w:r>
          </w:p>
        </w:tc>
        <w:tc>
          <w:tcPr>
            <w:tcW w:type="pct" w:w="25%"/>
          </w:tcPr>
          <w:p>
            <w:r>
              <w:rPr>
                <w:sz w:val="20"/>
                <w:szCs w:val="20"/>
              </w:rPr>
              <w:t xml:space="preserve">Month 6</w:t>
            </w:r>
          </w:p>
        </w:tc>
        <w:tc>
          <w:tcPr>
            <w:tcW w:type="pct" w:w="25%"/>
          </w:tcPr>
          <w:p>
            <w:r>
              <w:rPr>
                <w:sz w:val="20"/>
                <w:szCs w:val="20"/>
              </w:rPr>
              <w:t xml:space="preserve">{{milestone</w:t>
            </w:r>
            <w:r>
              <w:rPr>
                <w:i/>
                <w:iCs/>
                <w:sz w:val="20"/>
                <w:szCs w:val="20"/>
              </w:rPr>
              <w:t xml:space="preserve">m6</w:t>
            </w:r>
            <w:r>
              <w:rPr>
                <w:sz w:val="20"/>
                <w:szCs w:val="20"/>
              </w:rPr>
              <w:t xml:space="preserve">jobs}}</w:t>
            </w:r>
          </w:p>
        </w:tc>
        <w:tc>
          <w:tcPr>
            <w:tcW w:type="pct" w:w="25%"/>
          </w:tcPr>
          <w:p>
            <w:r>
              <w:rPr>
                <w:sz w:val="20"/>
                <w:szCs w:val="20"/>
              </w:rPr>
              <w:t xml:space="preserve">Year-1 break-even on monthly basis</w:t>
            </w:r>
          </w:p>
        </w:tc>
      </w:tr>
      <w:tr>
        <w:tc>
          <w:tcPr>
            <w:tcW w:type="pct" w:w="25%"/>
          </w:tcPr>
          <w:p>
            <w:r>
              <w:rPr>
                <w:sz w:val="20"/>
                <w:szCs w:val="20"/>
              </w:rPr>
              <w:t xml:space="preserve">End of Year 1</w:t>
            </w:r>
          </w:p>
        </w:tc>
        <w:tc>
          <w:tcPr>
            <w:tcW w:type="pct" w:w="25%"/>
          </w:tcPr>
          <w:p>
            <w:r>
              <w:rPr>
                <w:sz w:val="20"/>
                <w:szCs w:val="20"/>
              </w:rPr>
              <w:t xml:space="preserve">Month 12</w:t>
            </w:r>
          </w:p>
        </w:tc>
        <w:tc>
          <w:tcPr>
            <w:tcW w:type="pct" w:w="25%"/>
          </w:tcPr>
          <w:p>
            <w:r>
              <w:rPr>
                <w:sz w:val="20"/>
                <w:szCs w:val="20"/>
              </w:rPr>
              <w:t xml:space="preserve">{{cum</w:t>
            </w:r>
            <w:r>
              <w:rPr>
                <w:i/>
                <w:iCs/>
                <w:sz w:val="20"/>
                <w:szCs w:val="20"/>
              </w:rPr>
              <w:t xml:space="preserve">hires</w:t>
            </w:r>
            <w:r>
              <w:rPr>
                <w:sz w:val="20"/>
                <w:szCs w:val="20"/>
              </w:rPr>
              <w:t xml:space="preserve">y1}}</w:t>
            </w:r>
          </w:p>
        </w:tc>
        <w:tc>
          <w:tcPr>
            <w:tcW w:type="pct" w:w="25%"/>
          </w:tcPr>
          <w:p>
            <w:r>
              <w:rPr>
                <w:sz w:val="20"/>
                <w:szCs w:val="20"/>
              </w:rPr>
              <w:t xml:space="preserve">Year-1 revenue target met</w:t>
            </w:r>
          </w:p>
        </w:tc>
      </w:tr>
      <w:tr>
        <w:tc>
          <w:tcPr>
            <w:tcW w:type="pct" w:w="25%"/>
          </w:tcPr>
          <w:p>
            <w:r>
              <w:rPr>
                <w:sz w:val="20"/>
                <w:szCs w:val="20"/>
              </w:rPr>
              <w:t xml:space="preserve">End of Year 3</w:t>
            </w:r>
          </w:p>
        </w:tc>
        <w:tc>
          <w:tcPr>
            <w:tcW w:type="pct" w:w="25%"/>
          </w:tcPr>
          <w:p>
            <w:r>
              <w:rPr>
                <w:sz w:val="20"/>
                <w:szCs w:val="20"/>
              </w:rPr>
              <w:t xml:space="preserve">Month 36</w:t>
            </w:r>
          </w:p>
        </w:tc>
        <w:tc>
          <w:tcPr>
            <w:tcW w:type="pct" w:w="25%"/>
          </w:tcPr>
          <w:p>
            <w:r>
              <w:rPr>
                <w:sz w:val="20"/>
                <w:szCs w:val="20"/>
              </w:rPr>
              <w:t xml:space="preserve">{{cum</w:t>
            </w:r>
            <w:r>
              <w:rPr>
                <w:i/>
                <w:iCs/>
                <w:sz w:val="20"/>
                <w:szCs w:val="20"/>
              </w:rPr>
              <w:t xml:space="preserve">hires</w:t>
            </w:r>
            <w:r>
              <w:rPr>
                <w:sz w:val="20"/>
                <w:szCs w:val="20"/>
              </w:rPr>
              <w:t xml:space="preserve">y3}}</w:t>
            </w:r>
          </w:p>
        </w:tc>
        <w:tc>
          <w:tcPr>
            <w:tcW w:type="pct" w:w="25%"/>
          </w:tcPr>
          <w:p>
            <w:r>
              <w:rPr>
                <w:sz w:val="20"/>
                <w:szCs w:val="20"/>
              </w:rPr>
              <w:t xml:space="preserve">Stabilized operating margin</w:t>
            </w:r>
          </w:p>
        </w:tc>
      </w:tr>
      <w:tr>
        <w:tc>
          <w:tcPr>
            <w:tcW w:type="pct" w:w="25%"/>
          </w:tcPr>
          <w:p>
            <w:r>
              <w:rPr>
                <w:sz w:val="20"/>
                <w:szCs w:val="20"/>
              </w:rPr>
              <w:t xml:space="preserve">End of Year 5</w:t>
            </w:r>
          </w:p>
        </w:tc>
        <w:tc>
          <w:tcPr>
            <w:tcW w:type="pct" w:w="25%"/>
          </w:tcPr>
          <w:p>
            <w:r>
              <w:rPr>
                <w:sz w:val="20"/>
                <w:szCs w:val="20"/>
              </w:rPr>
              <w:t xml:space="preserve">Month 60</w:t>
            </w:r>
          </w:p>
        </w:tc>
        <w:tc>
          <w:tcPr>
            <w:tcW w:type="pct" w:w="25%"/>
          </w:tcPr>
          <w:p>
            <w:r>
              <w:rPr>
                <w:sz w:val="20"/>
                <w:szCs w:val="20"/>
              </w:rPr>
              <w:t xml:space="preserve">{{cum</w:t>
            </w:r>
            <w:r>
              <w:rPr>
                <w:i/>
                <w:iCs/>
                <w:sz w:val="20"/>
                <w:szCs w:val="20"/>
              </w:rPr>
              <w:t xml:space="preserve">hires</w:t>
            </w:r>
            <w:r>
              <w:rPr>
                <w:sz w:val="20"/>
                <w:szCs w:val="20"/>
              </w:rPr>
              <w:t xml:space="preserve">y5}}</w:t>
            </w:r>
          </w:p>
        </w:tc>
        <w:tc>
          <w:tcPr>
            <w:tcW w:type="pct" w:w="25%"/>
          </w:tcPr>
          <w:p>
            <w:r>
              <w:rPr>
                <w:sz w:val="20"/>
                <w:szCs w:val="20"/>
              </w:rPr>
              <w:t xml:space="preserve">Mature enterprise</w:t>
            </w:r>
          </w:p>
        </w:tc>
      </w:tr>
    </w:tbl>
    <w:p>
      <w:pPr>
        <w:pStyle w:val="Heading2"/>
        <w:spacing w:after="180" w:before="360"/>
      </w:pPr>
      <w:r>
        <w:rPr>
          <w:sz w:val="26"/>
          <w:szCs w:val="26"/>
        </w:rPr>
        <w:t xml:space="preserve">8.6 Indirect and induced economic impact</w:t>
      </w:r>
    </w:p>
    <w:p>
      <w:pPr>
        <w:spacing w:after="160" w:line="320"/>
      </w:pPr>
      <w:r>
        <w:rPr>
          <w:sz w:val="22"/>
          <w:szCs w:val="22"/>
        </w:rPr>
        <w:t xml:space="preserve">In addition to the {{cum</w:t>
      </w:r>
      <w:r>
        <w:rPr>
          <w:i/>
          <w:iCs/>
          <w:sz w:val="22"/>
          <w:szCs w:val="22"/>
        </w:rPr>
        <w:t xml:space="preserve">hires</w:t>
      </w:r>
      <w:r>
        <w:rPr>
          <w:sz w:val="22"/>
          <w:szCs w:val="22"/>
        </w:rPr>
        <w:t xml:space="preserve">y5}} direct jobs created by Year 5, CodeWave US Inc. will generate indirect economic impact through:</w:t>
      </w:r>
    </w:p>
    <w:p>
      <w:pPr>
        <w:pStyle w:val="ListParagraph"/>
        <w:numPr>
          <w:ilvl w:val="0"/>
          <w:numId w:val="1"/>
        </w:numPr>
        <w:spacing w:after="80" w:line="300"/>
      </w:pPr>
      <w:r>
        <w:rPr>
          <w:sz w:val="22"/>
          <w:szCs w:val="22"/>
        </w:rPr>
        <w:t xml:space="preserve">Vendor and supplier purchases (detailed in Section 9, Operations Plan)</w:t>
      </w:r>
    </w:p>
    <w:p>
      <w:pPr>
        <w:pStyle w:val="ListParagraph"/>
        <w:numPr>
          <w:ilvl w:val="0"/>
          <w:numId w:val="1"/>
        </w:numPr>
        <w:spacing w:after="80" w:line="300"/>
      </w:pPr>
      <w:r>
        <w:rPr>
          <w:sz w:val="22"/>
          <w:szCs w:val="22"/>
        </w:rPr>
        <w:t xml:space="preserve">Local service spending by U.S.-based employees</w:t>
      </w:r>
    </w:p>
    <w:p>
      <w:pPr>
        <w:pStyle w:val="ListParagraph"/>
        <w:numPr>
          <w:ilvl w:val="0"/>
          <w:numId w:val="1"/>
        </w:numPr>
        <w:spacing w:after="80" w:line="300"/>
      </w:pPr>
      <w:r>
        <w:rPr>
          <w:sz w:val="22"/>
          <w:szCs w:val="22"/>
        </w:rPr>
        <w:t xml:space="preserve">Tax revenue (federal, state of Texas, and local)</w:t>
      </w:r>
    </w:p>
    <w:p>
      <w:pPr>
        <w:spacing w:after="160" w:line="320"/>
      </w:pPr>
      <w:r>
        <w:rPr>
          <w:sz w:val="22"/>
          <w:szCs w:val="22"/>
        </w:rPr>
        <w:t xml:space="preserve">While indirect and induced job multipliers (such as the RIMS II model) are typically applied in EB-5 contexts, for the L-1 non-marginality analysis the direct-hire count and payroll above are sufficient to demonstrate that the enterprise materially exceeds a marginal operation under 8 CFR 214.2(e)(15).</w:t>
      </w:r>
    </w:p>
    <w:p>
      <w:pPr>
        <w:pStyle w:val="Heading2"/>
        <w:spacing w:after="180" w:before="360"/>
      </w:pPr>
      <w:r>
        <w:rPr>
          <w:sz w:val="26"/>
          <w:szCs w:val="26"/>
        </w:rPr>
        <w:t xml:space="preserve">8.7 Petitioner's role within the organization</w:t>
      </w:r>
    </w:p>
    <w:p>
      <w:pPr>
        <w:spacing w:after="160" w:line="320"/>
      </w:pPr>
      <w:r>
        <w:rPr>
          <w:sz w:val="22"/>
          <w:szCs w:val="22"/>
        </w:rPr>
        <w:t xml:space="preserve">Andrei Popescu serves as President and Chief Executive Officer of CodeWave US Inc. and is responsible for corporate governance, hiring decisions, vendor relationships, and strategic direction. The petitioner's day-to-day responsibilities are detailed in Section 3 (L-1 Eligibility, Subsection 6: Develop and Direct).</w:t>
      </w:r>
    </w:p>
    <w:p>
      <w:pPr>
        <w:spacing w:after="160" w:line="320"/>
      </w:pPr>
      <w:r>
        <w:rPr>
          <w:sz w:val="22"/>
          <w:szCs w:val="22"/>
        </w:rPr>
        <w:t xml:space="preserve">The petitioner's compensation is structured as a combination of base salary and distribution of profits. The base salary is included in the cumulative annual payroll figures above. The petitioner's profit distribution is contingent on the enterprise's financial performance and is consistent with the at-risk nature of the investment.</w:t>
      </w:r>
    </w:p>
    <w:p>
      <w:pPr>
        <w:pStyle w:val="Heading1"/>
        <w:pageBreakBefore/>
        <w:spacing w:after="180" w:before="480"/>
      </w:pPr>
      <w:r>
        <w:rPr>
          <w:sz w:val="32"/>
          <w:szCs w:val="32"/>
        </w:rPr>
        <w:t xml:space="preserve">Operations Plan (Expanded)</w:t>
      </w:r>
    </w:p>
    <w:p>
      <w:pPr>
        <w:spacing w:after="160" w:line="320"/>
      </w:pPr>
      <w:r>
        <w:rPr>
          <w:sz w:val="22"/>
          <w:szCs w:val="22"/>
        </w:rPr>
        <w:t xml:space="preserve">This section details the operating model of CodeWave US Inc., including physical premises, equipment, vendor relationships, supply chain, and regulatory compliance. The expanded operations narrative supports the "real and active enterprise" requirement of L-1 eligibility (Section 3.4) and demonstrates substantive U.S.-based commercial activity.</w:t>
      </w:r>
    </w:p>
    <w:p>
      <w:pPr>
        <w:pStyle w:val="Heading2"/>
        <w:spacing w:after="180" w:before="360"/>
      </w:pPr>
      <w:r>
        <w:rPr>
          <w:sz w:val="26"/>
          <w:szCs w:val="26"/>
        </w:rPr>
        <w:t xml:space="preserve">9.1 Physical premises and lease</w:t>
      </w:r>
    </w:p>
    <w:p>
      <w:pPr>
        <w:spacing w:after="160" w:line="320"/>
      </w:pPr>
      <w:r>
        <w:rPr>
          <w:sz w:val="22"/>
          <w:szCs w:val="22"/>
        </w:rPr>
        <w:t xml:space="preserve">CodeWave US Inc. operates from Austin, TX at the address documented in the lease exhibit provided by the firm of record.</w:t>
      </w:r>
    </w:p>
    <w:p>
      <w:pPr>
        <w:spacing w:after="160" w:line="320"/>
      </w:pPr>
      <w:r>
        <w:rPr>
          <w:b/>
          <w:bCs/>
          <w:sz w:val="22"/>
          <w:szCs w:val="22"/>
        </w:rPr>
        <w:t xml:space="preserve">Lease summary:</w:t>
      </w:r>
      <w:r>
        <w:rPr>
          <w:sz w:val="22"/>
          <w:szCs w:val="22"/>
        </w:rPr>
        <w:t xml:space="preserve"> 5-year lease executed March 2026 at $5,800/mo plus CAM, with 3% annual escalation</w:t>
      </w:r>
    </w:p>
    <w:p>
      <w:pPr>
        <w:spacing w:after="160" w:line="320"/>
      </w:pPr>
      <w:r>
        <w:rPr>
          <w:b/>
          <w:bCs/>
          <w:sz w:val="22"/>
          <w:szCs w:val="22"/>
        </w:rPr>
        <w:t xml:space="preserve">Premises type:</w:t>
      </w:r>
      <w:r>
        <w:rPr>
          <w:sz w:val="22"/>
          <w:szCs w:val="22"/>
        </w:rPr>
        <w:t xml:space="preserve"> Open-plan commercial office space in downtown Austin</w:t>
      </w:r>
    </w:p>
    <w:p>
      <w:pPr>
        <w:spacing w:after="160" w:line="320"/>
      </w:pPr>
      <w:r>
        <w:rPr>
          <w:b/>
          <w:bCs/>
          <w:sz w:val="22"/>
          <w:szCs w:val="22"/>
        </w:rPr>
        <w:t xml:space="preserve">Approximate square footage:</w:t>
      </w:r>
      <w:r>
        <w:rPr>
          <w:sz w:val="22"/>
          <w:szCs w:val="22"/>
        </w:rPr>
        <w:t xml:space="preserve"> 2,400 square feet</w:t>
      </w:r>
    </w:p>
    <w:p>
      <w:pPr>
        <w:spacing w:after="160" w:line="320"/>
      </w:pPr>
      <w:r>
        <w:rPr>
          <w:b/>
          <w:bCs/>
          <w:sz w:val="22"/>
          <w:szCs w:val="22"/>
        </w:rPr>
        <w:t xml:space="preserve">Build-out status:</w:t>
      </w:r>
      <w:r>
        <w:rPr>
          <w:sz w:val="22"/>
          <w:szCs w:val="22"/>
        </w:rPr>
        <w:t xml:space="preserve"> Lease executed, build-out approximately 70 percent complete</w:t>
      </w:r>
    </w:p>
    <w:p>
      <w:pPr>
        <w:spacing w:after="160" w:line="320"/>
      </w:pPr>
      <w:r>
        <w:rPr>
          <w:sz w:val="22"/>
          <w:szCs w:val="22"/>
        </w:rPr>
        <w:t xml:space="preserve">The physical premises are necessary for the conduct of business and could not be replicated by a remote-only or virtual operation, satisfying the real-and-active standard.</w:t>
      </w:r>
    </w:p>
    <w:p>
      <w:pPr>
        <w:pStyle w:val="Heading2"/>
        <w:spacing w:after="180" w:before="360"/>
      </w:pPr>
      <w:r>
        <w:rPr>
          <w:sz w:val="26"/>
          <w:szCs w:val="26"/>
        </w:rPr>
        <w:t xml:space="preserve">9.2 Equipment and fixed assets</w:t>
      </w:r>
    </w:p>
    <w:p>
      <w:pPr>
        <w:spacing w:after="160" w:line="320"/>
      </w:pPr>
      <w:r>
        <w:rPr>
          <w:sz w:val="22"/>
          <w:szCs w:val="22"/>
        </w:rPr>
        <w:t xml:space="preserve">The enterprise has acquired or will acquire the following equipment and fixed assets, with documentation provided in the equipment exhibit:</w:t>
      </w:r>
    </w:p>
    <w:p>
      <w:pPr>
        <w:pStyle w:val="ListParagraph"/>
        <w:numPr>
          <w:ilvl w:val="0"/>
          <w:numId w:val="1"/>
        </w:numPr>
        <w:spacing w:after="80" w:line="300"/>
      </w:pPr>
      <w:r>
        <w:rPr>
          <w:sz w:val="22"/>
          <w:szCs w:val="22"/>
        </w:rPr>
        <w:t xml:space="preserve">Office furniture and workstations (12-person capacity): $18,000 (purchased and installed)</w:t>
      </w:r>
    </w:p>
    <w:p>
      <w:pPr>
        <w:pStyle w:val="ListParagraph"/>
        <w:numPr>
          <w:ilvl w:val="0"/>
          <w:numId w:val="1"/>
        </w:numPr>
        <w:spacing w:after="80" w:line="300"/>
      </w:pPr>
      <w:r>
        <w:rPr>
          <w:sz w:val="22"/>
          <w:szCs w:val="22"/>
        </w:rPr>
        <w:t xml:space="preserve">Engineering hardware (laptops, dual monitors, peripherals for 6 engineers): $22,000 (purchased, deployment in progress)</w:t>
      </w:r>
    </w:p>
    <w:p>
      <w:pPr>
        <w:pStyle w:val="ListParagraph"/>
        <w:numPr>
          <w:ilvl w:val="0"/>
          <w:numId w:val="1"/>
        </w:numPr>
        <w:spacing w:after="80" w:line="300"/>
      </w:pPr>
      <w:r>
        <w:rPr>
          <w:sz w:val="22"/>
          <w:szCs w:val="22"/>
        </w:rPr>
        <w:t xml:space="preserve">Conference and collaboration equipment: $8,000 (purchased)</w:t>
      </w:r>
    </w:p>
    <w:p>
      <w:pPr>
        <w:pStyle w:val="ListParagraph"/>
        <w:numPr>
          <w:ilvl w:val="0"/>
          <w:numId w:val="1"/>
        </w:numPr>
        <w:spacing w:after="80" w:line="300"/>
      </w:pPr>
      <w:r>
        <w:rPr>
          <w:sz w:val="22"/>
          <w:szCs w:val="22"/>
        </w:rPr>
        <w:t xml:space="preserve">Office build-out and signage: $12,000 (approximately 70 percent complete)</w:t>
      </w:r>
    </w:p>
    <w:p>
      <w:pPr>
        <w:spacing w:after="160" w:line="320"/>
      </w:pPr>
      <w:r>
        <w:rPr>
          <w:sz w:val="22"/>
          <w:szCs w:val="22"/>
        </w:rPr>
        <w:t xml:space="preserve">The total equipment investment is captured in the capital allocation table in Section 3.2 of the L-1 Eligibility section. Equipment is owned outright and is not leased or financed (except where specifically noted in the equipment exhibit).</w:t>
      </w:r>
    </w:p>
    <w:p>
      <w:pPr>
        <w:pStyle w:val="Heading2"/>
        <w:spacing w:after="180" w:before="360"/>
      </w:pPr>
      <w:r>
        <w:rPr>
          <w:sz w:val="26"/>
          <w:szCs w:val="26"/>
        </w:rPr>
        <w:t xml:space="preserve">9.3 Vendor and supplier relationships</w:t>
      </w:r>
    </w:p>
    <w:p>
      <w:pPr>
        <w:spacing w:after="160" w:line="320"/>
      </w:pPr>
      <w:r>
        <w:rPr>
          <w:sz w:val="22"/>
          <w:szCs w:val="22"/>
        </w:rPr>
        <w:t xml:space="preserve">CodeWave US Inc. has established or is in the process of establishing the following key vendor relationships:</w:t>
      </w:r>
    </w:p>
    <w:p>
      <w:pPr>
        <w:pStyle w:val="ListParagraph"/>
        <w:numPr>
          <w:ilvl w:val="0"/>
          <w:numId w:val="1"/>
        </w:numPr>
        <w:spacing w:after="80" w:line="300"/>
      </w:pPr>
      <w:r>
        <w:rPr>
          <w:sz w:val="22"/>
          <w:szCs w:val="22"/>
        </w:rPr>
        <w:t xml:space="preserve">WeWork Austin (overflow / hot-desking): Backup workspace for visiting team members from Romania parent (monthly account established)</w:t>
      </w:r>
    </w:p>
    <w:p>
      <w:pPr>
        <w:pStyle w:val="ListParagraph"/>
        <w:numPr>
          <w:ilvl w:val="0"/>
          <w:numId w:val="1"/>
        </w:numPr>
        <w:spacing w:after="80" w:line="300"/>
      </w:pPr>
      <w:r>
        <w:rPr>
          <w:sz w:val="22"/>
          <w:szCs w:val="22"/>
        </w:rPr>
        <w:t xml:space="preserve">Local accounting and payroll firm: U.S. bookkeeping, payroll, federal and Texas state tax filings (engaged)</w:t>
      </w:r>
    </w:p>
    <w:p>
      <w:pPr>
        <w:pStyle w:val="ListParagraph"/>
        <w:numPr>
          <w:ilvl w:val="0"/>
          <w:numId w:val="1"/>
        </w:numPr>
        <w:spacing w:after="80" w:line="300"/>
      </w:pPr>
      <w:r>
        <w:rPr>
          <w:sz w:val="22"/>
          <w:szCs w:val="22"/>
        </w:rPr>
        <w:t xml:space="preserve">Local employment law firm: U.S. employment compliance, employee handbook, hiring documentation (engaged on retainer)</w:t>
      </w:r>
    </w:p>
    <w:p>
      <w:pPr>
        <w:spacing w:after="160" w:line="320"/>
      </w:pPr>
      <w:r>
        <w:rPr>
          <w:sz w:val="22"/>
          <w:szCs w:val="22"/>
        </w:rPr>
        <w:t xml:space="preserve">Vendor agreements are provided as petition exhibits where executed. Where agreements are pending, the firm of record has documented the petitioner's outreach and the vendor's confirmation of supply availability.</w:t>
      </w:r>
    </w:p>
    <w:p>
      <w:pPr>
        <w:pStyle w:val="Heading2"/>
        <w:spacing w:after="180" w:before="360"/>
      </w:pPr>
      <w:r>
        <w:rPr>
          <w:sz w:val="26"/>
          <w:szCs w:val="26"/>
        </w:rPr>
        <w:t xml:space="preserve">9.4 Supply chain narrative</w:t>
      </w:r>
    </w:p>
    <w:p>
      <w:pPr>
        <w:spacing w:after="160" w:line="320"/>
      </w:pPr>
      <w:r>
        <w:rPr>
          <w:sz w:val="22"/>
          <w:szCs w:val="22"/>
        </w:rPr>
        <w:t xml:space="preserve">CodeWave US Inc. has established or is finalizing relationships with primary and secondary suppliers in the Custom software development services sector. The dual-vendor approach provides redundancy against single-vendor disruption. Lead times, payment terms, and minimum-order quantities are documented in the vendor exhibits.</w:t>
      </w:r>
    </w:p>
    <w:p>
      <w:pPr>
        <w:spacing w:after="160" w:line="320"/>
      </w:pPr>
      <w:r>
        <w:rPr>
          <w:sz w:val="22"/>
          <w:szCs w:val="22"/>
        </w:rPr>
        <w:t xml:space="preserve">The supply chain demonstrates that the enterprise is operationally ready to commence revenue-generating activities and is not contingent on undefined future relationships.</w:t>
      </w:r>
    </w:p>
    <w:p>
      <w:pPr>
        <w:pStyle w:val="Heading2"/>
        <w:spacing w:after="180" w:before="360"/>
      </w:pPr>
      <w:r>
        <w:rPr>
          <w:sz w:val="26"/>
          <w:szCs w:val="26"/>
        </w:rPr>
        <w:t xml:space="preserve">9.5 Regulatory compliance</w:t>
      </w:r>
    </w:p>
    <w:p>
      <w:pPr>
        <w:spacing w:after="160" w:line="320"/>
      </w:pPr>
      <w:r>
        <w:rPr>
          <w:sz w:val="22"/>
          <w:szCs w:val="22"/>
        </w:rPr>
        <w:t xml:space="preserve">CodeWave US Inc. operates in the Custom software development services sector and is subject to federal, state, and local regulatory requirements. The following compliance items have been or will be addressed prior to the start of revenue-generating operations:</w:t>
      </w:r>
    </w:p>
    <w:p>
      <w:pPr>
        <w:pStyle w:val="Heading3"/>
        <w:spacing w:after="180" w:before="360"/>
      </w:pPr>
      <w:r>
        <w:rPr>
          <w:sz w:val="22"/>
          <w:szCs w:val="22"/>
        </w:rPr>
        <w:t xml:space="preserve">Federal compliance</w:t>
      </w:r>
    </w:p>
    <w:p>
      <w:pPr>
        <w:pStyle w:val="ListParagraph"/>
        <w:numPr>
          <w:ilvl w:val="0"/>
          <w:numId w:val="1"/>
        </w:numPr>
        <w:spacing w:after="80" w:line="300"/>
      </w:pPr>
      <w:r>
        <w:rPr>
          <w:sz w:val="22"/>
          <w:szCs w:val="22"/>
        </w:rPr>
        <w:t xml:space="preserve">Federal Employer Identification Number (EIN) issued and active</w:t>
      </w:r>
    </w:p>
    <w:p>
      <w:pPr>
        <w:pStyle w:val="ListParagraph"/>
        <w:numPr>
          <w:ilvl w:val="0"/>
          <w:numId w:val="1"/>
        </w:numPr>
        <w:spacing w:after="80" w:line="300"/>
      </w:pPr>
      <w:r>
        <w:rPr>
          <w:sz w:val="22"/>
          <w:szCs w:val="22"/>
        </w:rPr>
        <w:t xml:space="preserve">Federal tax filings prepared on a calendar-year basis</w:t>
      </w:r>
    </w:p>
    <w:p>
      <w:pPr>
        <w:pStyle w:val="ListParagraph"/>
        <w:numPr>
          <w:ilvl w:val="0"/>
          <w:numId w:val="1"/>
        </w:numPr>
        <w:spacing w:after="80" w:line="300"/>
      </w:pPr>
      <w:r>
        <w:rPr>
          <w:sz w:val="22"/>
          <w:szCs w:val="22"/>
        </w:rPr>
        <w:t xml:space="preserve">Industry-specific federal regulatory registrations as applicable to Custom software development services</w:t>
      </w:r>
    </w:p>
    <w:p>
      <w:pPr>
        <w:pStyle w:val="Heading3"/>
        <w:spacing w:after="180" w:before="360"/>
      </w:pPr>
      <w:r>
        <w:rPr>
          <w:sz w:val="22"/>
          <w:szCs w:val="22"/>
        </w:rPr>
        <w:t xml:space="preserve">State of Texas compliance</w:t>
      </w:r>
    </w:p>
    <w:p>
      <w:pPr>
        <w:pStyle w:val="ListParagraph"/>
        <w:numPr>
          <w:ilvl w:val="0"/>
          <w:numId w:val="1"/>
        </w:numPr>
        <w:spacing w:after="80" w:line="300"/>
      </w:pPr>
      <w:r>
        <w:rPr>
          <w:sz w:val="22"/>
          <w:szCs w:val="22"/>
        </w:rPr>
        <w:t xml:space="preserve">Texas state business registration active</w:t>
      </w:r>
    </w:p>
    <w:p>
      <w:pPr>
        <w:pStyle w:val="ListParagraph"/>
        <w:numPr>
          <w:ilvl w:val="0"/>
          <w:numId w:val="1"/>
        </w:numPr>
        <w:spacing w:after="80" w:line="300"/>
      </w:pPr>
      <w:r>
        <w:rPr>
          <w:sz w:val="22"/>
          <w:szCs w:val="22"/>
        </w:rPr>
        <w:t xml:space="preserve">Texas sales-and-use tax registration where applicable</w:t>
      </w:r>
    </w:p>
    <w:p>
      <w:pPr>
        <w:pStyle w:val="ListParagraph"/>
        <w:numPr>
          <w:ilvl w:val="0"/>
          <w:numId w:val="1"/>
        </w:numPr>
        <w:spacing w:after="80" w:line="300"/>
      </w:pPr>
      <w:r>
        <w:rPr>
          <w:sz w:val="22"/>
          <w:szCs w:val="22"/>
        </w:rPr>
        <w:t xml:space="preserve">Texas state-level industry license or permit as applicable to Custom software development services</w:t>
      </w:r>
    </w:p>
    <w:p>
      <w:pPr>
        <w:pStyle w:val="Heading3"/>
        <w:spacing w:after="180" w:before="360"/>
      </w:pPr>
      <w:r>
        <w:rPr>
          <w:sz w:val="22"/>
          <w:szCs w:val="22"/>
        </w:rPr>
        <w:t xml:space="preserve">Local compliance (Austin, TX)</w:t>
      </w:r>
    </w:p>
    <w:p>
      <w:pPr>
        <w:pStyle w:val="ListParagraph"/>
        <w:numPr>
          <w:ilvl w:val="0"/>
          <w:numId w:val="1"/>
        </w:numPr>
        <w:spacing w:after="80" w:line="300"/>
      </w:pPr>
      <w:r>
        <w:rPr>
          <w:sz w:val="22"/>
          <w:szCs w:val="22"/>
        </w:rPr>
        <w:t xml:space="preserve">Austin, TX local business license active</w:t>
      </w:r>
    </w:p>
    <w:p>
      <w:pPr>
        <w:pStyle w:val="ListParagraph"/>
        <w:numPr>
          <w:ilvl w:val="0"/>
          <w:numId w:val="1"/>
        </w:numPr>
        <w:spacing w:after="80" w:line="300"/>
      </w:pPr>
      <w:r>
        <w:rPr>
          <w:sz w:val="22"/>
          <w:szCs w:val="22"/>
        </w:rPr>
        <w:t xml:space="preserve">Local zoning compliance verified for the operating premises</w:t>
      </w:r>
    </w:p>
    <w:p>
      <w:pPr>
        <w:pStyle w:val="ListParagraph"/>
        <w:numPr>
          <w:ilvl w:val="0"/>
          <w:numId w:val="1"/>
        </w:numPr>
        <w:spacing w:after="80" w:line="300"/>
      </w:pPr>
      <w:r>
        <w:rPr>
          <w:sz w:val="22"/>
          <w:szCs w:val="22"/>
        </w:rPr>
        <w:t xml:space="preserve">Local industry-specific permits as applicable</w:t>
      </w:r>
    </w:p>
    <w:p>
      <w:pPr>
        <w:spacing w:after="160" w:line="320"/>
      </w:pPr>
      <w:r>
        <w:rPr>
          <w:sz w:val="22"/>
          <w:szCs w:val="22"/>
        </w:rPr>
        <w:t xml:space="preserve">Documentation of regulatory registrations, licenses, and permits is provided by the firm of record as petition exhibits where issued. Pending applications are documented with confirmation of submission and expected issuance date.</w:t>
      </w:r>
    </w:p>
    <w:p>
      <w:pPr>
        <w:pStyle w:val="Heading2"/>
        <w:spacing w:after="180" w:before="360"/>
      </w:pPr>
      <w:r>
        <w:rPr>
          <w:sz w:val="26"/>
          <w:szCs w:val="26"/>
        </w:rPr>
        <w:t xml:space="preserve">9.6 Insurance</w:t>
      </w:r>
    </w:p>
    <w:p>
      <w:pPr>
        <w:spacing w:after="160" w:line="320"/>
      </w:pPr>
      <w:r>
        <w:rPr>
          <w:sz w:val="22"/>
          <w:szCs w:val="22"/>
        </w:rPr>
        <w:t xml:space="preserve">CodeWave US Inc. maintains or will obtain the following insurance coverage prior to revenue-generating operations:</w:t>
      </w:r>
    </w:p>
    <w:p>
      <w:pPr>
        <w:pStyle w:val="ListParagraph"/>
        <w:numPr>
          <w:ilvl w:val="0"/>
          <w:numId w:val="1"/>
        </w:numPr>
        <w:spacing w:after="80" w:line="300"/>
      </w:pPr>
      <w:r>
        <w:rPr>
          <w:sz w:val="22"/>
          <w:szCs w:val="22"/>
        </w:rPr>
        <w:t xml:space="preserve">General liability insurance</w:t>
      </w:r>
    </w:p>
    <w:p>
      <w:pPr>
        <w:pStyle w:val="ListParagraph"/>
        <w:numPr>
          <w:ilvl w:val="0"/>
          <w:numId w:val="1"/>
        </w:numPr>
        <w:spacing w:after="80" w:line="300"/>
      </w:pPr>
      <w:r>
        <w:rPr>
          <w:sz w:val="22"/>
          <w:szCs w:val="22"/>
        </w:rPr>
        <w:t xml:space="preserve">Property insurance covering the leased premises and equipment</w:t>
      </w:r>
    </w:p>
    <w:p>
      <w:pPr>
        <w:pStyle w:val="ListParagraph"/>
        <w:numPr>
          <w:ilvl w:val="0"/>
          <w:numId w:val="1"/>
        </w:numPr>
        <w:spacing w:after="80" w:line="300"/>
      </w:pPr>
      <w:r>
        <w:rPr>
          <w:sz w:val="22"/>
          <w:szCs w:val="22"/>
        </w:rPr>
        <w:t xml:space="preserve">Workers' compensation insurance (Texas-required where employee threshold is met)</w:t>
      </w:r>
    </w:p>
    <w:p>
      <w:pPr>
        <w:pStyle w:val="ListParagraph"/>
        <w:numPr>
          <w:ilvl w:val="0"/>
          <w:numId w:val="1"/>
        </w:numPr>
        <w:spacing w:after="80" w:line="300"/>
      </w:pPr>
      <w:r>
        <w:rPr>
          <w:sz w:val="22"/>
          <w:szCs w:val="22"/>
        </w:rPr>
        <w:t xml:space="preserve">Industry-specific insurance for Custom software development services operations as required by carrier</w:t>
      </w:r>
    </w:p>
    <w:p>
      <w:pPr>
        <w:spacing w:after="160" w:line="320"/>
      </w:pPr>
      <w:r>
        <w:rPr>
          <w:sz w:val="22"/>
          <w:szCs w:val="22"/>
        </w:rPr>
        <w:t xml:space="preserve">Insurance certificates are provided as petition exhibits.</w:t>
      </w:r>
    </w:p>
    <w:p>
      <w:pPr>
        <w:pStyle w:val="Heading2"/>
        <w:spacing w:after="180" w:before="360"/>
      </w:pPr>
      <w:r>
        <w:rPr>
          <w:sz w:val="26"/>
          <w:szCs w:val="26"/>
        </w:rPr>
        <w:t xml:space="preserve">9.7 Banking and financial controls</w:t>
      </w:r>
    </w:p>
    <w:p>
      <w:pPr>
        <w:spacing w:after="160" w:line="320"/>
      </w:pPr>
      <w:r>
        <w:rPr>
          <w:sz w:val="22"/>
          <w:szCs w:val="22"/>
        </w:rPr>
        <w:t xml:space="preserve">CodeWave US Inc. maintains operating accounts at Chase (operating account at the Austin downtown branch). Financial controls include:</w:t>
      </w:r>
    </w:p>
    <w:p>
      <w:pPr>
        <w:pStyle w:val="ListParagraph"/>
        <w:numPr>
          <w:ilvl w:val="0"/>
          <w:numId w:val="1"/>
        </w:numPr>
        <w:spacing w:after="80" w:line="300"/>
      </w:pPr>
      <w:r>
        <w:rPr>
          <w:sz w:val="22"/>
          <w:szCs w:val="22"/>
        </w:rPr>
        <w:t xml:space="preserve">Segregation of personal and business accounts</w:t>
      </w:r>
    </w:p>
    <w:p>
      <w:pPr>
        <w:pStyle w:val="ListParagraph"/>
        <w:numPr>
          <w:ilvl w:val="0"/>
          <w:numId w:val="1"/>
        </w:numPr>
        <w:spacing w:after="80" w:line="300"/>
      </w:pPr>
      <w:r>
        <w:rPr>
          <w:sz w:val="22"/>
          <w:szCs w:val="22"/>
        </w:rPr>
        <w:t xml:space="preserve">Monthly bank reconciliations</w:t>
      </w:r>
    </w:p>
    <w:p>
      <w:pPr>
        <w:pStyle w:val="ListParagraph"/>
        <w:numPr>
          <w:ilvl w:val="0"/>
          <w:numId w:val="1"/>
        </w:numPr>
        <w:spacing w:after="80" w:line="300"/>
      </w:pPr>
      <w:r>
        <w:rPr>
          <w:sz w:val="22"/>
          <w:szCs w:val="22"/>
        </w:rPr>
        <w:t xml:space="preserve">Annual federal and state tax filings</w:t>
      </w:r>
    </w:p>
    <w:p>
      <w:pPr>
        <w:pStyle w:val="ListParagraph"/>
        <w:numPr>
          <w:ilvl w:val="0"/>
          <w:numId w:val="1"/>
        </w:numPr>
        <w:spacing w:after="80" w:line="300"/>
      </w:pPr>
      <w:r>
        <w:rPr>
          <w:sz w:val="22"/>
          <w:szCs w:val="22"/>
        </w:rPr>
        <w:t xml:space="preserve">Bookkeeping through QuickBooks Online plus enterprise expense tooling</w:t>
      </w:r>
    </w:p>
    <w:p>
      <w:pPr>
        <w:spacing w:after="160" w:line="320"/>
      </w:pPr>
      <w:r>
        <w:rPr>
          <w:sz w:val="22"/>
          <w:szCs w:val="22"/>
        </w:rPr>
        <w:t xml:space="preserve">Financial statements are prepared on an accrual basis and are reconciled monthly. The five-year financial model in Section 7 reflects this accounting approach.</w:t>
      </w:r>
    </w:p>
    <w:p>
      <w:pPr>
        <w:pStyle w:val="Heading2"/>
        <w:spacing w:after="180" w:before="360"/>
      </w:pPr>
      <w:r>
        <w:rPr>
          <w:sz w:val="26"/>
          <w:szCs w:val="26"/>
        </w:rPr>
        <w:t xml:space="preserve">9.8 Day-to-day operations</w:t>
      </w:r>
    </w:p>
    <w:p>
      <w:pPr>
        <w:spacing w:after="160" w:line="320"/>
      </w:pPr>
      <w:r>
        <w:rPr>
          <w:sz w:val="22"/>
          <w:szCs w:val="22"/>
        </w:rPr>
        <w:t xml:space="preserve">This subsection describes how CodeWave US Inc. actually runs on a day-to-day basis. The narrative is included to address adjudicator expectations that the plan demonstrate substantive operational activity rather than a paper concept.</w:t>
      </w:r>
    </w:p>
    <w:p>
      <w:pPr>
        <w:spacing w:after="160" w:line="320"/>
      </w:pPr>
      <w:r>
        <w:rPr>
          <w:b/>
          <w:bCs/>
          <w:sz w:val="22"/>
          <w:szCs w:val="22"/>
        </w:rPr>
        <w:t xml:space="preserve">Operating hours:</w:t>
      </w:r>
      <w:r>
        <w:rPr>
          <w:sz w:val="22"/>
          <w:szCs w:val="22"/>
        </w:rPr>
        <w:t xml:space="preserve"> Monday to Friday 8:30am-6:30pm Austin local time, with overlap window 9am-12pm Austin / 5pm-8pm Cluj for parent-subsidiary coordination</w:t>
      </w:r>
    </w:p>
    <w:p>
      <w:pPr>
        <w:spacing w:after="160" w:line="320"/>
      </w:pPr>
      <w:r>
        <w:rPr>
          <w:sz w:val="22"/>
          <w:szCs w:val="22"/>
        </w:rPr>
        <w:t xml:space="preserve">**Daily operating</w:t>
      </w:r>
    </w:p>
    <w:p>
      <w:pPr>
        <w:pStyle w:val="Heading1"/>
        <w:pageBreakBefore/>
        <w:spacing w:after="180" w:before="480"/>
      </w:pPr>
      <w:r>
        <w:rPr>
          <w:sz w:val="32"/>
          <w:szCs w:val="32"/>
        </w:rPr>
        <w:t xml:space="preserve">Risk Analysis (Visa-Specific)</w:t>
      </w:r>
    </w:p>
    <w:p>
      <w:pPr>
        <w:spacing w:after="160" w:line="320"/>
      </w:pPr>
      <w:r>
        <w:rPr>
          <w:sz w:val="22"/>
          <w:szCs w:val="22"/>
        </w:rPr>
        <w:t xml:space="preserve">This section identifies risks to the petition and to the enterprise that are specifically relevant to L-1 adjudication. It is organized around adjudicator-recognizable risk categories rather than generic startup risks. Each risk is paired with a mitigation strategy already incorporated into the plan or documented in the firm's exhibits.</w:t>
      </w:r>
    </w:p>
    <w:p>
      <w:pPr>
        <w:pStyle w:val="Heading2"/>
        <w:spacing w:after="180" w:before="360"/>
      </w:pPr>
      <w:r>
        <w:rPr>
          <w:sz w:val="26"/>
          <w:szCs w:val="26"/>
        </w:rPr>
        <w:t xml:space="preserve">10.1 Adjudication risks</w:t>
      </w:r>
    </w:p>
    <w:p>
      <w:pPr>
        <w:spacing w:after="160" w:line="320"/>
      </w:pPr>
      <w:r>
        <w:rPr>
          <w:sz w:val="22"/>
          <w:szCs w:val="22"/>
        </w:rPr>
        <w:t xml:space="preserve">These are risks to the petition itself, addressing concerns an adjudicator might raise during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r>
      <w:tr>
        <w:tc>
          <w:tcPr>
            <w:tcW w:type="pct" w:w="25%"/>
          </w:tcPr>
          <w:p>
            <w:r>
              <w:rPr>
                <w:sz w:val="20"/>
                <w:szCs w:val="20"/>
              </w:rPr>
              <w:t xml:space="preserve">Substantial-investment challenge under inverted sliding scale</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Capital allocation table in Section 3.2 documents that 82% of total enterprise cost has been invested, exceeding the 85% benchmark for an enterprise of this scale.</w:t>
            </w:r>
          </w:p>
        </w:tc>
      </w:tr>
      <w:tr>
        <w:tc>
          <w:tcPr>
            <w:tcW w:type="pct" w:w="25%"/>
          </w:tcPr>
          <w:p>
            <w:r>
              <w:rPr>
                <w:sz w:val="20"/>
                <w:szCs w:val="20"/>
              </w:rPr>
              <w:t xml:space="preserve">Marginality finding</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Section 3.5 establishes Year-3 net income of {{year3</w:t>
            </w:r>
            <w:r>
              <w:rPr>
                <w:i/>
                <w:iCs/>
                <w:sz w:val="20"/>
                <w:szCs w:val="20"/>
              </w:rPr>
              <w:t xml:space="preserve">net</w:t>
            </w:r>
            <w:r>
              <w:rPr>
                <w:sz w:val="20"/>
                <w:szCs w:val="20"/>
              </w:rPr>
              <w:t xml:space="preserve">income}} against a marginality benchmark of $74,580. Sensitivity analysis in Section 7.6 confirms non-marginality even in worst-case revenue scenarios.</w:t>
            </w:r>
          </w:p>
        </w:tc>
      </w:tr>
      <w:tr>
        <w:tc>
          <w:tcPr>
            <w:tcW w:type="pct" w:w="25%"/>
          </w:tcPr>
          <w:p>
            <w:r>
              <w:rPr>
                <w:sz w:val="20"/>
                <w:szCs w:val="20"/>
              </w:rPr>
              <w:t xml:space="preserve">At-risk capital challenge</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Section 3.3 documents that $215,000 has been deployed to fixed assets and operating expenses with no recovery at par. Bank statements and vendor receipts provided in firm exhibits.</w:t>
            </w:r>
          </w:p>
        </w:tc>
      </w:tr>
      <w:tr>
        <w:tc>
          <w:tcPr>
            <w:tcW w:type="pct" w:w="25%"/>
          </w:tcPr>
          <w:p>
            <w:r>
              <w:rPr>
                <w:sz w:val="20"/>
                <w:szCs w:val="20"/>
              </w:rPr>
              <w:t xml:space="preserve">Develop-and-direct challenge</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Section 3.6 establishes 100% ownership and detailed day-to-day responsibilities. Petitioner's qualifications detailed in Section 1 (Investor Background).</w:t>
            </w:r>
          </w:p>
        </w:tc>
      </w:tr>
      <w:tr>
        <w:tc>
          <w:tcPr>
            <w:tcW w:type="pct" w:w="25%"/>
          </w:tcPr>
          <w:p>
            <w:r>
              <w:rPr>
                <w:sz w:val="20"/>
                <w:szCs w:val="20"/>
              </w:rPr>
              <w:t xml:space="preserve">Real-and-active enterprise challenge</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Section 3.4 and Section 9 (Operations Plan) document physical premises, equipment, vendor relationships, and regulatory registrations.</w:t>
            </w:r>
          </w:p>
        </w:tc>
      </w:tr>
      <w:tr>
        <w:tc>
          <w:tcPr>
            <w:tcW w:type="pct" w:w="25%"/>
          </w:tcPr>
          <w:p>
            <w:r>
              <w:rPr>
                <w:sz w:val="20"/>
                <w:szCs w:val="20"/>
              </w:rPr>
              <w:t xml:space="preserve">Source-of-funds documentation gap</w:t>
            </w:r>
          </w:p>
        </w:tc>
        <w:tc>
          <w:tcPr>
            <w:tcW w:type="pct" w:w="25%"/>
          </w:tcPr>
          <w:p>
            <w:r>
              <w:rPr>
                <w:sz w:val="20"/>
                <w:szCs w:val="20"/>
              </w:rPr>
              <w:t xml:space="preserve">Medium</w:t>
            </w:r>
          </w:p>
        </w:tc>
        <w:tc>
          <w:tcPr>
            <w:tcW w:type="pct" w:w="25%"/>
          </w:tcPr>
          <w:p>
            <w:r>
              <w:rPr>
                <w:sz w:val="20"/>
                <w:szCs w:val="20"/>
              </w:rPr>
              <w:t xml:space="preserve">Medium</w:t>
            </w:r>
          </w:p>
        </w:tc>
        <w:tc>
          <w:tcPr>
            <w:tcW w:type="pct" w:w="25%"/>
          </w:tcPr>
          <w:p>
            <w:r>
              <w:rPr>
                <w:sz w:val="20"/>
                <w:szCs w:val="20"/>
              </w:rPr>
              <w:t xml:space="preserve">Section 2 (Source of Funds Narrative) summarizes lawful origin and traceable path. Firm of record retains relationships with petitioner's banks and tax authorities to obtain additional records on RFE.</w:t>
            </w:r>
          </w:p>
        </w:tc>
      </w:tr>
      <w:tr>
        <w:tc>
          <w:tcPr>
            <w:tcW w:type="pct" w:w="25%"/>
          </w:tcPr>
          <w:p>
            <w:r>
              <w:rPr>
                <w:sz w:val="20"/>
                <w:szCs w:val="20"/>
              </w:rPr>
              <w:t xml:space="preserve">Treaty country verification</w:t>
            </w:r>
          </w:p>
        </w:tc>
        <w:tc>
          <w:tcPr>
            <w:tcW w:type="pct" w:w="25%"/>
          </w:tcPr>
          <w:p>
            <w:r>
              <w:rPr>
                <w:sz w:val="20"/>
                <w:szCs w:val="20"/>
              </w:rPr>
              <w:t xml:space="preserve">Low</w:t>
            </w:r>
          </w:p>
        </w:tc>
        <w:tc>
          <w:tcPr>
            <w:tcW w:type="pct" w:w="25%"/>
          </w:tcPr>
          <w:p>
            <w:r>
              <w:rPr>
                <w:sz w:val="20"/>
                <w:szCs w:val="20"/>
              </w:rPr>
              <w:t xml:space="preserve">Low</w:t>
            </w:r>
          </w:p>
        </w:tc>
        <w:tc>
          <w:tcPr>
            <w:tcW w:type="pct" w:w="25%"/>
          </w:tcPr>
          <w:p>
            <w:r>
              <w:rPr>
                <w:sz w:val="20"/>
                <w:szCs w:val="20"/>
              </w:rPr>
              <w:t xml:space="preserve">Romania is a recognized E-2 treaty country. Documentation of treaty status is included in firm exhibits. (E-2 only; not applicable for L-1, O-1, EB-5, or EB-2 NIW.)</w:t>
            </w:r>
          </w:p>
        </w:tc>
      </w:tr>
      <w:tr>
        <w:tc>
          <w:tcPr>
            <w:tcW w:type="pct" w:w="25%"/>
          </w:tcPr>
          <w:p>
            <w:r>
              <w:rPr>
                <w:sz w:val="20"/>
                <w:szCs w:val="20"/>
              </w:rPr>
              <w:t xml:space="preserve">Digital footprint inconsistency (NEW 2026 RFE pattern)</w:t>
            </w:r>
          </w:p>
        </w:tc>
        <w:tc>
          <w:tcPr>
            <w:tcW w:type="pct" w:w="25%"/>
          </w:tcPr>
          <w:p>
            <w:r>
              <w:rPr>
                <w:sz w:val="20"/>
                <w:szCs w:val="20"/>
              </w:rPr>
              <w:t xml:space="preserve">Medium</w:t>
            </w:r>
          </w:p>
        </w:tc>
        <w:tc>
          <w:tcPr>
            <w:tcW w:type="pct" w:w="25%"/>
          </w:tcPr>
          <w:p>
            <w:r>
              <w:rPr>
                <w:sz w:val="20"/>
                <w:szCs w:val="20"/>
              </w:rPr>
              <w:t xml:space="preserve">High</w:t>
            </w:r>
          </w:p>
        </w:tc>
        <w:tc>
          <w:tcPr>
            <w:tcW w:type="pct" w:w="25%"/>
          </w:tcPr>
          <w:p>
            <w:r>
              <w:rPr>
                <w:sz w:val="20"/>
                <w:szCs w:val="20"/>
              </w:rPr>
              <w:t xml:space="preserve">USCIS adjudicators in 2026 are increasingly checking petitioners' public digital profiles (LinkedIn, company websites, Crunchbase, news mentions) against petition claims. Common RFE: petitioner's LinkedIn still shows full-time employment at a foreign company while the petition claims 100% dedication to the U.S. enterprise. Firm of record is advised to verify, before filing, that [MISSING: investor_name]'s public profiles consistently reflect the U.S. role and that any references to prior or concurrent foreign business activity are dated, contextualized, or removed where appropriate.</w:t>
            </w:r>
          </w:p>
        </w:tc>
      </w:tr>
    </w:tbl>
    <w:p>
      <w:pPr>
        <w:pStyle w:val="Heading2"/>
        <w:spacing w:after="180" w:before="360"/>
      </w:pPr>
      <w:r>
        <w:rPr>
          <w:sz w:val="26"/>
          <w:szCs w:val="26"/>
        </w:rPr>
        <w:t xml:space="preserve">10.2 RFE (Request for Evidence) preparedness</w:t>
      </w:r>
    </w:p>
    <w:p>
      <w:pPr>
        <w:spacing w:after="160" w:line="320"/>
      </w:pPr>
      <w:r>
        <w:rPr>
          <w:sz w:val="22"/>
          <w:szCs w:val="22"/>
        </w:rPr>
        <w:t xml:space="preserve">If the adjudicator issues an RFE, the firm of record is positioned to respond to the most common RFE topics for L-1 cases:</w:t>
      </w:r>
    </w:p>
    <w:p>
      <w:pPr>
        <w:pStyle w:val="ListParagraph"/>
        <w:numPr>
          <w:ilvl w:val="0"/>
          <w:numId w:val="1"/>
        </w:numPr>
        <w:spacing w:after="80" w:line="300"/>
      </w:pPr>
      <w:r>
        <w:rPr>
          <w:b/>
          <w:bCs/>
          <w:sz w:val="22"/>
          <w:szCs w:val="22"/>
        </w:rPr>
        <w:t xml:space="preserve">Source of funds documentation expansion:</w:t>
      </w:r>
      <w:r>
        <w:rPr>
          <w:sz w:val="22"/>
          <w:szCs w:val="22"/>
        </w:rPr>
        <w:t xml:space="preserve"> Firm of record retains direct contact with the petitioner's banks in Romania and can obtain additional bank records, tax records, and asset-sale documentation within standard timelines.</w:t>
      </w:r>
    </w:p>
    <w:p>
      <w:pPr>
        <w:pStyle w:val="ListParagraph"/>
        <w:numPr>
          <w:ilvl w:val="0"/>
          <w:numId w:val="1"/>
        </w:numPr>
        <w:spacing w:after="80" w:line="300"/>
      </w:pPr>
      <w:r>
        <w:rPr>
          <w:b/>
          <w:bCs/>
          <w:sz w:val="22"/>
          <w:szCs w:val="22"/>
        </w:rPr>
        <w:t xml:space="preserve">Marginality re-analysis:</w:t>
      </w:r>
      <w:r>
        <w:rPr>
          <w:sz w:val="22"/>
          <w:szCs w:val="22"/>
        </w:rPr>
        <w:t xml:space="preserve"> Firm of record can produce updated financial projections incorporating any new operating data available at RFE timing.</w:t>
      </w:r>
    </w:p>
    <w:p>
      <w:pPr>
        <w:pStyle w:val="ListParagraph"/>
        <w:numPr>
          <w:ilvl w:val="0"/>
          <w:numId w:val="1"/>
        </w:numPr>
        <w:spacing w:after="80" w:line="300"/>
      </w:pPr>
      <w:r>
        <w:rPr>
          <w:b/>
          <w:bCs/>
          <w:sz w:val="22"/>
          <w:szCs w:val="22"/>
        </w:rPr>
        <w:t xml:space="preserve">Real-and-active operations evidence:</w:t>
      </w:r>
      <w:r>
        <w:rPr>
          <w:sz w:val="22"/>
          <w:szCs w:val="22"/>
        </w:rPr>
        <w:t xml:space="preserve"> Firm of record can produce updated photos of premises, equipment receipts, vendor invoices, and customer evidence as of the RFE date.</w:t>
      </w:r>
    </w:p>
    <w:p>
      <w:pPr>
        <w:pStyle w:val="ListParagraph"/>
        <w:numPr>
          <w:ilvl w:val="0"/>
          <w:numId w:val="1"/>
        </w:numPr>
        <w:spacing w:after="80" w:line="300"/>
      </w:pPr>
      <w:r>
        <w:rPr>
          <w:b/>
          <w:bCs/>
          <w:sz w:val="22"/>
          <w:szCs w:val="22"/>
        </w:rPr>
        <w:t xml:space="preserve">Petitioner credentials:</w:t>
      </w:r>
      <w:r>
        <w:rPr>
          <w:sz w:val="22"/>
          <w:szCs w:val="22"/>
        </w:rPr>
        <w:t xml:space="preserve"> Firm of record can produce additional employment verification letters, academic transcripts, and prior business records.</w:t>
      </w:r>
    </w:p>
    <w:p>
      <w:pPr>
        <w:pStyle w:val="Heading2"/>
        <w:spacing w:after="180" w:before="360"/>
      </w:pPr>
      <w:r>
        <w:rPr>
          <w:sz w:val="26"/>
          <w:szCs w:val="26"/>
        </w:rPr>
        <w:t xml:space="preserve">10.3 Operational risks</w:t>
      </w:r>
    </w:p>
    <w:p>
      <w:pPr>
        <w:spacing w:after="160" w:line="320"/>
      </w:pPr>
      <w:r>
        <w:rPr>
          <w:sz w:val="22"/>
          <w:szCs w:val="22"/>
        </w:rPr>
        <w:t xml:space="preserve">These are risks to the enterprise's commercial viability that could indirectly affect the visa adjudication by undermining the non-marginality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r>
      <w:tr>
        <w:tc>
          <w:tcPr>
            <w:tcW w:type="pct" w:w="25%"/>
          </w:tcPr>
          <w:p>
            <w:r>
              <w:rPr>
                <w:sz w:val="20"/>
                <w:szCs w:val="20"/>
              </w:rPr>
              <w:t xml:space="preserve">Revenue ramp slower than projected</w:t>
            </w:r>
          </w:p>
        </w:tc>
        <w:tc>
          <w:tcPr>
            <w:tcW w:type="pct" w:w="25%"/>
          </w:tcPr>
          <w:p>
            <w:r>
              <w:rPr>
                <w:sz w:val="20"/>
                <w:szCs w:val="20"/>
              </w:rPr>
              <w:t xml:space="preserve">Medium</w:t>
            </w:r>
          </w:p>
        </w:tc>
        <w:tc>
          <w:tcPr>
            <w:tcW w:type="pct" w:w="25%"/>
          </w:tcPr>
          <w:p>
            <w:r>
              <w:rPr>
                <w:sz w:val="20"/>
                <w:szCs w:val="20"/>
              </w:rPr>
              <w:t xml:space="preserve">Medium</w:t>
            </w:r>
          </w:p>
        </w:tc>
        <w:tc>
          <w:tcPr>
            <w:tcW w:type="pct" w:w="25%"/>
          </w:tcPr>
          <w:p>
            <w:r>
              <w:rPr>
                <w:sz w:val="20"/>
                <w:szCs w:val="20"/>
              </w:rPr>
              <w:t xml:space="preserve">Sensitivity analysis (Section 7.6) confirms enterprise non-marginality even at 75% of base-case revenue. Conservative Year-1 monthly ramp built into Section 7.2.</w:t>
            </w:r>
          </w:p>
        </w:tc>
      </w:tr>
      <w:tr>
        <w:tc>
          <w:tcPr>
            <w:tcW w:type="pct" w:w="25%"/>
          </w:tcPr>
          <w:p>
            <w:r>
              <w:rPr>
                <w:sz w:val="20"/>
                <w:szCs w:val="20"/>
              </w:rPr>
              <w:t xml:space="preserve">Lease cost escalation</w:t>
            </w:r>
          </w:p>
        </w:tc>
        <w:tc>
          <w:tcPr>
            <w:tcW w:type="pct" w:w="25%"/>
          </w:tcPr>
          <w:p>
            <w:r>
              <w:rPr>
                <w:sz w:val="20"/>
                <w:szCs w:val="20"/>
              </w:rPr>
              <w:t xml:space="preserve">Low</w:t>
            </w:r>
          </w:p>
        </w:tc>
        <w:tc>
          <w:tcPr>
            <w:tcW w:type="pct" w:w="25%"/>
          </w:tcPr>
          <w:p>
            <w:r>
              <w:rPr>
                <w:sz w:val="20"/>
                <w:szCs w:val="20"/>
              </w:rPr>
              <w:t xml:space="preserve">Low</w:t>
            </w:r>
          </w:p>
        </w:tc>
        <w:tc>
          <w:tcPr>
            <w:tcW w:type="pct" w:w="25%"/>
          </w:tcPr>
          <w:p>
            <w:r>
              <w:rPr>
                <w:sz w:val="20"/>
                <w:szCs w:val="20"/>
              </w:rPr>
              <w:t xml:space="preserve">Lease terms documented in Section 9.1; escalation cap negotiated where applicable.</w:t>
            </w:r>
          </w:p>
        </w:tc>
      </w:tr>
      <w:tr>
        <w:tc>
          <w:tcPr>
            <w:tcW w:type="pct" w:w="25%"/>
          </w:tcPr>
          <w:p>
            <w:r>
              <w:rPr>
                <w:sz w:val="20"/>
                <w:szCs w:val="20"/>
              </w:rPr>
              <w:t xml:space="preserve">Key vendor disruption</w:t>
            </w:r>
          </w:p>
        </w:tc>
        <w:tc>
          <w:tcPr>
            <w:tcW w:type="pct" w:w="25%"/>
          </w:tcPr>
          <w:p>
            <w:r>
              <w:rPr>
                <w:sz w:val="20"/>
                <w:szCs w:val="20"/>
              </w:rPr>
              <w:t xml:space="preserve">Low</w:t>
            </w:r>
          </w:p>
        </w:tc>
        <w:tc>
          <w:tcPr>
            <w:tcW w:type="pct" w:w="25%"/>
          </w:tcPr>
          <w:p>
            <w:r>
              <w:rPr>
                <w:sz w:val="20"/>
                <w:szCs w:val="20"/>
              </w:rPr>
              <w:t xml:space="preserve">Medium</w:t>
            </w:r>
          </w:p>
        </w:tc>
        <w:tc>
          <w:tcPr>
            <w:tcW w:type="pct" w:w="25%"/>
          </w:tcPr>
          <w:p>
            <w:r>
              <w:rPr>
                <w:sz w:val="20"/>
                <w:szCs w:val="20"/>
              </w:rPr>
              <w:t xml:space="preserve">Multi-vendor sourcing strategy documented in Section 9.3 ensures no single point of failure.</w:t>
            </w:r>
          </w:p>
        </w:tc>
      </w:tr>
      <w:tr>
        <w:tc>
          <w:tcPr>
            <w:tcW w:type="pct" w:w="25%"/>
          </w:tcPr>
          <w:p>
            <w:r>
              <w:rPr>
                <w:sz w:val="20"/>
                <w:szCs w:val="20"/>
              </w:rPr>
              <w:t xml:space="preserve">Regulatory delay</w:t>
            </w:r>
          </w:p>
        </w:tc>
        <w:tc>
          <w:tcPr>
            <w:tcW w:type="pct" w:w="25%"/>
          </w:tcPr>
          <w:p>
            <w:r>
              <w:rPr>
                <w:sz w:val="20"/>
                <w:szCs w:val="20"/>
              </w:rPr>
              <w:t xml:space="preserve">Medium</w:t>
            </w:r>
          </w:p>
        </w:tc>
        <w:tc>
          <w:tcPr>
            <w:tcW w:type="pct" w:w="25%"/>
          </w:tcPr>
          <w:p>
            <w:r>
              <w:rPr>
                <w:sz w:val="20"/>
                <w:szCs w:val="20"/>
              </w:rPr>
              <w:t xml:space="preserve">Medium</w:t>
            </w:r>
          </w:p>
        </w:tc>
        <w:tc>
          <w:tcPr>
            <w:tcW w:type="pct" w:w="25%"/>
          </w:tcPr>
          <w:p>
            <w:r>
              <w:rPr>
                <w:sz w:val="20"/>
                <w:szCs w:val="20"/>
              </w:rPr>
              <w:t xml:space="preserve">Regulatory compliance plan (Section 9.5) front-loads filings. Operational milestones (Section 9.8) include compliance gates.</w:t>
            </w:r>
          </w:p>
        </w:tc>
      </w:tr>
      <w:tr>
        <w:tc>
          <w:tcPr>
            <w:tcW w:type="pct" w:w="25%"/>
          </w:tcPr>
          <w:p>
            <w:r>
              <w:rPr>
                <w:sz w:val="20"/>
                <w:szCs w:val="20"/>
              </w:rPr>
              <w:t xml:space="preserve">Petitioner inability to relocate (visa denial scenario)</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The enterprise is structured to be operationally resilient. In a visa denial scenario, the firm of record can advise on alternative ownership structures or wind-down to minimize loss.</w:t>
            </w:r>
          </w:p>
        </w:tc>
      </w:tr>
    </w:tbl>
    <w:p>
      <w:pPr>
        <w:pStyle w:val="Heading2"/>
        <w:spacing w:after="180" w:before="360"/>
      </w:pPr>
      <w:r>
        <w:rPr>
          <w:sz w:val="26"/>
          <w:szCs w:val="26"/>
        </w:rPr>
        <w:t xml:space="preserve">10.4 Sustainment outlook</w:t>
      </w:r>
    </w:p>
    <w:p>
      <w:pPr>
        <w:spacing w:after="160" w:line="320"/>
      </w:pPr>
      <w:r>
        <w:rPr>
          <w:sz w:val="22"/>
          <w:szCs w:val="22"/>
        </w:rPr>
        <w:t xml:space="preserve">CodeWave US Inc. is structured to sustain operations through and beyond the L-1 status period. The five-year financial model (Section 7) demonstrates revenue growth and operating-margin expansion. The U.S. hiring plan (Section 8) and operations plan (Section 9) demonstrate operational substance. The sensitivity analysis (Section 7.6) confirms financial resilience under realistic downside conditions.</w:t>
      </w:r>
    </w:p>
    <w:p>
      <w:pPr>
        <w:spacing w:after="160" w:line="320"/>
      </w:pPr>
      <w:r>
        <w:rPr>
          <w:sz w:val="22"/>
          <w:szCs w:val="22"/>
        </w:rPr>
        <w:t xml:space="preserve">The combination of substantial investment, real-and-active operations, and demonstrated non-marginality indicates that the enterprise is positioned to sustain operations through the L-1 status period a</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CodeWave US Inc. Business Plan</dc:title>
  <dc:creator>CodeWave US Inc.</dc:creator>
  <dc:description>Business plan for CodeWave US Inc.</dc:description>
  <cp:lastModifiedBy>Un-named</cp:lastModifiedBy>
  <cp:revision>1</cp:revision>
  <dcterms:created xsi:type="dcterms:W3CDTF">2026-05-10T19:03:54.638Z</dcterms:created>
  <dcterms:modified xsi:type="dcterms:W3CDTF">2026-05-10T19:03:54.638Z</dcterms:modified>
</cp:coreProperties>
</file>

<file path=docProps/custom.xml><?xml version="1.0" encoding="utf-8"?>
<Properties xmlns="http://schemas.openxmlformats.org/officeDocument/2006/custom-properties" xmlns:vt="http://schemas.openxmlformats.org/officeDocument/2006/docPropsVTypes"/>
</file>