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Laboratorio Nro. 5 Árboles binarios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90.0" w:type="dxa"/>
        <w:tblLayout w:type="fixed"/>
        <w:tblLook w:val="0000"/>
      </w:tblPr>
      <w:tblGrid>
        <w:gridCol w:w="3195"/>
        <w:gridCol w:w="3255"/>
        <w:gridCol w:w="3345"/>
        <w:tblGridChange w:id="0">
          <w:tblGrid>
            <w:gridCol w:w="3195"/>
            <w:gridCol w:w="3255"/>
            <w:gridCol w:w="3345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Santiago Soto Marulanda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Eafit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Medellín, Colombia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ssotom@eafit.edu.co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Andrés Sánchez Castrillón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Eafit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Medellín, Colombia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asanchezc@eafit.edu.co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Jamerson Stive Correa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Eafit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Medellín, Colombia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jscorreac@eafit.edu.co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color w:val="002060"/>
          <w:vertAlign w:val="baseline"/>
          <w:rtl w:val="0"/>
        </w:rPr>
        <w:t xml:space="preserve">3)</w:t>
      </w:r>
      <w:r w:rsidDel="00000000" w:rsidR="00000000" w:rsidRPr="00000000">
        <w:rPr>
          <w:b w:val="1"/>
          <w:vertAlign w:val="baseline"/>
          <w:rtl w:val="0"/>
        </w:rPr>
        <w:t xml:space="preserve"> Simulacro de preguntas de sustentación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9450" cy="1905000"/>
            <wp:effectExtent b="0" l="0" r="0" t="0"/>
            <wp:docPr descr="punto 3.png" id="4" name="image8.png"/>
            <a:graphic>
              <a:graphicData uri="http://schemas.openxmlformats.org/drawingml/2006/picture">
                <pic:pic>
                  <pic:nvPicPr>
                    <pic:cNvPr descr="punto 3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se puede implementar una búsqueda en árbol binario con complejidad O(log(n)) puesto que en un árbol genealógico la jerarquía no puede ser modificada, y tampoco se puede establecer alguna comparación de búsqueda que le facilite, la condición de hombres a la derecha y mujeres a la izquierda no sirve de nada para la búsqueda.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2.1: </w:t>
      </w:r>
      <w:r w:rsidDel="00000000" w:rsidR="00000000" w:rsidRPr="00000000">
        <w:rPr>
          <w:rtl w:val="0"/>
        </w:rPr>
        <w:t xml:space="preserve">este tipo de árbol se compone de una raíz de tipo nodo inicializada por defecto con el valor nulo. el método insertar realiza un análisis del valor a insertar y el valor de un nodo específico, si el valor a insertar es menor, realiza el análisis hacia el nodo izquierdo y si es mayor realiza el análisis hacia el nodo derecho hasta encontrar un nodo nulo y así ubicarse en este nodo.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recorrido en pos-orden se realiza de manera recursiva, donde en cada paso por la función se trata al nodo izquierdo y derecho como una raíz de un árbol diferente y así imprimir el valor del nodo más a la izquierda (el menor valor) imprimir su “hermano derecho” y luego su nodo.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     4. </w:t>
      </w:r>
      <w:r w:rsidDel="00000000" w:rsidR="00000000" w:rsidRPr="00000000">
        <w:rPr>
          <w:b w:val="1"/>
          <w:i w:val="1"/>
          <w:rtl w:val="0"/>
        </w:rPr>
        <w:t xml:space="preserve">Complejidad:</w:t>
      </w:r>
    </w:p>
    <w:p w:rsidR="00000000" w:rsidDel="00000000" w:rsidP="00000000" w:rsidRDefault="00000000" w:rsidRPr="00000000">
      <w:pPr>
        <w:ind w:left="0" w:right="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Insert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= c + T(n-1)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= c.n + c</w:t>
        <w:tab/>
        <w:tab/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es O(c.n + c)</w:t>
        <w:tab/>
        <w:tab/>
        <w:t xml:space="preserve">//notación o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es O((c.n)</w:t>
        <w:tab/>
        <w:tab/>
        <w:tab/>
        <w:t xml:space="preserve">//RS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es O(n)</w:t>
        <w:tab/>
        <w:tab/>
        <w:tab/>
        <w:tab/>
        <w:t xml:space="preserve">//RP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Recorrido en pos orden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= c + 2*T(n/2)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= c(n-1) + ((c*n)/2)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es O(c*(n-1) + ((c*n)/2))</w:t>
        <w:tab/>
        <w:tab/>
        <w:t xml:space="preserve">//notación o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es O(c*n - c)</w:t>
        <w:tab/>
        <w:tab/>
        <w:tab/>
        <w:tab/>
        <w:t xml:space="preserve">//RS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es O(c*n)</w:t>
        <w:tab/>
        <w:tab/>
        <w:tab/>
        <w:tab/>
        <w:t xml:space="preserve">//RS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T(n) es O(n)</w:t>
        <w:tab/>
        <w:tab/>
        <w:tab/>
        <w:tab/>
        <w:tab/>
        <w:t xml:space="preserve">//RP</w:t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4.0000000000001" w:hanging="285"/>
        <w:contextualSpacing w:val="0"/>
        <w:jc w:val="both"/>
        <w:rPr>
          <w:i w:val="1"/>
          <w:vertAlign w:val="baseline"/>
        </w:rPr>
      </w:pPr>
      <w:r w:rsidDel="00000000" w:rsidR="00000000" w:rsidRPr="00000000">
        <w:rPr>
          <w:b w:val="1"/>
          <w:i w:val="1"/>
          <w:color w:val="002060"/>
          <w:rtl w:val="0"/>
        </w:rPr>
        <w:t xml:space="preserve">5. </w:t>
      </w:r>
      <w:r w:rsidDel="00000000" w:rsidR="00000000" w:rsidRPr="00000000">
        <w:rPr>
          <w:i w:val="1"/>
          <w:rtl w:val="0"/>
        </w:rPr>
        <w:t xml:space="preserve">para todo el numeral 2.1 la variable n representa el tamaño del árbol al cual se   le va a ejecutar la función de insertar o la función de imprimir en pos 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2060"/>
          <w:vertAlign w:val="baseline"/>
          <w:rtl w:val="0"/>
        </w:rPr>
        <w:t xml:space="preserve">4)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Simulacro de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a) Complete el espacio en línea 04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altura(raiz.izq);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b) Complete el espacio en línea 05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altura(raiz.der);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c)</w:t>
      </w:r>
      <w:r w:rsidDel="00000000" w:rsidR="00000000" w:rsidRPr="00000000">
        <w:rPr>
          <w:i w:val="1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a) Complete el espacio de la línea 03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false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b) Complete el espacio de la línea 05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a.dato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c) Complete los espacios de la línea 07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a.izq, suma - a.dato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d) Complete los espacios de la línea 08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  <w:vertAlign w:val="baseline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 a.der, suma - a.dato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4.1.</w:t>
      </w:r>
      <w:r w:rsidDel="00000000" w:rsidR="00000000" w:rsidRPr="00000000">
        <w:rPr>
          <w:b w:val="1"/>
          <w:i w:val="1"/>
          <w:rtl w:val="0"/>
        </w:rPr>
        <w:t xml:space="preserve">c)</w:t>
      </w:r>
      <w:r w:rsidDel="00000000" w:rsidR="00000000" w:rsidRPr="00000000">
        <w:rPr>
          <w:i w:val="1"/>
          <w:rtl w:val="0"/>
        </w:rPr>
        <w:t xml:space="preserve"> T(n)=2.T(n/2)+C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4.2.</w:t>
      </w:r>
      <w:r w:rsidDel="00000000" w:rsidR="00000000" w:rsidRPr="00000000">
        <w:rPr>
          <w:b w:val="1"/>
          <w:i w:val="1"/>
          <w:rtl w:val="0"/>
        </w:rPr>
        <w:t xml:space="preserve">a)</w:t>
      </w:r>
      <w:r w:rsidDel="00000000" w:rsidR="00000000" w:rsidRPr="00000000">
        <w:rPr>
          <w:i w:val="1"/>
          <w:rtl w:val="0"/>
        </w:rPr>
        <w:t xml:space="preserve"> O(n)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4.3.</w:t>
      </w:r>
      <w:r w:rsidDel="00000000" w:rsidR="00000000" w:rsidRPr="00000000">
        <w:rPr>
          <w:b w:val="1"/>
          <w:i w:val="1"/>
          <w:rtl w:val="0"/>
        </w:rPr>
        <w:t xml:space="preserve">d)</w:t>
      </w:r>
      <w:r w:rsidDel="00000000" w:rsidR="00000000" w:rsidRPr="00000000">
        <w:rPr>
          <w:i w:val="1"/>
          <w:rtl w:val="0"/>
        </w:rPr>
        <w:t xml:space="preserve"> Wilkenson, Joaquina, Estaquia, Florinda, Yovín, Eustaquio, Sufranio,   Piolina, Wilberta, Piolín, Usnavy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4.4. </w:t>
      </w:r>
      <w:r w:rsidDel="00000000" w:rsidR="00000000" w:rsidRPr="00000000">
        <w:rPr>
          <w:b w:val="1"/>
          <w:i w:val="1"/>
          <w:rtl w:val="0"/>
        </w:rPr>
        <w:t xml:space="preserve">a)</w:t>
      </w:r>
      <w:r w:rsidDel="00000000" w:rsidR="00000000" w:rsidRPr="00000000">
        <w:rPr>
          <w:i w:val="1"/>
          <w:rtl w:val="0"/>
        </w:rPr>
        <w:t xml:space="preserve">Cambiar el orden de las líneas 03, 04 y 05 por 05, 04, 03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2060"/>
          <w:rtl w:val="0"/>
        </w:rPr>
        <w:t xml:space="preserve">5.</w:t>
      </w:r>
      <w:r w:rsidDel="00000000" w:rsidR="00000000" w:rsidRPr="00000000">
        <w:rPr>
          <w:i w:val="1"/>
          <w:rtl w:val="0"/>
        </w:rPr>
        <w:t xml:space="preserve">  a) Complete, por favor, la línea 4 con la condición que corresponde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p.dato == toInsert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b) Complete, por favor, la línea 6 con la condición que corresponde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rtl w:val="0"/>
        </w:rPr>
        <w:t xml:space="preserve">toInsert &gt; p.dato</w:t>
      </w:r>
    </w:p>
    <w:p w:rsidR="00000000" w:rsidDel="00000000" w:rsidP="00000000" w:rsidRDefault="00000000" w:rsidRPr="00000000">
      <w:pPr>
        <w:ind w:left="72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2060"/>
          <w:vertAlign w:val="baseline"/>
          <w:rtl w:val="0"/>
        </w:rPr>
        <w:t xml:space="preserve">6.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Trabajo en Equipo y Progreso Gradual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Actas de reunión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425"/>
        <w:gridCol w:w="1860"/>
        <w:gridCol w:w="1890"/>
        <w:gridCol w:w="1815"/>
        <w:tblGridChange w:id="0">
          <w:tblGrid>
            <w:gridCol w:w="2145"/>
            <w:gridCol w:w="1425"/>
            <w:gridCol w:w="1860"/>
            <w:gridCol w:w="1890"/>
            <w:gridCol w:w="181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Haciendo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Hacer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Soto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Andrés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Soto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Soto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Simu Parcial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Soto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Simu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Andrés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Andrés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Andrés Sánchez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Jamerson Correa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14/10/2107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Documentar código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Jamerson Correa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Documentar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Andrés Sánchez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reporte de cambios del informe de laboratorio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00275" cy="2914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8853" cy="28587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853" cy="2858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701" w:top="1956" w:left="1701" w:right="146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Nunito">
    <w:embedBold w:fontKey="{00000000-0000-0000-0000-000000000000}" r:id="rId1" w:subsetted="0"/>
    <w:embedBoldItalic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Nunito" w:cs="Nunito" w:eastAsia="Nunito" w:hAnsi="Nuni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unito" w:cs="Nunito" w:eastAsia="Nunito" w:hAnsi="Nuni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DOCENTE MAURICIO TORO BERMÚDEZ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unito" w:cs="Nunito" w:eastAsia="Nunito" w:hAnsi="Nuni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Teléfono: (+57) (4) 261 95 00</w:t>
    </w:r>
    <w:r w:rsidDel="00000000" w:rsidR="00000000" w:rsidRPr="00000000">
      <w:rPr>
        <w:rFonts w:ascii="Nunito" w:cs="Nunito" w:eastAsia="Nunito" w:hAnsi="Nunito"/>
        <w:b w:val="1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Ext. 9473. Oficina: 19 - 627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964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unito" w:cs="Nunito" w:eastAsia="Nunito" w:hAnsi="Nuni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Correo:  </w:t>
    </w:r>
    <w:hyperlink r:id="rId1"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mtorobe@eafit.edu.co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964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18.0" w:type="dxa"/>
      <w:jc w:val="left"/>
      <w:tblInd w:w="0.0" w:type="dxa"/>
      <w:tblLayout w:type="fixed"/>
      <w:tblLook w:val="0000"/>
    </w:tblPr>
    <w:tblGrid>
      <w:gridCol w:w="2269"/>
      <w:gridCol w:w="5528"/>
      <w:gridCol w:w="1721"/>
      <w:tblGridChange w:id="0">
        <w:tblGrid>
          <w:gridCol w:w="2269"/>
          <w:gridCol w:w="5528"/>
          <w:gridCol w:w="1721"/>
        </w:tblGrid>
      </w:tblGridChange>
    </w:tblGrid>
    <w:tr>
      <w:trPr>
        <w:trHeight w:val="560" w:hRule="atLeast"/>
      </w:trPr>
      <w:tc>
        <w:tcPr>
          <w:vMerge w:val="restart"/>
          <w:tcBorders>
            <w:top w:color="c0c0c0" w:space="0" w:sz="4" w:val="single"/>
            <w:left w:color="c0c0c0" w:space="0" w:sz="4" w:val="single"/>
            <w:bottom w:color="c0c0c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Calibri" w:cs="Calibri" w:eastAsia="Calibri" w:hAnsi="Calibri"/>
              <w:b w:val="1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135890</wp:posOffset>
                </wp:positionH>
                <wp:positionV relativeFrom="paragraph">
                  <wp:posOffset>180975</wp:posOffset>
                </wp:positionV>
                <wp:extent cx="1017905" cy="408305"/>
                <wp:effectExtent b="0" l="0" r="0" t="0"/>
                <wp:wrapSquare wrapText="bothSides" distB="0" distT="0" distL="114935" distR="114935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-62" l="-25" r="-24" t="-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905" cy="408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c0c0c0" w:space="0" w:sz="4" w:val="single"/>
            <w:left w:color="c0c0c0" w:space="0" w:sz="4" w:val="single"/>
            <w:bottom w:color="c0c0c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Nunito" w:cs="Nunito" w:eastAsia="Nunito" w:hAnsi="Nunito"/>
              <w:b w:val="1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rFonts w:ascii="Nunito" w:cs="Nunito" w:eastAsia="Nunito" w:hAnsi="Nunito"/>
              <w:b w:val="1"/>
              <w:sz w:val="20"/>
              <w:szCs w:val="20"/>
              <w:vertAlign w:val="baseline"/>
              <w:rtl w:val="0"/>
            </w:rPr>
            <w:t xml:space="preserve">UNIVERSIDAD EAFIT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rFonts w:ascii="Nunito" w:cs="Nunito" w:eastAsia="Nunito" w:hAnsi="Nunito"/>
              <w:b w:val="1"/>
              <w:sz w:val="20"/>
              <w:szCs w:val="20"/>
              <w:vertAlign w:val="baseline"/>
              <w:rtl w:val="0"/>
            </w:rPr>
            <w:t xml:space="preserve">ESCUELA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rFonts w:ascii="Nunito" w:cs="Nunito" w:eastAsia="Nunito" w:hAnsi="Nunito"/>
              <w:b w:val="1"/>
              <w:sz w:val="20"/>
              <w:szCs w:val="20"/>
              <w:vertAlign w:val="baseline"/>
              <w:rtl w:val="0"/>
            </w:rPr>
            <w:t xml:space="preserve">DEPARTAMENTO DE INFORMÁTICA Y SISTEMAS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Nunito" w:cs="Nunito" w:eastAsia="Nunito" w:hAnsi="Nunito"/>
              <w:b w:val="1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0c0c0" w:space="0" w:sz="4" w:val="single"/>
            <w:left w:color="c0c0c0" w:space="0" w:sz="4" w:val="single"/>
            <w:bottom w:color="c0c0c0" w:space="0" w:sz="4" w:val="single"/>
            <w:right w:color="c0c0c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Fonts w:ascii="Nunito" w:cs="Nunito" w:eastAsia="Nunito" w:hAnsi="Nunito"/>
              <w:b w:val="1"/>
              <w:sz w:val="20"/>
              <w:szCs w:val="20"/>
              <w:vertAlign w:val="baseline"/>
              <w:rtl w:val="0"/>
            </w:rPr>
            <w:t xml:space="preserve"> 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rFonts w:ascii="Nunito" w:cs="Nunito" w:eastAsia="Nunito" w:hAnsi="Nunito"/>
              <w:b w:val="1"/>
              <w:sz w:val="20"/>
              <w:szCs w:val="20"/>
              <w:vertAlign w:val="baseline"/>
              <w:rtl w:val="0"/>
            </w:rPr>
            <w:t xml:space="preserve">Código: ST245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vMerge w:val="continue"/>
          <w:tcBorders>
            <w:top w:color="c0c0c0" w:space="0" w:sz="4" w:val="single"/>
            <w:left w:color="c0c0c0" w:space="0" w:sz="4" w:val="single"/>
            <w:bottom w:color="c0c0c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c0c0c0" w:space="0" w:sz="4" w:val="single"/>
            <w:left w:color="c0c0c0" w:space="0" w:sz="4" w:val="single"/>
            <w:bottom w:color="c0c0c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Calibri" w:cs="Calibri" w:eastAsia="Calibri" w:hAnsi="Calibri"/>
              <w:b w:val="1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rPr>
              <w:rFonts w:ascii="Nunito" w:cs="Nunito" w:eastAsia="Nunito" w:hAnsi="Nunito"/>
              <w:b w:val="1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0c0c0" w:space="0" w:sz="4" w:val="single"/>
            <w:left w:color="c0c0c0" w:space="0" w:sz="4" w:val="single"/>
            <w:bottom w:color="c0c0c0" w:space="0" w:sz="4" w:val="single"/>
            <w:right w:color="c0c0c0" w:space="0" w:sz="4" w:val="single"/>
          </w:tcBorders>
          <w:shd w:fill="f2f2f2" w:val="clear"/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rFonts w:ascii="Nunito" w:cs="Nunito" w:eastAsia="Nunito" w:hAnsi="Nunito"/>
              <w:b w:val="1"/>
              <w:sz w:val="20"/>
              <w:szCs w:val="20"/>
              <w:vertAlign w:val="baseline"/>
              <w:rtl w:val="0"/>
            </w:rPr>
            <w:t xml:space="preserve">Estructura de Datos 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jc w:val="center"/>
      <w:rPr>
        <w:i w:val="1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i w:val="1"/>
        <w:sz w:val="22"/>
        <w:szCs w:val="22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2060"/>
        <w:vertAlign w:val="baseline"/>
      </w:rPr>
    </w:lvl>
    <w:lvl w:ilvl="1">
      <w:start w:val="1"/>
      <w:numFmt w:val="lowerLetter"/>
      <w:lvlText w:val="%2)"/>
      <w:lvlJc w:val="left"/>
      <w:pPr>
        <w:ind w:left="1352" w:hanging="360.0000000000001"/>
      </w:pPr>
      <w:rPr>
        <w:b w:val="1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206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ind w:left="360" w:hanging="360"/>
      <w:contextualSpacing w:val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tabs>
        <w:tab w:val="left" w:pos="2835"/>
        <w:tab w:val="left" w:pos="3402"/>
      </w:tabs>
      <w:jc w:val="both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120" w:before="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1"/>
      <w:tabs>
        <w:tab w:val="left" w:pos="2835"/>
        <w:tab w:val="left" w:pos="3402"/>
      </w:tabs>
      <w:jc w:val="both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1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mtorobe@eafit.edu.c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