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5018" w:rsidRPr="00A71C16" w:rsidRDefault="0029015A">
      <w:pPr>
        <w:spacing w:after="160"/>
        <w:jc w:val="center"/>
        <w:rPr>
          <w:sz w:val="28"/>
          <w:szCs w:val="28"/>
        </w:rPr>
      </w:pPr>
      <w:r w:rsidRPr="00A71C16">
        <w:rPr>
          <w:b/>
          <w:color w:val="1F4E79"/>
          <w:sz w:val="28"/>
          <w:szCs w:val="28"/>
        </w:rPr>
        <w:t>PRELIM</w:t>
      </w:r>
      <w:bookmarkStart w:id="0" w:name="_GoBack"/>
      <w:bookmarkEnd w:id="0"/>
      <w:r w:rsidRPr="00A71C16">
        <w:rPr>
          <w:b/>
          <w:color w:val="1F4E79"/>
          <w:sz w:val="28"/>
          <w:szCs w:val="28"/>
        </w:rPr>
        <w:t xml:space="preserve">INARY PROTOCOL </w:t>
      </w:r>
    </w:p>
    <w:p w:rsidR="00A71C16" w:rsidRDefault="00A71C16">
      <w:pPr>
        <w:spacing w:before="100" w:after="40"/>
        <w:rPr>
          <w:b/>
          <w:color w:val="1F4E79"/>
          <w:sz w:val="22"/>
        </w:rPr>
      </w:pPr>
    </w:p>
    <w:p w:rsidR="006B5018" w:rsidRDefault="0029015A">
      <w:pPr>
        <w:spacing w:before="100" w:after="40"/>
      </w:pPr>
      <w:r>
        <w:rPr>
          <w:b/>
          <w:color w:val="1F4E79"/>
          <w:sz w:val="22"/>
        </w:rPr>
        <w:t>1. Title</w:t>
      </w:r>
    </w:p>
    <w:p w:rsidR="006B5018" w:rsidRPr="00B23AB8" w:rsidRDefault="0029015A">
      <w:pPr>
        <w:spacing w:after="60" w:line="240" w:lineRule="auto"/>
        <w:jc w:val="both"/>
        <w:rPr>
          <w:b/>
        </w:rPr>
      </w:pPr>
      <w:r w:rsidRPr="00B23AB8">
        <w:rPr>
          <w:b/>
        </w:rPr>
        <w:t>Multimodal 3D reconstruction of transparent objects using TransparentGS and Riemannian optimization guided by deflectometry.</w:t>
      </w:r>
    </w:p>
    <w:p w:rsidR="006B5018" w:rsidRDefault="0029015A">
      <w:pPr>
        <w:spacing w:before="100" w:after="40"/>
      </w:pPr>
      <w:r>
        <w:rPr>
          <w:b/>
          <w:color w:val="1F4E79"/>
          <w:sz w:val="22"/>
        </w:rPr>
        <w:t>2. Research problem</w:t>
      </w:r>
    </w:p>
    <w:p w:rsidR="006B5018" w:rsidRDefault="0029015A">
      <w:pPr>
        <w:spacing w:after="60" w:line="240" w:lineRule="auto"/>
        <w:jc w:val="both"/>
      </w:pPr>
      <w:r>
        <w:t>Transparent objects refract and reflect light, making 3D geometry ambiguous in RGB observations. TransparentGS models these effects, but some regions may remain inaccurate. Standard 3DGS already maintains valid covariances through scale/rotation parameterization; covariance validity alone does not justify a Riemannian optimizer. We will test whether geometry-aware covariance updates change convergence variability and sensitivity to deflectometric noise versus equally tuned Euclidean alternatives.</w:t>
      </w:r>
    </w:p>
    <w:p w:rsidR="006B5018" w:rsidRDefault="0029015A">
      <w:pPr>
        <w:spacing w:before="100" w:after="40"/>
      </w:pPr>
      <w:r>
        <w:rPr>
          <w:b/>
          <w:color w:val="1F4E79"/>
          <w:sz w:val="22"/>
        </w:rPr>
        <w:t>3. Research questions</w:t>
      </w:r>
    </w:p>
    <w:p w:rsidR="006B5018" w:rsidRDefault="0029015A">
      <w:pPr>
        <w:spacing w:after="60" w:line="240" w:lineRule="auto"/>
        <w:jc w:val="both"/>
      </w:pPr>
      <w:r w:rsidRPr="00B23AB8">
        <w:rPr>
          <w:b/>
        </w:rPr>
        <w:t>RQ1</w:t>
      </w:r>
      <w:r w:rsidR="00B23AB8" w:rsidRPr="00B23AB8">
        <w:rPr>
          <w:b/>
        </w:rPr>
        <w:t>:</w:t>
      </w:r>
      <w:r>
        <w:t xml:space="preserve"> To what extent does a Riemannian optimization strategy for the TransparentGS primitives, guided by transmissive deflectometry, change the geometric accuracy, stability, and computational cost of 3D reconstruction of transparent objects compared with the original TransparentGS optimization?</w:t>
      </w:r>
    </w:p>
    <w:p w:rsidR="006B5018" w:rsidRDefault="0029015A">
      <w:pPr>
        <w:spacing w:after="60" w:line="240" w:lineRule="auto"/>
        <w:jc w:val="both"/>
      </w:pPr>
      <w:r w:rsidRPr="00B23AB8">
        <w:rPr>
          <w:b/>
        </w:rPr>
        <w:t>RQ2</w:t>
      </w:r>
      <w:r w:rsidR="00B23AB8" w:rsidRPr="00B23AB8">
        <w:rPr>
          <w:b/>
        </w:rPr>
        <w:t>:</w:t>
      </w:r>
      <w:r>
        <w:t xml:space="preserve"> What is the individual contribution of transmissive deflectometry and Riemannian optimization to the results of 3D reconstruction of transparent objects?</w:t>
      </w:r>
    </w:p>
    <w:p w:rsidR="006B5018" w:rsidRDefault="0029015A">
      <w:pPr>
        <w:spacing w:before="100" w:after="40"/>
      </w:pPr>
      <w:r>
        <w:rPr>
          <w:b/>
          <w:color w:val="1F4E79"/>
          <w:sz w:val="22"/>
        </w:rPr>
        <w:t>4. Methodology</w:t>
      </w:r>
    </w:p>
    <w:p w:rsidR="00B23AB8" w:rsidRDefault="0029015A">
      <w:pPr>
        <w:spacing w:after="60" w:line="240" w:lineRule="auto"/>
        <w:jc w:val="both"/>
      </w:pPr>
      <w:r w:rsidRPr="00B23AB8">
        <w:rPr>
          <w:b/>
        </w:rPr>
        <w:t>Paradigm</w:t>
      </w:r>
      <w:r>
        <w:t xml:space="preserve">: postpositivism. </w:t>
      </w:r>
      <w:r w:rsidRPr="00B23AB8">
        <w:rPr>
          <w:b/>
        </w:rPr>
        <w:t>Methodology</w:t>
      </w:r>
      <w:r>
        <w:t xml:space="preserve">: Design Science Research (DSR). </w:t>
      </w:r>
      <w:r w:rsidRPr="00B23AB8">
        <w:rPr>
          <w:b/>
        </w:rPr>
        <w:t>Approach</w:t>
      </w:r>
      <w:r>
        <w:t xml:space="preserve">: quantitative. </w:t>
      </w:r>
      <w:r w:rsidRPr="00B23AB8">
        <w:rPr>
          <w:b/>
        </w:rPr>
        <w:t>Evaluation</w:t>
      </w:r>
      <w:r>
        <w:t xml:space="preserve">: computational experiments. </w:t>
      </w:r>
    </w:p>
    <w:p w:rsidR="006B5018" w:rsidRDefault="0029015A">
      <w:pPr>
        <w:spacing w:after="60" w:line="240" w:lineRule="auto"/>
        <w:jc w:val="both"/>
      </w:pPr>
      <w:proofErr w:type="spellStart"/>
      <w:r>
        <w:t>TransparentGS</w:t>
      </w:r>
      <w:proofErr w:type="spellEnd"/>
      <w:r>
        <w:t xml:space="preserve"> will be reproduced first. Four matched configurations will be compared: </w:t>
      </w:r>
      <w:r w:rsidRPr="00B23AB8">
        <w:rPr>
          <w:b/>
        </w:rPr>
        <w:t xml:space="preserve">A) </w:t>
      </w:r>
      <w:r>
        <w:t xml:space="preserve">baseline; </w:t>
      </w:r>
      <w:r w:rsidRPr="00B23AB8">
        <w:rPr>
          <w:b/>
        </w:rPr>
        <w:t xml:space="preserve">B) </w:t>
      </w:r>
      <w:r>
        <w:t xml:space="preserve">+ Riemannian update; </w:t>
      </w:r>
      <w:r w:rsidRPr="00B23AB8">
        <w:rPr>
          <w:b/>
        </w:rPr>
        <w:t xml:space="preserve">C) </w:t>
      </w:r>
      <w:r>
        <w:t xml:space="preserve">+ transmissive deflectometry with original optimizer; </w:t>
      </w:r>
      <w:r w:rsidRPr="00B23AB8">
        <w:rPr>
          <w:b/>
        </w:rPr>
        <w:t xml:space="preserve">D) </w:t>
      </w:r>
      <w:r>
        <w:t xml:space="preserve">+ both components. A Euclidean second-order control (e.g., Levenberg–Marquardt) will be evaluated if feasible, </w:t>
      </w:r>
      <w:proofErr w:type="spellStart"/>
      <w:r>
        <w:t xml:space="preserve">or its exclusion justified. </w:t>
      </w:r>
      <w:proofErr w:type="spellEnd"/>
      <w:r>
        <w:t>Stability: dispersion of Chamfer error across at least five seeds, divergence rate, and convergence time. Ground truth: known synthetic CAD geometry and independently validated reference meshes for real objects where available. All variants will use comparable scenes, metrics, calibration, and computation budgets.</w:t>
      </w:r>
    </w:p>
    <w:p w:rsidR="006B5018" w:rsidRDefault="0029015A">
      <w:pPr>
        <w:spacing w:before="100" w:after="40"/>
      </w:pPr>
      <w:r>
        <w:rPr>
          <w:b/>
          <w:color w:val="1F4E79"/>
          <w:sz w:val="22"/>
        </w:rPr>
        <w:t>5. Laws, ethics, and approvals</w:t>
      </w:r>
    </w:p>
    <w:p w:rsidR="006B5018" w:rsidRDefault="0029015A">
      <w:pPr>
        <w:spacing w:after="60" w:line="240" w:lineRule="auto"/>
        <w:jc w:val="both"/>
      </w:pPr>
      <w:r>
        <w:t>The initial stage does not involve human participants or sensitive personal data. We will follow CONCYTEC scientific integrity guidance, disclose AI assistance, and respect dataset/code licenses. The public repository will link to publisher papers by DOI rather than redistribute their PDFs. Data provenance, calibration, acquisition, preprocessing, reproducibility, and limitations will be documented.</w:t>
      </w:r>
    </w:p>
    <w:p w:rsidR="006B5018" w:rsidRDefault="0029015A">
      <w:pPr>
        <w:spacing w:before="100" w:after="40"/>
      </w:pPr>
      <w:r>
        <w:rPr>
          <w:b/>
          <w:color w:val="1F4E79"/>
          <w:sz w:val="22"/>
        </w:rPr>
        <w:t>6. Expected result</w:t>
      </w:r>
    </w:p>
    <w:p w:rsidR="006B5018" w:rsidRDefault="0029015A">
      <w:pPr>
        <w:spacing w:after="60" w:line="240" w:lineRule="auto"/>
        <w:jc w:val="both"/>
      </w:pPr>
      <w:r>
        <w:t>The expected result is a reproducible TransparentGS extension and controlled evidence on how deflectometry and Riemannian covariance updates individually and jointly change reconstruction accuracy, stability, and computational cost. Improvements are hypotheses, not assumed outcomes. The contribution combines a tested computational artifact with evaluated design knowledge.</w:t>
      </w:r>
    </w:p>
    <w:p w:rsidR="006B5018" w:rsidRDefault="0029015A">
      <w:pPr>
        <w:spacing w:before="100" w:after="40"/>
      </w:pPr>
      <w:r>
        <w:rPr>
          <w:b/>
          <w:color w:val="1F4E79"/>
          <w:sz w:val="22"/>
        </w:rPr>
        <w:t>7. Preliminary schedule and budget</w:t>
      </w:r>
    </w:p>
    <w:p w:rsidR="006B5018" w:rsidRDefault="0029015A">
      <w:pPr>
        <w:spacing w:after="60" w:line="240" w:lineRule="auto"/>
        <w:jc w:val="both"/>
      </w:pPr>
      <w:r w:rsidRPr="00B23AB8">
        <w:rPr>
          <w:b/>
        </w:rPr>
        <w:t xml:space="preserve">Months </w:t>
      </w:r>
      <w:r w:rsidR="00B23AB8">
        <w:rPr>
          <w:b/>
        </w:rPr>
        <w:t>1</w:t>
      </w:r>
      <w:r w:rsidRPr="00B23AB8">
        <w:rPr>
          <w:b/>
        </w:rPr>
        <w:t>–</w:t>
      </w:r>
      <w:r w:rsidR="00B23AB8">
        <w:rPr>
          <w:b/>
        </w:rPr>
        <w:t>6</w:t>
      </w:r>
      <w:r w:rsidRPr="00B23AB8">
        <w:rPr>
          <w:b/>
        </w:rPr>
        <w:t>:</w:t>
      </w:r>
      <w:r>
        <w:t xml:space="preserve"> baseline reproduction and focused Riemannian/SPD review. </w:t>
      </w:r>
      <w:r w:rsidRPr="00B23AB8">
        <w:rPr>
          <w:b/>
        </w:rPr>
        <w:t xml:space="preserve">Months </w:t>
      </w:r>
      <w:r w:rsidR="00B23AB8">
        <w:rPr>
          <w:b/>
        </w:rPr>
        <w:t>7</w:t>
      </w:r>
      <w:r w:rsidRPr="00B23AB8">
        <w:rPr>
          <w:b/>
        </w:rPr>
        <w:t>–</w:t>
      </w:r>
      <w:r w:rsidR="00B23AB8">
        <w:rPr>
          <w:b/>
        </w:rPr>
        <w:t>12</w:t>
      </w:r>
      <w:r w:rsidRPr="00B23AB8">
        <w:rPr>
          <w:b/>
        </w:rPr>
        <w:t>:</w:t>
      </w:r>
      <w:r>
        <w:t xml:space="preserve"> </w:t>
      </w:r>
      <w:proofErr w:type="spellStart"/>
      <w:r>
        <w:t>deflectometry</w:t>
      </w:r>
      <w:proofErr w:type="spellEnd"/>
      <w:r>
        <w:t xml:space="preserve"> integration and calibration. </w:t>
      </w:r>
      <w:r w:rsidRPr="00B23AB8">
        <w:rPr>
          <w:b/>
        </w:rPr>
        <w:t xml:space="preserve">Months </w:t>
      </w:r>
      <w:r w:rsidR="00B23AB8">
        <w:rPr>
          <w:b/>
        </w:rPr>
        <w:t>13</w:t>
      </w:r>
      <w:r w:rsidRPr="00B23AB8">
        <w:rPr>
          <w:b/>
        </w:rPr>
        <w:t>–</w:t>
      </w:r>
      <w:r w:rsidR="00B23AB8">
        <w:rPr>
          <w:b/>
        </w:rPr>
        <w:t>20</w:t>
      </w:r>
      <w:r w:rsidRPr="00B23AB8">
        <w:rPr>
          <w:b/>
        </w:rPr>
        <w:t>:</w:t>
      </w:r>
      <w:r>
        <w:t xml:space="preserve"> Riemannian design and comparison to Euclidean optimizers. </w:t>
      </w:r>
      <w:r w:rsidRPr="00B23AB8">
        <w:rPr>
          <w:b/>
        </w:rPr>
        <w:t xml:space="preserve">Months </w:t>
      </w:r>
      <w:r w:rsidR="00B23AB8">
        <w:rPr>
          <w:b/>
        </w:rPr>
        <w:t>21</w:t>
      </w:r>
      <w:r w:rsidRPr="00B23AB8">
        <w:rPr>
          <w:b/>
        </w:rPr>
        <w:t>–2</w:t>
      </w:r>
      <w:r w:rsidR="00B23AB8">
        <w:rPr>
          <w:b/>
        </w:rPr>
        <w:t>8</w:t>
      </w:r>
      <w:r w:rsidRPr="00B23AB8">
        <w:rPr>
          <w:b/>
        </w:rPr>
        <w:t>:</w:t>
      </w:r>
      <w:r>
        <w:t xml:space="preserve"> experiments and ablations. </w:t>
      </w:r>
      <w:r w:rsidRPr="00B23AB8">
        <w:rPr>
          <w:b/>
        </w:rPr>
        <w:t>Months 2</w:t>
      </w:r>
      <w:r w:rsidR="00B23AB8">
        <w:rPr>
          <w:b/>
        </w:rPr>
        <w:t>9</w:t>
      </w:r>
      <w:r w:rsidRPr="00B23AB8">
        <w:rPr>
          <w:b/>
        </w:rPr>
        <w:t>–</w:t>
      </w:r>
      <w:r w:rsidR="00B23AB8">
        <w:rPr>
          <w:b/>
        </w:rPr>
        <w:t>32</w:t>
      </w:r>
      <w:r w:rsidRPr="00B23AB8">
        <w:rPr>
          <w:b/>
        </w:rPr>
        <w:t>:</w:t>
      </w:r>
      <w:r>
        <w:t xml:space="preserve"> analysis, publication, and consolidation. Resources: RTX 4080 laptop GPU (12 GB VRAM; baseline fit must be confirmed experimentally), calibrated camera, pattern display, rigid mounts, intrinsic/extrinsic camera–display calibration, and validated reference geometry. Budget remains provisional.</w:t>
      </w:r>
    </w:p>
    <w:p w:rsidR="006B5018" w:rsidRPr="00F52EB7" w:rsidRDefault="0029015A">
      <w:pPr>
        <w:keepNext/>
        <w:pageBreakBefore/>
        <w:spacing w:before="100" w:after="40"/>
        <w:rPr>
          <w:lang w:val="es-PE"/>
        </w:rPr>
      </w:pPr>
      <w:r w:rsidRPr="00F52EB7">
        <w:rPr>
          <w:b/>
          <w:color w:val="1F4E79"/>
          <w:sz w:val="22"/>
          <w:lang w:val="es-PE"/>
        </w:rPr>
        <w:t xml:space="preserve">8. </w:t>
      </w:r>
      <w:proofErr w:type="spellStart"/>
      <w:r w:rsidRPr="00F52EB7">
        <w:rPr>
          <w:b/>
          <w:color w:val="1F4E79"/>
          <w:sz w:val="22"/>
          <w:lang w:val="es-PE"/>
        </w:rPr>
        <w:t>Initial</w:t>
      </w:r>
      <w:proofErr w:type="spellEnd"/>
      <w:r w:rsidRPr="00F52EB7">
        <w:rPr>
          <w:b/>
          <w:color w:val="1F4E79"/>
          <w:sz w:val="22"/>
          <w:lang w:val="es-PE"/>
        </w:rPr>
        <w:t xml:space="preserve"> </w:t>
      </w:r>
      <w:proofErr w:type="spellStart"/>
      <w:r w:rsidRPr="00F52EB7">
        <w:rPr>
          <w:b/>
          <w:color w:val="1F4E79"/>
          <w:sz w:val="22"/>
          <w:lang w:val="es-PE"/>
        </w:rPr>
        <w:t>references</w:t>
      </w:r>
      <w:proofErr w:type="spellEnd"/>
    </w:p>
    <w:p w:rsidR="006B5018" w:rsidRDefault="0029015A" w:rsidP="0029015A">
      <w:pPr>
        <w:keepLines/>
        <w:spacing w:after="80" w:line="240" w:lineRule="auto" w:before="0"/>
        <w:ind w:left="317" w:hanging="317"/>
        <w:jc w:val="left"/>
      </w:pPr>
      <w:r w:rsidRPr="0029015A">
        <w:rPr>
          <w:rStyle w:val="Textoennegrita"/>
          <w:lang w:val="es-PE"/>
        </w:rPr>
      </w:r>
      <w:r w:rsidRPr="0029015A">
        <w:rPr>
          <w:lang w:val="es-PE"/>
        </w:rPr>
      </w:r>
      <w:r w:rsidRPr="00F1587A">
        <w:rPr>
          <w:sz w:val="24"/>
          <w:szCs w:val="24"/>
          <w:lang w:val="es-PE"/>
        </w:rPr>
      </w:r>
      <w:r w:rsidRPr="00F52EB7">
        <w:rPr>
          <w:sz w:val="24"/>
          <w:szCs w:val="24"/>
        </w:rPr>
      </w:r>
      <w:r/>
      <w:proofErr w:type="spellStart"/>
      <w:r>
        <w:rPr>
          <w:rStyle w:val="nfasis"/>
        </w:rPr>
      </w:r>
      <w:proofErr w:type="spellEnd"/>
      <w:r>
        <w:rPr>
          <w:rStyle w:val="nfasis"/>
        </w:rPr>
      </w:r>
      <w:r/>
      <w:proofErr w:type="spellStart"/>
      <w:r w:rsidRPr="00F52EB7">
        <w:rPr>
          <w:sz w:val="24"/>
          <w:szCs w:val="24"/>
        </w:rPr>
      </w:r>
      <w:proofErr w:type="spellEnd"/>
      <w:r w:rsidRPr="00F52EB7">
        <w:rPr>
          <w:sz w:val="24"/>
          <w:szCs w:val="24"/>
        </w:rPr>
      </w:r>
      <w:r/>
      <w:r>
        <w:rPr>
          <w:rStyle w:val="nfasis"/>
        </w:rPr>
      </w:r>
      <w:r/>
      <w:r w:rsidRPr="00F52EB7">
        <w:rPr>
          <w:sz w:val="24"/>
          <w:szCs w:val="24"/>
        </w:rPr>
      </w:r>
      <w:r/>
      <w:proofErr w:type="spellStart"/>
      <w:r>
        <w:rPr>
          <w:rStyle w:val="nfasis"/>
        </w:rPr>
      </w:r>
      <w:proofErr w:type="spellEnd"/>
      <w:r>
        <w:rPr>
          <w:rStyle w:val="nfasis"/>
        </w:rPr>
      </w:r>
      <w:r/>
      <w:r/>
      <w:proofErr w:type="spellStart"/>
      <w:r>
        <w:rPr>
          <w:rStyle w:val="Textoennegrita"/>
        </w:rPr>
      </w:r>
      <w:proofErr w:type="spellEnd"/>
      <w:r>
        <w:rPr>
          <w:rStyle w:val="Textoennegrita"/>
        </w:rPr>
      </w:r>
      <w:r/>
      <w:r w:rsidRPr="00F52EB7">
        <w:rPr>
          <w:sz w:val="24"/>
          <w:szCs w:val="24"/>
        </w:rPr>
      </w:r>
      <w:r/>
      <w:r>
        <w:rPr>
          <w:rStyle w:val="nfasis"/>
        </w:rPr>
      </w:r>
      <w:r/>
      <w:proofErr w:type="spellStart"/>
      <w:r w:rsidRPr="00F52EB7">
        <w:rPr>
          <w:sz w:val="24"/>
          <w:szCs w:val="24"/>
        </w:rPr>
      </w:r>
      <w:proofErr w:type="spellEnd"/>
      <w:r w:rsidRPr="00F52EB7">
        <w:rPr>
          <w:sz w:val="24"/>
          <w:szCs w:val="24"/>
        </w:rPr>
      </w:r>
      <w:r/>
      <w:r>
        <w:rPr>
          <w:rStyle w:val="nfasis"/>
        </w:rPr>
      </w:r>
      <w:r/>
      <w:r/>
      <w:r>
        <w:rPr>
          <w:rStyle w:val="Textoennegrita"/>
        </w:rPr>
      </w:r>
      <w:r/>
      <w:proofErr w:type="spellStart"/>
      <w:r w:rsidRPr="00F52EB7">
        <w:rPr>
          <w:sz w:val="24"/>
          <w:szCs w:val="24"/>
        </w:rPr>
      </w:r>
      <w:proofErr w:type="spellEnd"/>
      <w:r w:rsidRPr="00F52EB7">
        <w:rPr>
          <w:sz w:val="24"/>
          <w:szCs w:val="24"/>
        </w:rPr>
      </w:r>
      <w:r/>
      <w:r>
        <w:rPr>
          <w:rStyle w:val="nfasis"/>
        </w:rPr>
      </w:r>
      <w:r/>
      <w:r w:rsidRPr="00F52EB7">
        <w:rPr>
          <w:sz w:val="24"/>
          <w:szCs w:val="24"/>
        </w:rPr>
      </w:r>
      <w:proofErr w:type="spellStart"/>
      <w:r w:rsidRPr="00F52EB7">
        <w:rPr>
          <w:sz w:val="24"/>
          <w:szCs w:val="24"/>
        </w:rPr>
      </w:r>
      <w:proofErr w:type="spellEnd"/>
      <w:r w:rsidRPr="00F52EB7">
        <w:rPr>
          <w:sz w:val="24"/>
          <w:szCs w:val="24"/>
        </w:rPr>
      </w:r>
      <w:r/>
      <w:r>
        <w:rPr>
          <w:rStyle w:val="nfasis"/>
        </w:rPr>
      </w:r>
      <w:r/>
      <w:r>
        <w:rPr>
          <w:rFonts w:ascii="Times New Roman" w:hAnsi="Times New Roman"/>
          <w:sz w:val="21"/>
        </w:rPr>
      </w:r>
      <w:r>
        <w:rPr>
          <w:rFonts w:ascii="Times New Roman" w:hAnsi="Times New Roman"/>
          <w:sz w:val="21"/>
        </w:rPr>
      </w:r>
      <w:r>
        <w:rPr>
          <w:rFonts w:ascii="Times New Roman" w:hAnsi="Times New Roman"/>
          <w:sz w:val="21"/>
        </w:rPr>
      </w:r>
      <w:r>
        <w:rPr>
          <w:rFonts w:ascii="Times New Roman" w:hAnsi="Times New Roman"/>
          <w:sz w:val="21"/>
        </w:rPr>
      </w:r>
      <w:r>
        <w:rPr>
          <w:rFonts w:ascii="Times New Roman" w:hAnsi="Times New Roman"/>
          <w:sz w:val="21"/>
        </w:rPr>
      </w:r>
      <w:r>
        <w:rPr>
          <w:rFonts w:ascii="Times New Roman" w:hAnsi="Times New Roman"/>
          <w:b w:val="0"/>
          <w:i w:val="0"/>
          <w:sz w:val="21"/>
        </w:rPr>
        <w:t xml:space="preserve">Gregor, S., &amp; Hevner, A. R. (2013). Positioning and presenting design science research for maximum impact. </w:t>
      </w:r>
      <w:r>
        <w:rPr>
          <w:rFonts w:ascii="Times New Roman" w:hAnsi="Times New Roman"/>
          <w:b w:val="0"/>
          <w:i/>
          <w:sz w:val="21"/>
        </w:rPr>
        <w:t>MIS Quarterly, 37</w:t>
      </w:r>
      <w:r>
        <w:rPr>
          <w:rFonts w:ascii="Times New Roman" w:hAnsi="Times New Roman"/>
          <w:b w:val="0"/>
          <w:i w:val="0"/>
          <w:sz w:val="21"/>
        </w:rPr>
        <w:t>(2), 337–355. https://doi.org/10.25300/MISQ/2013/37.2.01</w:t>
      </w:r>
    </w:p>
    <w:p>
      <w:pPr>
        <w:keepLines/>
        <w:spacing w:before="0" w:after="80" w:line="240" w:lineRule="auto"/>
        <w:ind w:left="317" w:hanging="317"/>
        <w:jc w:val="left"/>
      </w:pPr>
      <w:r>
        <w:rPr>
          <w:rFonts w:ascii="Times New Roman" w:hAnsi="Times New Roman"/>
          <w:b w:val="0"/>
          <w:i w:val="0"/>
          <w:sz w:val="21"/>
        </w:rPr>
        <w:t xml:space="preserve">Hevner, A. R., March, S. T., Park, J., &amp; Ram, S. (2004). Design science in information systems research. </w:t>
      </w:r>
      <w:r>
        <w:rPr>
          <w:rFonts w:ascii="Times New Roman" w:hAnsi="Times New Roman"/>
          <w:b w:val="0"/>
          <w:i/>
          <w:sz w:val="21"/>
        </w:rPr>
        <w:t>MIS Quarterly, 28</w:t>
      </w:r>
      <w:r>
        <w:rPr>
          <w:rFonts w:ascii="Times New Roman" w:hAnsi="Times New Roman"/>
          <w:b w:val="0"/>
          <w:i w:val="0"/>
          <w:sz w:val="21"/>
        </w:rPr>
        <w:t>(1), 75–105. https://doi.org/10.2307/25148625</w:t>
      </w:r>
    </w:p>
    <w:p>
      <w:pPr>
        <w:keepLines/>
        <w:spacing w:before="0" w:after="80" w:line="240" w:lineRule="auto"/>
        <w:ind w:left="317" w:hanging="317"/>
        <w:jc w:val="left"/>
      </w:pPr>
      <w:r>
        <w:rPr>
          <w:rFonts w:ascii="Times New Roman" w:hAnsi="Times New Roman"/>
          <w:b w:val="0"/>
          <w:i w:val="0"/>
          <w:sz w:val="21"/>
        </w:rPr>
        <w:t xml:space="preserve">Höllein, L., Božič, A., Zollhöfer, M., &amp; Nießner, M. (2025). 3DGS-LM: Faster Gaussian-splatting optimization with Levenberg–Marquardt. In </w:t>
      </w:r>
      <w:r>
        <w:rPr>
          <w:rFonts w:ascii="Times New Roman" w:hAnsi="Times New Roman"/>
          <w:b w:val="0"/>
          <w:i/>
          <w:sz w:val="21"/>
        </w:rPr>
        <w:t>Proceedings of the IEEE/CVF International Conference on Computer Vision</w:t>
      </w:r>
      <w:r>
        <w:rPr>
          <w:rFonts w:ascii="Times New Roman" w:hAnsi="Times New Roman"/>
          <w:b w:val="0"/>
          <w:i w:val="0"/>
          <w:sz w:val="21"/>
        </w:rPr>
        <w:t xml:space="preserve"> (pp. 26740–26750). https://doi.org/10.1109/ICCV51701.2025.02482</w:t>
      </w:r>
    </w:p>
    <w:p>
      <w:pPr>
        <w:keepLines/>
        <w:spacing w:before="0" w:after="80" w:line="240" w:lineRule="auto"/>
        <w:ind w:left="317" w:hanging="317"/>
        <w:jc w:val="left"/>
      </w:pPr>
      <w:r>
        <w:rPr>
          <w:rFonts w:ascii="Times New Roman" w:hAnsi="Times New Roman"/>
          <w:b w:val="0"/>
          <w:i w:val="0"/>
          <w:sz w:val="21"/>
        </w:rPr>
        <w:t xml:space="preserve">Huang, L., Ye, D., Dan, J., Tao, C., Liu, H., Zhou, K., Ren, B., Li, Y., Guo, Y., &amp; Guo, J. (2025). TransparentGS: Fast inverse rendering of transparent objects with Gaussians. </w:t>
      </w:r>
      <w:r>
        <w:rPr>
          <w:rFonts w:ascii="Times New Roman" w:hAnsi="Times New Roman"/>
          <w:b w:val="0"/>
          <w:i/>
          <w:sz w:val="21"/>
        </w:rPr>
        <w:t>ACM Transactions on Graphics, 44</w:t>
      </w:r>
      <w:r>
        <w:rPr>
          <w:rFonts w:ascii="Times New Roman" w:hAnsi="Times New Roman"/>
          <w:b w:val="0"/>
          <w:i w:val="0"/>
          <w:sz w:val="21"/>
        </w:rPr>
        <w:t>(4), 1–17. https://doi.org/10.1145/3730892</w:t>
      </w:r>
    </w:p>
    <w:p>
      <w:pPr>
        <w:keepLines/>
        <w:spacing w:before="0" w:after="80" w:line="240" w:lineRule="auto"/>
        <w:ind w:left="317" w:hanging="317"/>
        <w:jc w:val="left"/>
      </w:pPr>
      <w:r>
        <w:rPr>
          <w:rFonts w:ascii="Times New Roman" w:hAnsi="Times New Roman"/>
          <w:b w:val="0"/>
          <w:i w:val="0"/>
          <w:sz w:val="21"/>
        </w:rPr>
        <w:t xml:space="preserve">Li, Z., Long, X., Wang, Y., Cao, T., Wang, W., Luo, F., &amp; Xiao, C. (2023). NeTO: Neural reconstruction of transparent objects with self-occlusion aware refraction-tracing. In </w:t>
      </w:r>
      <w:r>
        <w:rPr>
          <w:rFonts w:ascii="Times New Roman" w:hAnsi="Times New Roman"/>
          <w:b w:val="0"/>
          <w:i/>
          <w:sz w:val="21"/>
        </w:rPr>
        <w:t>Proceedings of the IEEE/CVF International Conference on Computer Vision</w:t>
      </w:r>
      <w:r>
        <w:rPr>
          <w:rFonts w:ascii="Times New Roman" w:hAnsi="Times New Roman"/>
          <w:b w:val="0"/>
          <w:i w:val="0"/>
          <w:sz w:val="21"/>
        </w:rPr>
        <w:t xml:space="preserve"> (pp. 18547–18557). https://doi.org/10.1109/ICCV51070.2023.01700</w:t>
      </w:r>
    </w:p>
    <w:p>
      <w:pPr>
        <w:keepLines/>
        <w:spacing w:before="0" w:after="80" w:line="240" w:lineRule="auto"/>
        <w:ind w:left="317" w:hanging="317"/>
        <w:jc w:val="left"/>
      </w:pPr>
      <w:r>
        <w:rPr>
          <w:rFonts w:ascii="Times New Roman" w:hAnsi="Times New Roman"/>
          <w:b w:val="0"/>
          <w:i w:val="0"/>
          <w:sz w:val="21"/>
        </w:rPr>
        <w:t xml:space="preserve">Lyu, J., Wu, B., Lischinski, D., Cohen-Or, D., &amp; Huang, H. (2020). Differentiable refraction-tracing for mesh reconstruction of transparent objects. </w:t>
      </w:r>
      <w:r>
        <w:rPr>
          <w:rFonts w:ascii="Times New Roman" w:hAnsi="Times New Roman"/>
          <w:b w:val="0"/>
          <w:i/>
          <w:sz w:val="21"/>
        </w:rPr>
        <w:t>ACM Transactions on Graphics, 39</w:t>
      </w:r>
      <w:r>
        <w:rPr>
          <w:rFonts w:ascii="Times New Roman" w:hAnsi="Times New Roman"/>
          <w:b w:val="0"/>
          <w:i w:val="0"/>
          <w:sz w:val="21"/>
        </w:rPr>
        <w:t>(6), Article 195. https://doi.org/10.1145/3414685.3417815</w:t>
      </w:r>
    </w:p>
    <w:p>
      <w:pPr>
        <w:keepNext/>
        <w:spacing w:before="100" w:after="40"/>
      </w:pPr>
      <w:r>
        <w:rPr>
          <w:rFonts w:ascii="Times New Roman" w:hAnsi="Times New Roman"/>
          <w:b/>
          <w:color w:val="1C4D79"/>
          <w:sz w:val="22"/>
        </w:rPr>
        <w:t>9. Focused Riemannian/SPD reference (added)</w:t>
      </w:r>
    </w:p>
    <w:p>
      <w:pPr>
        <w:keepLines/>
        <w:spacing w:after="80" w:line="240" w:lineRule="auto" w:before="0"/>
        <w:ind w:left="317" w:hanging="317"/>
        <w:jc w:val="left"/>
      </w:pPr>
      <w:r>
        <w:rPr>
          <w:rFonts w:ascii="Times New Roman" w:hAnsi="Times New Roman"/>
          <w:sz w:val="21"/>
        </w:rPr>
      </w:r>
      <w:r>
        <w:rPr>
          <w:rFonts w:ascii="Times New Roman" w:hAnsi="Times New Roman"/>
          <w:i w:val="0"/>
          <w:sz w:val="21"/>
        </w:rPr>
        <w:t xml:space="preserve">Ji, C., Fu, Y., &amp; He, P. (2024). Adaptive Riemannian stochastic gradient descent and reparameterization for Gaussian mixture model fitting. In </w:t>
      </w:r>
      <w:r>
        <w:rPr>
          <w:rFonts w:ascii="Times New Roman" w:hAnsi="Times New Roman"/>
          <w:i/>
          <w:sz w:val="21"/>
        </w:rPr>
        <w:t>Proceedings of the 15th Asian Conference on Machine Learning</w:t>
      </w:r>
      <w:r>
        <w:rPr>
          <w:rFonts w:ascii="Times New Roman" w:hAnsi="Times New Roman"/>
          <w:i w:val="0"/>
          <w:sz w:val="21"/>
        </w:rPr>
        <w:t xml:space="preserve"> (Proceedings of Machine Learning Research, Vol. 222, pp. 534–549). https://proceedings.mlr.press/v222/ji24a.html</w:t>
      </w:r>
    </w:p>
    <w:p>
      <w:pPr>
        <w:spacing w:after="60" w:line="240" w:lineRule="auto"/>
        <w:jc w:val="left"/>
      </w:pPr>
      <w:r>
        <w:rPr>
          <w:rFonts w:ascii="Times New Roman" w:hAnsi="Times New Roman"/>
          <w:sz w:val="21"/>
        </w:rPr>
        <w:t>Relevance: Demonstrates Riemannian SGD/Adam updates for SPD covariances in Gaussian mixture fitting; it does not evaluate TransparentGS or establish a reconstruction advantage.</w:t>
      </w:r>
    </w:p>
    <w:sectPr w:rsidR="006B5018" w:rsidSect="00A71C16">
      <w:pgSz w:w="12240" w:h="15840"/>
      <w:pgMar w:top="1134"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15A"/>
    <w:rsid w:val="0029639D"/>
    <w:rsid w:val="00326F90"/>
    <w:rsid w:val="006B5018"/>
    <w:rsid w:val="00A71C16"/>
    <w:rsid w:val="00AA1D8D"/>
    <w:rsid w:val="00B07F4D"/>
    <w:rsid w:val="00B23AB8"/>
    <w:rsid w:val="00B47730"/>
    <w:rsid w:val="00CB0664"/>
    <w:rsid w:val="00F1587A"/>
    <w:rsid w:val="00F52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6670F"/>
  <w14:defaultImageDpi w14:val="300"/>
  <w15:docId w15:val="{F6049D7B-D3DD-418E-B66D-31C4C9E4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920589">
      <w:bodyDiv w:val="1"/>
      <w:marLeft w:val="0"/>
      <w:marRight w:val="0"/>
      <w:marTop w:val="0"/>
      <w:marBottom w:val="0"/>
      <w:divBdr>
        <w:top w:val="none" w:sz="0" w:space="0" w:color="auto"/>
        <w:left w:val="none" w:sz="0" w:space="0" w:color="auto"/>
        <w:bottom w:val="none" w:sz="0" w:space="0" w:color="auto"/>
        <w:right w:val="none" w:sz="0" w:space="0" w:color="auto"/>
      </w:divBdr>
      <w:divsChild>
        <w:div w:id="1183669927">
          <w:marLeft w:val="0"/>
          <w:marRight w:val="0"/>
          <w:marTop w:val="0"/>
          <w:marBottom w:val="0"/>
          <w:divBdr>
            <w:top w:val="none" w:sz="0" w:space="0" w:color="auto"/>
            <w:left w:val="none" w:sz="0" w:space="0" w:color="auto"/>
            <w:bottom w:val="none" w:sz="0" w:space="0" w:color="auto"/>
            <w:right w:val="none" w:sz="0" w:space="0" w:color="auto"/>
          </w:divBdr>
          <w:divsChild>
            <w:div w:id="725373422">
              <w:marLeft w:val="0"/>
              <w:marRight w:val="0"/>
              <w:marTop w:val="0"/>
              <w:marBottom w:val="0"/>
              <w:divBdr>
                <w:top w:val="none" w:sz="0" w:space="0" w:color="auto"/>
                <w:left w:val="none" w:sz="0" w:space="0" w:color="auto"/>
                <w:bottom w:val="none" w:sz="0" w:space="0" w:color="auto"/>
                <w:right w:val="none" w:sz="0" w:space="0" w:color="auto"/>
              </w:divBdr>
              <w:divsChild>
                <w:div w:id="1267812905">
                  <w:marLeft w:val="0"/>
                  <w:marRight w:val="0"/>
                  <w:marTop w:val="0"/>
                  <w:marBottom w:val="0"/>
                  <w:divBdr>
                    <w:top w:val="none" w:sz="0" w:space="0" w:color="auto"/>
                    <w:left w:val="none" w:sz="0" w:space="0" w:color="auto"/>
                    <w:bottom w:val="none" w:sz="0" w:space="0" w:color="auto"/>
                    <w:right w:val="none" w:sz="0" w:space="0" w:color="auto"/>
                  </w:divBdr>
                  <w:divsChild>
                    <w:div w:id="545793749">
                      <w:marLeft w:val="0"/>
                      <w:marRight w:val="0"/>
                      <w:marTop w:val="0"/>
                      <w:marBottom w:val="0"/>
                      <w:divBdr>
                        <w:top w:val="none" w:sz="0" w:space="0" w:color="auto"/>
                        <w:left w:val="none" w:sz="0" w:space="0" w:color="auto"/>
                        <w:bottom w:val="none" w:sz="0" w:space="0" w:color="auto"/>
                        <w:right w:val="none" w:sz="0" w:space="0" w:color="auto"/>
                      </w:divBdr>
                      <w:divsChild>
                        <w:div w:id="218521934">
                          <w:marLeft w:val="0"/>
                          <w:marRight w:val="0"/>
                          <w:marTop w:val="0"/>
                          <w:marBottom w:val="0"/>
                          <w:divBdr>
                            <w:top w:val="none" w:sz="0" w:space="0" w:color="auto"/>
                            <w:left w:val="none" w:sz="0" w:space="0" w:color="auto"/>
                            <w:bottom w:val="none" w:sz="0" w:space="0" w:color="auto"/>
                            <w:right w:val="none" w:sz="0" w:space="0" w:color="auto"/>
                          </w:divBdr>
                          <w:divsChild>
                            <w:div w:id="620379798">
                              <w:marLeft w:val="0"/>
                              <w:marRight w:val="0"/>
                              <w:marTop w:val="0"/>
                              <w:marBottom w:val="0"/>
                              <w:divBdr>
                                <w:top w:val="none" w:sz="0" w:space="0" w:color="auto"/>
                                <w:left w:val="none" w:sz="0" w:space="0" w:color="auto"/>
                                <w:bottom w:val="none" w:sz="0" w:space="0" w:color="auto"/>
                                <w:right w:val="none" w:sz="0" w:space="0" w:color="auto"/>
                              </w:divBdr>
                              <w:divsChild>
                                <w:div w:id="1860508174">
                                  <w:marLeft w:val="0"/>
                                  <w:marRight w:val="0"/>
                                  <w:marTop w:val="0"/>
                                  <w:marBottom w:val="0"/>
                                  <w:divBdr>
                                    <w:top w:val="none" w:sz="0" w:space="0" w:color="auto"/>
                                    <w:left w:val="none" w:sz="0" w:space="0" w:color="auto"/>
                                    <w:bottom w:val="none" w:sz="0" w:space="0" w:color="auto"/>
                                    <w:right w:val="none" w:sz="0" w:space="0" w:color="auto"/>
                                  </w:divBdr>
                                  <w:divsChild>
                                    <w:div w:id="625310848">
                                      <w:marLeft w:val="0"/>
                                      <w:marRight w:val="0"/>
                                      <w:marTop w:val="0"/>
                                      <w:marBottom w:val="0"/>
                                      <w:divBdr>
                                        <w:top w:val="none" w:sz="0" w:space="0" w:color="auto"/>
                                        <w:left w:val="none" w:sz="0" w:space="0" w:color="auto"/>
                                        <w:bottom w:val="none" w:sz="0" w:space="0" w:color="auto"/>
                                        <w:right w:val="none" w:sz="0" w:space="0" w:color="auto"/>
                                      </w:divBdr>
                                      <w:divsChild>
                                        <w:div w:id="1525247915">
                                          <w:marLeft w:val="0"/>
                                          <w:marRight w:val="0"/>
                                          <w:marTop w:val="0"/>
                                          <w:marBottom w:val="0"/>
                                          <w:divBdr>
                                            <w:top w:val="none" w:sz="0" w:space="0" w:color="auto"/>
                                            <w:left w:val="none" w:sz="0" w:space="0" w:color="auto"/>
                                            <w:bottom w:val="none" w:sz="0" w:space="0" w:color="auto"/>
                                            <w:right w:val="none" w:sz="0" w:space="0" w:color="auto"/>
                                          </w:divBdr>
                                          <w:divsChild>
                                            <w:div w:id="1044062559">
                                              <w:marLeft w:val="0"/>
                                              <w:marRight w:val="0"/>
                                              <w:marTop w:val="0"/>
                                              <w:marBottom w:val="0"/>
                                              <w:divBdr>
                                                <w:top w:val="none" w:sz="0" w:space="0" w:color="auto"/>
                                                <w:left w:val="none" w:sz="0" w:space="0" w:color="auto"/>
                                                <w:bottom w:val="none" w:sz="0" w:space="0" w:color="auto"/>
                                                <w:right w:val="none" w:sz="0" w:space="0" w:color="auto"/>
                                              </w:divBdr>
                                              <w:divsChild>
                                                <w:div w:id="1876038132">
                                                  <w:marLeft w:val="0"/>
                                                  <w:marRight w:val="0"/>
                                                  <w:marTop w:val="0"/>
                                                  <w:marBottom w:val="0"/>
                                                  <w:divBdr>
                                                    <w:top w:val="none" w:sz="0" w:space="0" w:color="auto"/>
                                                    <w:left w:val="none" w:sz="0" w:space="0" w:color="auto"/>
                                                    <w:bottom w:val="none" w:sz="0" w:space="0" w:color="auto"/>
                                                    <w:right w:val="none" w:sz="0" w:space="0" w:color="auto"/>
                                                  </w:divBdr>
                                                  <w:divsChild>
                                                    <w:div w:id="1015959707">
                                                      <w:marLeft w:val="0"/>
                                                      <w:marRight w:val="0"/>
                                                      <w:marTop w:val="0"/>
                                                      <w:marBottom w:val="0"/>
                                                      <w:divBdr>
                                                        <w:top w:val="none" w:sz="0" w:space="0" w:color="auto"/>
                                                        <w:left w:val="none" w:sz="0" w:space="0" w:color="auto"/>
                                                        <w:bottom w:val="none" w:sz="0" w:space="0" w:color="auto"/>
                                                        <w:right w:val="none" w:sz="0" w:space="0" w:color="auto"/>
                                                      </w:divBdr>
                                                      <w:divsChild>
                                                        <w:div w:id="1212113201">
                                                          <w:marLeft w:val="0"/>
                                                          <w:marRight w:val="0"/>
                                                          <w:marTop w:val="0"/>
                                                          <w:marBottom w:val="0"/>
                                                          <w:divBdr>
                                                            <w:top w:val="none" w:sz="0" w:space="0" w:color="auto"/>
                                                            <w:left w:val="none" w:sz="0" w:space="0" w:color="auto"/>
                                                            <w:bottom w:val="none" w:sz="0" w:space="0" w:color="auto"/>
                                                            <w:right w:val="none" w:sz="0" w:space="0" w:color="auto"/>
                                                          </w:divBdr>
                                                          <w:divsChild>
                                                            <w:div w:id="13099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181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D066E-9F8B-4154-8007-917AEA736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516</Words>
  <Characters>2943</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Preliminary Protocol (Corrected)</dc:title>
  <dc:subject/>
  <dc:creator>python-docx</dc:creator>
  <cp:keywords/>
  <dc:description>generated by python-docx</dc:description>
  <cp:lastModifiedBy>Edward Alexander Fuentes Aliaga</cp:lastModifiedBy>
  <cp:revision>7</cp:revision>
  <dcterms:created xsi:type="dcterms:W3CDTF">2013-12-23T23:15:00Z</dcterms:created>
  <dcterms:modified xsi:type="dcterms:W3CDTF">2026-10-01T04:50:00Z</dcterms:modified>
  <cp:category/>
</cp:coreProperties>
</file>