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color w:val="1F4E79"/>
          <w:sz w:val="26"/>
        </w:rPr>
        <w:t>STATEMENT AND JUSTIFICATION OF THE EPISTEMOLOGICAL PARADIGM</w:t>
      </w:r>
    </w:p>
    <w:p>
      <w:r>
        <w:rPr>
          <w:b/>
        </w:rPr>
        <w:t>Thesis topic:</w:t>
      </w:r>
      <w:r>
        <w:t xml:space="preserve"> “Development of a Human Digital Twin prototype based on Multimodal Artificial Intelligence for the longitudinal assessment and prediction of functional recovery in knee rehabilitation.”</w:t>
      </w:r>
    </w:p>
    <w:p>
      <w:r>
        <w:rPr>
          <w:b/>
        </w:rPr>
        <w:t>Student:</w:t>
      </w:r>
      <w:r>
        <w:t xml:space="preserve"> Edward Alexander Fuentes Aliaga</w:t>
      </w:r>
    </w:p>
    <w:p>
      <w:pPr>
        <w:spacing w:before="140" w:after="60"/>
      </w:pPr>
      <w:r>
        <w:rPr>
          <w:rFonts w:ascii="Times New Roman" w:hAnsi="Times New Roman"/>
          <w:b/>
          <w:color w:val="1F4E79"/>
          <w:sz w:val="22"/>
        </w:rPr>
        <w:t>1. Research topic, problem, and question</w:t>
      </w:r>
    </w:p>
    <w:p>
      <w:pPr>
        <w:spacing w:line="240" w:lineRule="auto" w:after="80"/>
        <w:ind w:firstLine="0"/>
        <w:jc w:val="both"/>
      </w:pPr>
      <w:r>
        <w:t>This research proposes the development of a Human Digital Twin prototype for knee rehabilitation. The prototype will integrate multimodal patient data and will be updated at each session to represent the patient's functional status and estimate their recovery path.</w:t>
      </w:r>
    </w:p>
    <w:p>
      <w:pPr>
        <w:spacing w:line="240" w:lineRule="auto" w:after="80"/>
        <w:ind w:firstLine="0"/>
        <w:jc w:val="both"/>
      </w:pPr>
      <w:r>
        <w:t>The research problem is that conventional clinical assessment uses partial observations and measurements at specific times, while the patient's real progress occurs over time and depends on multiple variables. A model that can integrate these variables and update them over time could give the physiotherapist a more complete view of the patient's functional progress.</w:t>
      </w:r>
    </w:p>
    <w:p>
      <w:pPr>
        <w:spacing w:line="240" w:lineRule="auto" w:after="80"/>
        <w:ind w:firstLine="0"/>
        <w:jc w:val="both"/>
      </w:pPr>
      <w:r>
        <w:t>Provisional research question: To what extent can a Human Digital Twin prototype based on Multimodal Artificial Intelligence represent a patient's functional status over time and predict their recovery path during knee rehabilitation?</w:t>
      </w:r>
    </w:p>
    <w:p>
      <w:pPr>
        <w:spacing w:before="140" w:after="60"/>
      </w:pPr>
      <w:r>
        <w:rPr>
          <w:rFonts w:ascii="Times New Roman" w:hAnsi="Times New Roman"/>
          <w:b/>
          <w:color w:val="1F4E79"/>
          <w:sz w:val="22"/>
        </w:rPr>
        <w:t>2. Selected paradigm and justification</w:t>
      </w:r>
    </w:p>
    <w:p>
      <w:pPr>
        <w:spacing w:line="240" w:lineRule="auto" w:after="80"/>
        <w:ind w:firstLine="0"/>
        <w:jc w:val="both"/>
      </w:pPr>
      <w:r>
        <w:t>Main paradigm: Design Science Research (DSR).</w:t>
      </w:r>
    </w:p>
    <w:p>
      <w:pPr>
        <w:spacing w:line="240" w:lineRule="auto" w:after="80"/>
        <w:ind w:firstLine="0"/>
        <w:jc w:val="both"/>
      </w:pPr>
      <w:r>
        <w:t>This choice is justified because the main contribution is to build and evaluate a technological artifact: a Human Digital Twin prototype. The artifact must demonstrate usefulness, quality, effectiveness, and rigor through a systematic evaluation that follows the Design Science Research guidelines studied in the course.</w:t>
      </w:r>
    </w:p>
    <w:p>
      <w:pPr>
        <w:spacing w:line="240" w:lineRule="auto" w:after="80"/>
        <w:ind w:firstLine="0"/>
        <w:jc w:val="both"/>
      </w:pPr>
      <w:r>
        <w:t>The artifact will be evaluated using a quantitative and post-positivist approach. Predictions, errors, calibration, uncertainty, and reproducibility will be measured. This approach recognizes that clinical measurements and models are imperfect approximations of reality and that their conclusions must remain open to review.</w:t>
      </w:r>
    </w:p>
    <w:p>
      <w:pPr>
        <w:spacing w:line="240" w:lineRule="auto" w:after="80"/>
        <w:ind w:firstLine="0"/>
        <w:jc w:val="both"/>
      </w:pPr>
      <w:r>
        <w:t>Interpretivism is not adopted as the main paradigm because the central question does not seek to understand meanings or subjective experiences. A mixed-method design is also not the focus of this first stage because the main contribution is the development and evaluation of the artifact.</w:t>
      </w:r>
    </w:p>
    <w:p>
      <w:pPr>
        <w:spacing w:before="140" w:after="60"/>
      </w:pPr>
      <w:r>
        <w:rPr>
          <w:rFonts w:ascii="Times New Roman" w:hAnsi="Times New Roman"/>
          <w:b/>
          <w:color w:val="1F4E79"/>
          <w:sz w:val="22"/>
        </w:rPr>
        <w:t>3. Data and study design</w:t>
      </w:r>
    </w:p>
    <w:p>
      <w:pPr>
        <w:spacing w:line="240" w:lineRule="auto" w:after="80"/>
        <w:ind w:firstLine="0"/>
        <w:jc w:val="both"/>
      </w:pPr>
      <w:r>
        <w:t>The study will be prospective and longitudinal, with repeated measurements during the rehabilitation process. The patient's digital representation will be updated at each visit.</w:t>
      </w:r>
    </w:p>
    <w:p>
      <w:pPr>
        <w:spacing w:line="240" w:lineRule="auto" w:after="80"/>
        <w:ind w:firstLine="0"/>
        <w:jc w:val="both"/>
      </w:pPr>
      <w:r>
        <w:t>The candidate data types will include clinical and functional data, strength and range of motion, biomechanical variables, walking or movement patterns, pain, treatment adherence, fear of movement, functional confidence, sleep, stress, daily activity, lifestyle, context, and relevant nutritional information. The treatment plan prescribed by the physiotherapist will be recorded as part of the patient's context.</w:t>
      </w:r>
    </w:p>
    <w:p>
      <w:pPr>
        <w:spacing w:before="140" w:after="60"/>
      </w:pPr>
      <w:r>
        <w:rPr>
          <w:rFonts w:ascii="Times New Roman" w:hAnsi="Times New Roman"/>
          <w:b/>
          <w:color w:val="1F4E79"/>
          <w:sz w:val="22"/>
        </w:rPr>
        <w:t>4. Prototype operation and validation</w:t>
      </w:r>
    </w:p>
    <w:p>
      <w:pPr>
        <w:spacing w:line="240" w:lineRule="auto" w:after="80"/>
        <w:ind w:firstLine="0"/>
        <w:jc w:val="both"/>
      </w:pPr>
      <w:r>
        <w:t>The prototype will generate an expected functional path based on the patient's current status and ongoing treatment. At later visits, it will include new measurements, compare the observed progress with the previous path, and recalculate the prediction. It may also identify relationships between changes in multimodal variables and differences from the expected progress.</w:t>
      </w:r>
    </w:p>
    <w:p>
      <w:pPr>
        <w:spacing w:line="240" w:lineRule="auto" w:after="80"/>
        <w:ind w:firstLine="0"/>
        <w:jc w:val="both"/>
      </w:pPr>
      <w:r>
        <w:t>Validation will include comparisons between predictions and observed outcomes, prediction error metrics, calibration, uncertainty analysis, stability across runs, and reproducibility. The system will not prescribe or change treatments autonomously; clinical decisions will remain the responsibility of the physiotherapist.</w:t>
      </w:r>
    </w:p>
    <w:p>
      <w:pPr>
        <w:spacing w:before="140" w:after="60"/>
      </w:pPr>
      <w:r>
        <w:rPr>
          <w:rFonts w:ascii="Times New Roman" w:hAnsi="Times New Roman"/>
          <w:b/>
          <w:color w:val="1F4E79"/>
          <w:sz w:val="22"/>
        </w:rPr>
        <w:t>5. Expected contribution and methodological challenge</w:t>
      </w:r>
    </w:p>
    <w:p>
      <w:pPr>
        <w:spacing w:line="240" w:lineRule="auto" w:after="80"/>
        <w:ind w:firstLine="0"/>
        <w:jc w:val="both"/>
      </w:pPr>
      <w:r>
        <w:t>The technological contribution will be a functional, multimodal, and longitudinal Human Digital Twin prototype for knee rehabilitation. The scientific contribution will be to evaluate whether the progressive updating of multimodal information improves the representation and prediction of the patient's functional path, and to identify which data types provide the greatest predictive value.</w:t>
      </w:r>
    </w:p>
    <w:p>
      <w:pPr>
        <w:spacing w:line="240" w:lineRule="auto" w:after="80"/>
        <w:ind w:firstLine="0"/>
        <w:jc w:val="both"/>
      </w:pPr>
      <w:r>
        <w:t>The main methodological challenge will be obtaining enough patients and longitudinal follow-up data to train and validate a reliable model. Differences among patients, treatments, and clinical conditions must also be controlled because they may limit the generalization of the results.</w:t>
      </w:r>
    </w:p>
    <w:p>
      <w:pPr>
        <w:spacing w:before="140" w:after="60"/>
      </w:pPr>
      <w:r>
        <w:rPr>
          <w:rFonts w:ascii="Times New Roman" w:hAnsi="Times New Roman"/>
          <w:b/>
          <w:color w:val="1F4E79"/>
          <w:sz w:val="22"/>
        </w:rPr>
        <w:t>6. Ethics and data governance</w:t>
      </w:r>
    </w:p>
    <w:p>
      <w:pPr>
        <w:spacing w:line="240" w:lineRule="auto" w:after="80"/>
        <w:ind w:firstLine="0"/>
        <w:jc w:val="both"/>
      </w:pPr>
      <w:r>
        <w:t>The research will require ethical approval and informed consent. Patient data must be de-identified, stored securely, and used only for the authorized research purpose. If videos or motion-capture systems are used, they must be treated as potentially identifiable information.</w:t>
      </w:r>
    </w:p>
    <w:p>
      <w:pPr>
        <w:spacing w:before="160" w:after="40"/>
        <w:jc w:val="left"/>
      </w:pPr>
      <w:r>
        <w:rPr>
          <w:rFonts w:ascii="Times New Roman" w:hAnsi="Times New Roman"/>
          <w:b/>
          <w:sz w:val="20"/>
        </w:rPr>
        <w:t>Main paradigm: Design Science Research (DSR).</w:t>
      </w:r>
    </w:p>
    <w:p>
      <w:r>
        <w:rPr>
          <w:rFonts w:ascii="Times New Roman" w:hAnsi="Times New Roman"/>
          <w:b/>
          <w:sz w:val="20"/>
        </w:rPr>
        <w:t>Evaluation approach: quantitative and post-positivist.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ind w:firstLine="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