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80"/>
      </w:pPr>
    </w:p>
    <w:p>
      <w:pPr>
        <w:spacing w:after="360"/>
        <w:jc w:val="center"/>
      </w:pPr>
      <w:r>
        <w:rPr>
          <w:rFonts w:ascii="Microsoft YaHei" w:hAnsi="Microsoft YaHei" w:eastAsia="Microsoft YaHei"/>
          <w:b/>
          <w:color w:val="2E74B5"/>
          <w:sz w:val="24"/>
        </w:rPr>
        <w:t>2026 MathorCup 数学应用挑战赛 C 题</w:t>
      </w:r>
    </w:p>
    <w:p>
      <w:pPr>
        <w:spacing w:after="240" w:line="269" w:lineRule="auto"/>
        <w:jc w:val="center"/>
      </w:pPr>
      <w:r>
        <w:rPr>
          <w:rFonts w:ascii="Microsoft YaHei" w:hAnsi="Microsoft YaHei" w:eastAsia="Microsoft YaHei"/>
          <w:b/>
          <w:color w:val="17365D"/>
          <w:sz w:val="50"/>
        </w:rPr>
        <w:t>中老年人群高血脂症的</w:t>
        <w:br/>
        <w:t>风险预警及干预方案优化</w:t>
      </w:r>
    </w:p>
    <w:p>
      <w:pPr>
        <w:spacing w:after="1320"/>
        <w:jc w:val="center"/>
      </w:pPr>
      <w:r>
        <w:rPr>
          <w:rFonts w:ascii="Microsoft YaHei" w:hAnsi="Microsoft YaHei" w:eastAsia="Microsoft YaHei"/>
          <w:color w:val="1F4D78"/>
          <w:sz w:val="30"/>
        </w:rPr>
        <w:t>建模方案报告（修订版）</w:t>
      </w:r>
    </w:p>
    <w:p>
      <w:pPr>
        <w:spacing w:after="140"/>
        <w:jc w:val="center"/>
      </w:pPr>
      <w:r>
        <w:rPr>
          <w:rFonts w:ascii="Microsoft YaHei" w:hAnsi="Microsoft YaHei" w:eastAsia="Microsoft YaHei"/>
          <w:color w:val="666666"/>
          <w:sz w:val="21"/>
        </w:rPr>
        <w:t>数据规模：1000 例中老年个案</w:t>
      </w:r>
    </w:p>
    <w:p>
      <w:pPr>
        <w:spacing w:after="140"/>
        <w:jc w:val="center"/>
      </w:pPr>
      <w:r>
        <w:rPr>
          <w:rFonts w:ascii="Microsoft YaHei" w:hAnsi="Microsoft YaHei" w:eastAsia="Microsoft YaHei"/>
          <w:color w:val="666666"/>
          <w:sz w:val="21"/>
        </w:rPr>
        <w:t>模型链路：分终点折外筛选 → 规则管理分层 → 六阶段干预优化</w:t>
      </w:r>
    </w:p>
    <w:p>
      <w:pPr>
        <w:spacing w:after="140"/>
        <w:jc w:val="center"/>
      </w:pPr>
      <w:r>
        <w:rPr>
          <w:rFonts w:ascii="Microsoft YaHei" w:hAnsi="Microsoft YaHei" w:eastAsia="Microsoft YaHei"/>
          <w:color w:val="666666"/>
          <w:sz w:val="21"/>
        </w:rPr>
        <w:t>结果状态：代码复跑、约束回代与图表渲染均已通过</w:t>
      </w:r>
    </w:p>
    <w:p>
      <w:pPr>
        <w:spacing w:after="1480"/>
      </w:pPr>
    </w:p>
    <w:p>
      <w:pPr>
        <w:jc w:val="center"/>
      </w:pPr>
      <w:r>
        <w:rPr>
          <w:rFonts w:ascii="Microsoft YaHei" w:hAnsi="Microsoft YaHei" w:eastAsia="Microsoft YaHei"/>
          <w:b/>
          <w:color w:val="17365D"/>
          <w:sz w:val="22"/>
        </w:rPr>
        <w:t>2026 年 7 月</w:t>
      </w:r>
    </w:p>
    <w:p>
      <w:r>
        <w:br w:type="page"/>
      </w:r>
    </w:p>
    <w:p>
      <w:pPr>
        <w:pStyle w:val="Heading1"/>
      </w:pPr>
      <w:r>
        <w:t>摘要</w:t>
      </w:r>
    </w:p>
    <w:p>
      <w:pPr>
        <w:keepLines w:val="0"/>
      </w:pPr>
      <w:r>
        <w:rPr>
          <w:rFonts w:ascii="Microsoft YaHei" w:hAnsi="Microsoft YaHei" w:eastAsia="Microsoft YaHei"/>
          <w:sz w:val="22"/>
        </w:rPr>
        <w:t>针对中老年人群高血脂症筛查维度单一、痰湿体质高危人群识别不足以及个体化干预难以兼顾效果与成本的问题，本文基于附件中1000例个案，构建“指标证据审查—规则管理分层—方案优化”的递进式模型。问题一将痰湿严重度与高血脂关联筛查拆成两个终点，采用重复五折折外置换重要性、关联检验与FDR联合筛选，并以体质标签相对平和质的调整OR比较九种体质。问题二区分当前诊断状态、非血脂关联筛查概率和最终管理等级，以题面特征阈值生成唯一低、中、高三级规则。问题三针对全部278名痰湿质患者建立六阶段动态规划，采用ε-约束思想，在达到预算内最大降幅90%以上的前提下最小化成本。</w:t>
      </w:r>
    </w:p>
    <w:p>
      <w:pPr>
        <w:keepLines w:val="0"/>
      </w:pPr>
      <w:r>
        <w:rPr>
          <w:rFonts w:ascii="Microsoft YaHei" w:hAnsi="Microsoft YaHei" w:eastAsia="Microsoft YaHei"/>
          <w:sz w:val="22"/>
        </w:rPr>
        <w:t>结果表明，痰湿严重度模型平均折外R²为-0.056，没有指标通过痰湿端门槛；排除TC、TG、LDL-C和HDL-C后，高血脂关联端仅血尿酸入选，因此共同指标为空。九体质整体调整检验P=0.562，不支持贡献差异。问题二非血脂随机森林独立测试AUC为0.821；规则管理低、中、高级分别为21、247和32人，当前血脂异常率为0%、83.4%和100%。问题三中样本1、2、3分别由64、58、59分降至48.5、37.0、33.0分，总成本分别为1014、1240、1674元，均满足2000元预算及耐受度约束。</w:t>
      </w:r>
    </w:p>
    <w:tbl>
      <w:tblPr>
        <w:tblStyle w:val="TableGrid"/>
        <w:tblW w:type="dxa" w:w="9070"/>
        <w:jc w:val="left"/>
        <w:tblLayout w:type="fixed"/>
        <w:tblLook w:firstColumn="1" w:firstRow="1" w:lastColumn="0" w:lastRow="0" w:noHBand="0" w:noVBand="1" w:val="04A0"/>
        <w:tblInd w:w="120" w:type="dxa"/>
      </w:tblPr>
      <w:tblGrid>
        <w:gridCol w:w="9070"/>
      </w:tblGrid>
      <w:tr>
        <w:tc>
          <w:tcPr>
            <w:tcW w:type="dxa" w:w="9070"/>
            <w:shd w:fill="FFF4D6"/>
            <w:tcMar>
              <w:top w:w="80" w:type="dxa"/>
              <w:start w:w="120" w:type="dxa"/>
              <w:bottom w:w="80" w:type="dxa"/>
              <w:end w:w="120" w:type="dxa"/>
            </w:tcMar>
          </w:tcPr>
          <w:p>
            <w:pPr>
              <w:spacing w:after="0"/>
            </w:pPr>
            <w:r/>
            <w:r>
              <w:rPr>
                <w:rFonts w:ascii="Microsoft YaHei" w:hAnsi="Microsoft YaHei" w:eastAsia="Microsoft YaHei"/>
                <w:b/>
                <w:color w:val="17365D"/>
                <w:sz w:val="21"/>
              </w:rPr>
              <w:t xml:space="preserve">核心结论  </w:t>
            </w:r>
            <w:r>
              <w:rPr>
                <w:rFonts w:ascii="Microsoft YaHei" w:hAnsi="Microsoft YaHei" w:eastAsia="Microsoft YaHei"/>
                <w:color w:val="17365D"/>
                <w:sz w:val="21"/>
              </w:rPr>
              <w:t>四项血脂与附件标签100%同义，因此不进入高血脂关联筛查模型；附件没有随访结局，随机森林概率只表示当前异常的横断面关联，不解释为未来发病概率。三级结果由可追溯特征规则生成。</w:t>
            </w:r>
          </w:p>
        </w:tc>
      </w:tr>
    </w:tbl>
    <w:p>
      <w:pPr>
        <w:spacing w:after="40"/>
      </w:pPr>
    </w:p>
    <w:p>
      <w:pPr/>
      <w:r>
        <w:rPr>
          <w:rFonts w:ascii="Microsoft YaHei" w:hAnsi="Microsoft YaHei" w:eastAsia="Microsoft YaHei"/>
          <w:b/>
          <w:color w:val="17365D"/>
          <w:sz w:val="21"/>
        </w:rPr>
        <w:t>关键词：</w:t>
      </w:r>
      <w:r>
        <w:rPr>
          <w:rFonts w:ascii="Microsoft YaHei" w:hAnsi="Microsoft YaHei" w:eastAsia="Microsoft YaHei"/>
          <w:sz w:val="21"/>
        </w:rPr>
        <w:t>高血脂症；痰湿体质；风险分层；随机森林；动态规划；ε-约束</w:t>
      </w:r>
    </w:p>
    <w:p>
      <w:pPr>
        <w:pStyle w:val="Heading1"/>
      </w:pPr>
      <w:r>
        <w:t>报告结构</w:t>
      </w:r>
    </w:p>
    <w:tbl>
      <w:tblPr>
        <w:tblW w:type="dxa" w:w="9070"/>
        <w:jc w:val="left"/>
        <w:tblLayout w:type="fixed"/>
        <w:tblLook w:firstColumn="1" w:firstRow="1" w:lastColumn="0" w:lastRow="0" w:noHBand="0" w:noVBand="1" w:val="04A0"/>
        <w:tblInd w:w="120" w:type="dxa"/>
      </w:tblPr>
      <w:tblGrid>
        <w:gridCol w:w="4535"/>
        <w:gridCol w:w="4535"/>
      </w:tblGrid>
      <w:tr>
        <w:tc>
          <w:tcPr>
            <w:tcW w:type="dxa" w:w="4535"/>
            <w:vAlign w:val="center"/>
            <w:tcMar>
              <w:top w:w="35" w:type="dxa"/>
              <w:start w:w="80" w:type="dxa"/>
              <w:bottom w:w="35" w:type="dxa"/>
              <w:end w:w="80" w:type="dxa"/>
            </w:tcMar>
          </w:tcPr>
          <w:p>
            <w:pPr>
              <w:spacing w:before="0" w:after="0" w:line="259" w:lineRule="auto"/>
              <w:jc w:val="left"/>
            </w:pPr>
            <w:r/>
            <w:r>
              <w:rPr>
                <w:rFonts w:ascii="Microsoft YaHei" w:hAnsi="Microsoft YaHei" w:eastAsia="Microsoft YaHei"/>
                <w:b w:val="0"/>
                <w:sz w:val="20"/>
              </w:rPr>
              <w:t>1.  问题重述与建模目标</w:t>
            </w:r>
          </w:p>
        </w:tc>
        <w:tc>
          <w:tcPr>
            <w:tcW w:type="dxa" w:w="4535"/>
            <w:vAlign w:val="center"/>
            <w:tcMar>
              <w:top w:w="35" w:type="dxa"/>
              <w:start w:w="80" w:type="dxa"/>
              <w:bottom w:w="35" w:type="dxa"/>
              <w:end w:w="80" w:type="dxa"/>
            </w:tcMar>
          </w:tcPr>
          <w:p>
            <w:pPr>
              <w:spacing w:before="0" w:after="0" w:line="259" w:lineRule="auto"/>
              <w:jc w:val="left"/>
            </w:pPr>
            <w:r/>
            <w:r>
              <w:rPr>
                <w:rFonts w:ascii="Microsoft YaHei" w:hAnsi="Microsoft YaHei" w:eastAsia="Microsoft YaHei"/>
                <w:b w:val="0"/>
                <w:sz w:val="20"/>
              </w:rPr>
              <w:t>5.  问题二：关联筛查与规则管理分层</w:t>
            </w:r>
          </w:p>
        </w:tc>
      </w:tr>
      <w:tr>
        <w:tc>
          <w:tcPr>
            <w:tcW w:type="dxa" w:w="4535"/>
            <w:vAlign w:val="center"/>
            <w:tcMar>
              <w:top w:w="35" w:type="dxa"/>
              <w:start w:w="80" w:type="dxa"/>
              <w:bottom w:w="35" w:type="dxa"/>
              <w:end w:w="80" w:type="dxa"/>
            </w:tcMar>
          </w:tcPr>
          <w:p>
            <w:pPr>
              <w:spacing w:before="0" w:after="0" w:line="259" w:lineRule="auto"/>
              <w:jc w:val="left"/>
            </w:pPr>
            <w:r/>
            <w:r>
              <w:rPr>
                <w:rFonts w:ascii="Microsoft YaHei" w:hAnsi="Microsoft YaHei" w:eastAsia="Microsoft YaHei"/>
                <w:b w:val="0"/>
                <w:sz w:val="20"/>
              </w:rPr>
              <w:t>2.  数据理解与预处理</w:t>
            </w:r>
          </w:p>
        </w:tc>
        <w:tc>
          <w:tcPr>
            <w:tcW w:type="dxa" w:w="4535"/>
            <w:vAlign w:val="center"/>
            <w:tcMar>
              <w:top w:w="35" w:type="dxa"/>
              <w:start w:w="80" w:type="dxa"/>
              <w:bottom w:w="35" w:type="dxa"/>
              <w:end w:w="80" w:type="dxa"/>
            </w:tcMar>
          </w:tcPr>
          <w:p>
            <w:pPr>
              <w:spacing w:before="0" w:after="0" w:line="259" w:lineRule="auto"/>
              <w:jc w:val="left"/>
            </w:pPr>
            <w:r/>
            <w:r>
              <w:rPr>
                <w:rFonts w:ascii="Microsoft YaHei" w:hAnsi="Microsoft YaHei" w:eastAsia="Microsoft YaHei"/>
                <w:b w:val="0"/>
                <w:sz w:val="20"/>
              </w:rPr>
              <w:t>6.  问题三：六个月干预优化</w:t>
            </w:r>
          </w:p>
        </w:tc>
      </w:tr>
      <w:tr>
        <w:tc>
          <w:tcPr>
            <w:tcW w:type="dxa" w:w="4535"/>
            <w:vAlign w:val="center"/>
            <w:tcMar>
              <w:top w:w="35" w:type="dxa"/>
              <w:start w:w="80" w:type="dxa"/>
              <w:bottom w:w="35" w:type="dxa"/>
              <w:end w:w="80" w:type="dxa"/>
            </w:tcMar>
          </w:tcPr>
          <w:p>
            <w:pPr>
              <w:spacing w:before="0" w:after="0" w:line="259" w:lineRule="auto"/>
              <w:jc w:val="left"/>
            </w:pPr>
            <w:r/>
            <w:r>
              <w:rPr>
                <w:rFonts w:ascii="Microsoft YaHei" w:hAnsi="Microsoft YaHei" w:eastAsia="Microsoft YaHei"/>
                <w:b w:val="0"/>
                <w:sz w:val="20"/>
              </w:rPr>
              <w:t>3.  模型假设与符号说明</w:t>
            </w:r>
          </w:p>
        </w:tc>
        <w:tc>
          <w:tcPr>
            <w:tcW w:type="dxa" w:w="4535"/>
            <w:vAlign w:val="center"/>
            <w:tcMar>
              <w:top w:w="35" w:type="dxa"/>
              <w:start w:w="80" w:type="dxa"/>
              <w:bottom w:w="35" w:type="dxa"/>
              <w:end w:w="80" w:type="dxa"/>
            </w:tcMar>
          </w:tcPr>
          <w:p>
            <w:pPr>
              <w:spacing w:before="0" w:after="0" w:line="259" w:lineRule="auto"/>
              <w:jc w:val="left"/>
            </w:pPr>
            <w:r/>
            <w:r>
              <w:rPr>
                <w:rFonts w:ascii="Microsoft YaHei" w:hAnsi="Microsoft YaHei" w:eastAsia="Microsoft YaHei"/>
                <w:b w:val="0"/>
                <w:sz w:val="20"/>
              </w:rPr>
              <w:t>7.  敏感性与一致性检验</w:t>
            </w:r>
          </w:p>
        </w:tc>
      </w:tr>
      <w:tr>
        <w:tc>
          <w:tcPr>
            <w:tcW w:type="dxa" w:w="4535"/>
            <w:vAlign w:val="center"/>
            <w:tcMar>
              <w:top w:w="35" w:type="dxa"/>
              <w:start w:w="80" w:type="dxa"/>
              <w:bottom w:w="35" w:type="dxa"/>
              <w:end w:w="80" w:type="dxa"/>
            </w:tcMar>
          </w:tcPr>
          <w:p>
            <w:pPr>
              <w:spacing w:before="0" w:after="0" w:line="259" w:lineRule="auto"/>
              <w:jc w:val="left"/>
            </w:pPr>
            <w:r/>
            <w:r>
              <w:rPr>
                <w:rFonts w:ascii="Microsoft YaHei" w:hAnsi="Microsoft YaHei" w:eastAsia="Microsoft YaHei"/>
                <w:b w:val="0"/>
                <w:sz w:val="20"/>
              </w:rPr>
              <w:t>4.  问题一：分终点指标筛选与体质贡献</w:t>
            </w:r>
          </w:p>
        </w:tc>
        <w:tc>
          <w:tcPr>
            <w:tcW w:type="dxa" w:w="4535"/>
            <w:vAlign w:val="center"/>
            <w:tcMar>
              <w:top w:w="35" w:type="dxa"/>
              <w:start w:w="80" w:type="dxa"/>
              <w:bottom w:w="35" w:type="dxa"/>
              <w:end w:w="80" w:type="dxa"/>
            </w:tcMar>
          </w:tcPr>
          <w:p>
            <w:pPr>
              <w:spacing w:before="0" w:after="0" w:line="259" w:lineRule="auto"/>
              <w:jc w:val="left"/>
            </w:pPr>
            <w:r/>
            <w:r>
              <w:rPr>
                <w:rFonts w:ascii="Microsoft YaHei" w:hAnsi="Microsoft YaHei" w:eastAsia="Microsoft YaHei"/>
                <w:b w:val="0"/>
                <w:sz w:val="20"/>
              </w:rPr>
              <w:t>8.  模型评价与结论</w:t>
            </w:r>
          </w:p>
        </w:tc>
      </w:tr>
    </w:tbl>
    <w:p>
      <w:r>
        <w:br w:type="page"/>
      </w:r>
    </w:p>
    <w:p>
      <w:pPr>
        <w:pStyle w:val="Heading1"/>
      </w:pPr>
      <w:r>
        <w:t>1 问题重述与建模目标</w:t>
      </w:r>
    </w:p>
    <w:p>
      <w:pPr>
        <w:keepLines w:val="0"/>
      </w:pPr>
      <w:r>
        <w:rPr>
          <w:rFonts w:ascii="Microsoft YaHei" w:hAnsi="Microsoft YaHei" w:eastAsia="Microsoft YaHei"/>
          <w:sz w:val="22"/>
        </w:rPr>
        <w:t>高血脂症是中老年心脑血管疾病的重要危险因素。题目要求同时融合中医体质、日常活动能力、血脂与代谢指标，形成从关键指标识别、三级风险预警到个体化干预优化的完整闭环。三个问题并非彼此独立：问题一提供稳定特征和体质贡献依据，问题二给出人群风险层级，问题三则把风险特征、身体耐受度和经济约束转化为可执行的六个月方案。</w:t>
      </w:r>
    </w:p>
    <w:p>
      <w:pPr>
        <w:pStyle w:val="Heading2"/>
      </w:pPr>
      <w:r>
        <w:t>1.1 三个子问题</w:t>
      </w:r>
    </w:p>
    <w:p>
      <w:pPr>
        <w:pStyle w:val="ListBullet"/>
      </w:pPr>
      <w:r>
        <w:rPr>
          <w:rFonts w:ascii="Microsoft YaHei" w:hAnsi="Microsoft YaHei" w:eastAsia="Microsoft YaHei"/>
          <w:sz w:val="21"/>
        </w:rPr>
        <w:t>问题一：从血常规/代谢指标和活动量表中筛选能同时表征痰湿严重程度与高血脂风险的关键指标，并比较九种体质的贡献差异。</w:t>
      </w:r>
    </w:p>
    <w:p>
      <w:pPr>
        <w:pStyle w:val="ListBullet"/>
      </w:pPr>
      <w:r>
        <w:rPr>
          <w:rFonts w:ascii="Microsoft YaHei" w:hAnsi="Microsoft YaHei" w:eastAsia="Microsoft YaHei"/>
          <w:sz w:val="21"/>
        </w:rPr>
        <w:t>问题二：区分当前诊断、非血脂关联筛查概率与最终管理等级，按题面特征阈值输出唯一低、中、高三级规则，并识别痰湿质核心组合。</w:t>
      </w:r>
    </w:p>
    <w:p>
      <w:pPr>
        <w:pStyle w:val="ListBullet"/>
      </w:pPr>
      <w:r>
        <w:rPr>
          <w:rFonts w:ascii="Microsoft YaHei" w:hAnsi="Microsoft YaHei" w:eastAsia="Microsoft YaHei"/>
          <w:sz w:val="21"/>
        </w:rPr>
        <w:t>问题三：对体质标签为5的患者，在年龄、活动能力、频率、成本和疗效约束下优化六个月计划，给出ID 1、2、3方案并归纳匹配规律。</w:t>
      </w:r>
    </w:p>
    <w:p>
      <w:pPr>
        <w:pStyle w:val="Heading2"/>
      </w:pPr>
      <w:r>
        <w:t>1.2 总体技术路线</w:t>
      </w:r>
    </w:p>
    <w:p>
      <w:pPr>
        <w:keepLines w:val="0"/>
      </w:pPr>
      <w:r>
        <w:rPr>
          <w:rFonts w:ascii="Microsoft YaHei" w:hAnsi="Microsoft YaHei" w:eastAsia="Microsoft YaHei"/>
          <w:sz w:val="22"/>
        </w:rPr>
        <w:t>总体路线为：原始附件校验 → 诊断泄漏识别 → 分终点折外筛选 → 分类体质调整OR → 非血脂关联概率 → 题面阈值规则分层 → 痰湿核心组合 → 六阶段Pareto动态规划 → ε-约束推荐 → 灵敏度与约束回代。</w:t>
      </w:r>
    </w:p>
    <w:tbl>
      <w:tblPr>
        <w:tblStyle w:val="TableGrid"/>
        <w:tblW w:type="dxa" w:w="9070"/>
        <w:jc w:val="left"/>
        <w:tblLayout w:type="fixed"/>
        <w:tblLook w:firstColumn="1" w:firstRow="1" w:lastColumn="0" w:lastRow="0" w:noHBand="0" w:noVBand="1" w:val="04A0"/>
        <w:tblInd w:w="120" w:type="dxa"/>
      </w:tblPr>
      <w:tblGrid>
        <w:gridCol w:w="9070"/>
      </w:tblGrid>
      <w:tr>
        <w:tc>
          <w:tcPr>
            <w:tcW w:type="dxa" w:w="9070"/>
            <w:shd w:fill="F4F6F9"/>
            <w:tcMar>
              <w:top w:w="80" w:type="dxa"/>
              <w:start w:w="120" w:type="dxa"/>
              <w:bottom w:w="80" w:type="dxa"/>
              <w:end w:w="120" w:type="dxa"/>
            </w:tcMar>
          </w:tcPr>
          <w:p>
            <w:pPr>
              <w:spacing w:after="0"/>
            </w:pPr>
            <w:r/>
            <w:r>
              <w:rPr>
                <w:rFonts w:ascii="Microsoft YaHei" w:hAnsi="Microsoft YaHei" w:eastAsia="Microsoft YaHei"/>
                <w:b/>
                <w:color w:val="17365D"/>
                <w:sz w:val="21"/>
              </w:rPr>
              <w:t xml:space="preserve">建模边界  </w:t>
            </w:r>
            <w:r>
              <w:rPr>
                <w:rFonts w:ascii="Microsoft YaHei" w:hAnsi="Microsoft YaHei" w:eastAsia="Microsoft YaHei"/>
                <w:color w:val="17365D"/>
                <w:sz w:val="21"/>
              </w:rPr>
              <w:t>附件高血脂标签与TC、TG、LDL-C、HDL-C任一异常规则的一致率为100%。四项血脂仅描述当前诊断状态；非血脂模型刻画横断面关联，三级规则用于管理优先级，均不等同于未来发病预测。</w:t>
            </w:r>
          </w:p>
        </w:tc>
      </w:tr>
    </w:tbl>
    <w:p>
      <w:pPr>
        <w:spacing w:after="40"/>
      </w:pPr>
    </w:p>
    <w:p>
      <w:pPr>
        <w:pStyle w:val="Heading1"/>
      </w:pPr>
      <w:r>
        <w:t>2 数据理解与预处理</w:t>
      </w:r>
    </w:p>
    <w:p>
      <w:pPr>
        <w:pStyle w:val="Heading2"/>
      </w:pPr>
      <w:r>
        <w:t>2.1 数据规模与字段</w:t>
      </w:r>
    </w:p>
    <w:tbl>
      <w:tblPr>
        <w:tblStyle w:val="TableGrid"/>
        <w:tblW w:type="dxa" w:w="9070"/>
        <w:jc w:val="left"/>
        <w:tblLayout w:type="fixed"/>
        <w:tblLook w:firstColumn="1" w:firstRow="1" w:lastColumn="0" w:lastRow="0" w:noHBand="0" w:noVBand="1" w:val="04A0"/>
        <w:tblInd w:w="120" w:type="dxa"/>
      </w:tblPr>
      <w:tblGrid>
        <w:gridCol w:w="2500"/>
        <w:gridCol w:w="1700"/>
        <w:gridCol w:w="4870"/>
      </w:tblGrid>
      <w:tr>
        <w:trPr>
          <w:tblHeader w:val="true"/>
          <w:cantSplit/>
        </w:trPr>
        <w:tc>
          <w:tcPr>
            <w:tcW w:type="dxa" w:w="25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8"/>
              </w:rPr>
              <w:t>检查项</w:t>
            </w:r>
          </w:p>
        </w:tc>
        <w:tc>
          <w:tcPr>
            <w:tcW w:type="dxa" w:w="17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8"/>
              </w:rPr>
              <w:t>结果</w:t>
            </w:r>
          </w:p>
        </w:tc>
        <w:tc>
          <w:tcPr>
            <w:tcW w:type="dxa" w:w="487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8"/>
              </w:rPr>
              <w:t>说明</w:t>
            </w:r>
          </w:p>
        </w:tc>
      </w:tr>
      <w:tr>
        <w:trPr>
          <w:cantSplit/>
        </w:trPr>
        <w:tc>
          <w:tcPr>
            <w:tcW w:type="dxa" w:w="25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8"/>
              </w:rPr>
              <w:t>样本规模</w:t>
            </w:r>
          </w:p>
        </w:tc>
        <w:tc>
          <w:tcPr>
            <w:tcW w:type="dxa" w:w="17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1000</w:t>
            </w:r>
          </w:p>
        </w:tc>
        <w:tc>
          <w:tcPr>
            <w:tcW w:type="dxa" w:w="487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8"/>
              </w:rPr>
              <w:t>附件1全部个案</w:t>
            </w:r>
          </w:p>
        </w:tc>
      </w:tr>
      <w:tr>
        <w:trPr>
          <w:cantSplit/>
        </w:trPr>
        <w:tc>
          <w:tcPr>
            <w:tcW w:type="dxa" w:w="25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8"/>
              </w:rPr>
              <w:t>体质标签5人数</w:t>
            </w:r>
          </w:p>
        </w:tc>
        <w:tc>
          <w:tcPr>
            <w:tcW w:type="dxa" w:w="17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278</w:t>
            </w:r>
          </w:p>
        </w:tc>
        <w:tc>
          <w:tcPr>
            <w:tcW w:type="dxa" w:w="487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8"/>
              </w:rPr>
              <w:t>问题三求解对象</w:t>
            </w:r>
          </w:p>
        </w:tc>
      </w:tr>
      <w:tr>
        <w:trPr>
          <w:cantSplit/>
        </w:trPr>
        <w:tc>
          <w:tcPr>
            <w:tcW w:type="dxa" w:w="25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8"/>
              </w:rPr>
              <w:t>高血脂阳性率</w:t>
            </w:r>
          </w:p>
        </w:tc>
        <w:tc>
          <w:tcPr>
            <w:tcW w:type="dxa" w:w="17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79.3%</w:t>
            </w:r>
          </w:p>
        </w:tc>
        <w:tc>
          <w:tcPr>
            <w:tcW w:type="dxa" w:w="487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8"/>
              </w:rPr>
              <w:t>样本患病率较高</w:t>
            </w:r>
          </w:p>
        </w:tc>
      </w:tr>
      <w:tr>
        <w:trPr>
          <w:cantSplit/>
        </w:trPr>
        <w:tc>
          <w:tcPr>
            <w:tcW w:type="dxa" w:w="25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8"/>
              </w:rPr>
              <w:t>缺失值</w:t>
            </w:r>
          </w:p>
        </w:tc>
        <w:tc>
          <w:tcPr>
            <w:tcW w:type="dxa" w:w="17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0</w:t>
            </w:r>
          </w:p>
        </w:tc>
        <w:tc>
          <w:tcPr>
            <w:tcW w:type="dxa" w:w="487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8"/>
              </w:rPr>
              <w:t>建模字段完整</w:t>
            </w:r>
          </w:p>
        </w:tc>
      </w:tr>
      <w:tr>
        <w:trPr>
          <w:cantSplit/>
        </w:trPr>
        <w:tc>
          <w:tcPr>
            <w:tcW w:type="dxa" w:w="25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8"/>
              </w:rPr>
              <w:t>重复样本ID</w:t>
            </w:r>
          </w:p>
        </w:tc>
        <w:tc>
          <w:tcPr>
            <w:tcW w:type="dxa" w:w="17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0</w:t>
            </w:r>
          </w:p>
        </w:tc>
        <w:tc>
          <w:tcPr>
            <w:tcW w:type="dxa" w:w="487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8"/>
              </w:rPr>
              <w:t>样本ID唯一</w:t>
            </w:r>
          </w:p>
        </w:tc>
      </w:tr>
      <w:tr>
        <w:trPr>
          <w:cantSplit/>
        </w:trPr>
        <w:tc>
          <w:tcPr>
            <w:tcW w:type="dxa" w:w="25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8"/>
              </w:rPr>
              <w:t>活动恒等式最大误差</w:t>
            </w:r>
          </w:p>
        </w:tc>
        <w:tc>
          <w:tcPr>
            <w:tcW w:type="dxa" w:w="17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0.0</w:t>
            </w:r>
          </w:p>
        </w:tc>
        <w:tc>
          <w:tcPr>
            <w:tcW w:type="dxa" w:w="487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8"/>
              </w:rPr>
              <w:t>ADL+IADL=活动总分</w:t>
            </w:r>
          </w:p>
        </w:tc>
      </w:tr>
    </w:tbl>
    <w:p>
      <w:pPr>
        <w:spacing w:after="40"/>
      </w:pPr>
    </w:p>
    <w:p>
      <w:pPr>
        <w:spacing w:before="40" w:after="120"/>
      </w:pPr>
      <w:r>
        <w:rPr>
          <w:rFonts w:ascii="Microsoft YaHei" w:hAnsi="Microsoft YaHei" w:eastAsia="Microsoft YaHei"/>
          <w:i/>
          <w:color w:val="666666"/>
          <w:sz w:val="16"/>
        </w:rPr>
        <w:t>数据来源：题目附件1；检查结果来自 code/outputs/data_quality.json。</w:t>
      </w:r>
    </w:p>
    <w:p>
      <w:pPr>
        <w:pStyle w:val="Heading2"/>
      </w:pPr>
      <w:r>
        <w:t>2.2 临床阈值与派生变量</w:t>
      </w:r>
    </w:p>
    <w:p>
      <w:pPr>
        <w:keepLines w:val="0"/>
      </w:pPr>
      <w:r>
        <w:rPr>
          <w:rFonts w:ascii="Microsoft YaHei" w:hAnsi="Microsoft YaHei" w:eastAsia="Microsoft YaHei"/>
          <w:sz w:val="22"/>
        </w:rPr>
        <w:t>按照题面给出的临床正常范围，定义TC&gt;6.2 mmol/L、TG&gt;1.7 mmol/L、LDL-C&gt;3.1 mmol/L或HDL-C&lt;1.04 mmol/L为相应血脂异常；任一血脂异常即与附件高血脂标签一致。血尿酸根据性别采用不同范围，BMI正常范围为18.5–23.9 kg/m²。</w:t>
      </w:r>
    </w:p>
    <w:p>
      <w:pPr>
        <w:keepLines w:val="0"/>
      </w:pPr>
      <w:r>
        <w:rPr>
          <w:rFonts w:ascii="Microsoft YaHei" w:hAnsi="Microsoft YaHei" w:eastAsia="Microsoft YaHei"/>
          <w:sz w:val="22"/>
        </w:rPr>
        <w:t>为避免完全线性重复，关联筛查模型只使用活动量表总分，不同时放入ADL、IADL及其和。所有标准化、概率校准和模型拟合都在交叉验证管道内部完成；最终管理规则由题面特征阈值预先确定，测试集只用于模型性能和规则一致性核查。</w:t>
      </w:r>
    </w:p>
    <w:p>
      <w:pPr>
        <w:pStyle w:val="Heading1"/>
      </w:pPr>
      <w:r>
        <w:t>3 模型假设与符号说明</w:t>
      </w:r>
    </w:p>
    <w:p>
      <w:pPr>
        <w:pStyle w:val="Heading2"/>
      </w:pPr>
      <w:r>
        <w:t>3.1 主要假设</w:t>
      </w:r>
    </w:p>
    <w:p>
      <w:pPr>
        <w:pStyle w:val="ListBullet"/>
      </w:pPr>
      <w:r>
        <w:rPr>
          <w:rFonts w:ascii="Microsoft YaHei" w:hAnsi="Microsoft YaHei" w:eastAsia="Microsoft YaHei"/>
          <w:sz w:val="21"/>
        </w:rPr>
        <w:t>附件样本在本研究范围内可用于建立相对风险排序，但不直接代表一般人群绝对患病率。</w:t>
      </w:r>
    </w:p>
    <w:p>
      <w:pPr>
        <w:pStyle w:val="ListBullet"/>
      </w:pPr>
      <w:r>
        <w:rPr>
          <w:rFonts w:ascii="Microsoft YaHei" w:hAnsi="Microsoft YaHei" w:eastAsia="Microsoft YaHei"/>
          <w:sz w:val="21"/>
        </w:rPr>
        <w:t>体质积分、活动评分和体检指标在建模时视为同一时点观测；模型刻画关联与风险排序，不作因果推断。</w:t>
      </w:r>
    </w:p>
    <w:p>
      <w:pPr>
        <w:pStyle w:val="ListBullet"/>
      </w:pPr>
      <w:r>
        <w:rPr>
          <w:rFonts w:ascii="Microsoft YaHei" w:hAnsi="Microsoft YaHei" w:eastAsia="Microsoft YaHei"/>
          <w:sz w:val="21"/>
        </w:rPr>
        <w:t>问题三中年龄组在六个月内不变，活动耐受度按初始活动总分确定；若临床复评后耐受度改变，应重新求解。</w:t>
      </w:r>
    </w:p>
    <w:p>
      <w:pPr>
        <w:pStyle w:val="ListBullet"/>
      </w:pPr>
      <w:r>
        <w:rPr>
          <w:rFonts w:ascii="Microsoft YaHei" w:hAnsi="Microsoft YaHei" w:eastAsia="Microsoft YaHei"/>
          <w:sz w:val="21"/>
        </w:rPr>
        <w:t>题面未给中医调理方式的独立积分下降率，基准方案仅计其必选成本；0%、1%、2%的额外月降幅只用于敏感性分析。</w:t>
      </w:r>
    </w:p>
    <w:p>
      <w:pPr>
        <w:pStyle w:val="ListBullet"/>
      </w:pPr>
      <w:r>
        <w:rPr>
          <w:rFonts w:ascii="Microsoft YaHei" w:hAnsi="Microsoft YaHei" w:eastAsia="Microsoft YaHei"/>
          <w:sz w:val="21"/>
        </w:rPr>
        <w:t>每月按4周、六个月按24周；活动频率1–10次/周，总成本不超过2000元。</w:t>
      </w:r>
    </w:p>
    <w:p>
      <w:r>
        <w:br w:type="page"/>
      </w:r>
    </w:p>
    <w:p>
      <w:pPr>
        <w:pStyle w:val="Heading2"/>
      </w:pPr>
      <w:r>
        <w:t>3.2 主要符号</w:t>
      </w:r>
    </w:p>
    <w:tbl>
      <w:tblPr>
        <w:tblStyle w:val="TableGrid"/>
        <w:tblW w:type="dxa" w:w="9070"/>
        <w:jc w:val="left"/>
        <w:tblLayout w:type="fixed"/>
        <w:tblLook w:firstColumn="1" w:firstRow="1" w:lastColumn="0" w:lastRow="0" w:noHBand="0" w:noVBand="1" w:val="04A0"/>
        <w:tblInd w:w="120" w:type="dxa"/>
      </w:tblPr>
      <w:tblGrid>
        <w:gridCol w:w="1500"/>
        <w:gridCol w:w="5570"/>
        <w:gridCol w:w="2000"/>
      </w:tblGrid>
      <w:tr>
        <w:trPr>
          <w:tblHeader w:val="true"/>
          <w:cantSplit/>
        </w:trPr>
        <w:tc>
          <w:tcPr>
            <w:tcW w:type="dxa" w:w="15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8"/>
              </w:rPr>
              <w:t>符号</w:t>
            </w:r>
          </w:p>
        </w:tc>
        <w:tc>
          <w:tcPr>
            <w:tcW w:type="dxa" w:w="557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8"/>
              </w:rPr>
              <w:t>含义</w:t>
            </w:r>
          </w:p>
        </w:tc>
        <w:tc>
          <w:tcPr>
            <w:tcW w:type="dxa" w:w="20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8"/>
              </w:rPr>
              <w:t>单位/取值</w:t>
            </w:r>
          </w:p>
        </w:tc>
      </w:tr>
      <w:tr>
        <w:trPr>
          <w:cantSplit/>
        </w:trPr>
        <w:tc>
          <w:tcPr>
            <w:tcW w:type="dxa" w:w="15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S</w:t>
            </w:r>
          </w:p>
        </w:tc>
        <w:tc>
          <w:tcPr>
            <w:tcW w:type="dxa" w:w="557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8"/>
              </w:rPr>
              <w:t>痰湿体质积分</w:t>
            </w:r>
          </w:p>
        </w:tc>
        <w:tc>
          <w:tcPr>
            <w:tcW w:type="dxa" w:w="2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分</w:t>
            </w:r>
          </w:p>
        </w:tc>
      </w:tr>
      <w:tr>
        <w:trPr>
          <w:cantSplit/>
        </w:trPr>
        <w:tc>
          <w:tcPr>
            <w:tcW w:type="dxa" w:w="15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Y</w:t>
            </w:r>
          </w:p>
        </w:tc>
        <w:tc>
          <w:tcPr>
            <w:tcW w:type="dxa" w:w="557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8"/>
              </w:rPr>
              <w:t>高血脂二分类标签</w:t>
            </w:r>
          </w:p>
        </w:tc>
        <w:tc>
          <w:tcPr>
            <w:tcW w:type="dxa" w:w="2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0/1</w:t>
            </w:r>
          </w:p>
        </w:tc>
      </w:tr>
      <w:tr>
        <w:trPr>
          <w:cantSplit/>
        </w:trPr>
        <w:tc>
          <w:tcPr>
            <w:tcW w:type="dxa" w:w="15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Īᵢ,S / Īᵢ,Y</w:t>
            </w:r>
          </w:p>
        </w:tc>
        <w:tc>
          <w:tcPr>
            <w:tcW w:type="dxa" w:w="557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8"/>
              </w:rPr>
              <w:t>指标i在验证折上的平均置换重要性</w:t>
            </w:r>
          </w:p>
        </w:tc>
        <w:tc>
          <w:tcPr>
            <w:tcW w:type="dxa" w:w="2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实数</w:t>
            </w:r>
          </w:p>
        </w:tc>
      </w:tr>
      <w:tr>
        <w:trPr>
          <w:cantSplit/>
        </w:trPr>
        <w:tc>
          <w:tcPr>
            <w:tcW w:type="dxa" w:w="15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p</w:t>
            </w:r>
          </w:p>
        </w:tc>
        <w:tc>
          <w:tcPr>
            <w:tcW w:type="dxa" w:w="557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8"/>
              </w:rPr>
              <w:t>非血脂关联筛查模型输出概率</w:t>
            </w:r>
          </w:p>
        </w:tc>
        <w:tc>
          <w:tcPr>
            <w:tcW w:type="dxa" w:w="2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0–1</w:t>
            </w:r>
          </w:p>
        </w:tc>
      </w:tr>
      <w:tr>
        <w:trPr>
          <w:cantSplit/>
        </w:trPr>
        <w:tc>
          <w:tcPr>
            <w:tcW w:type="dxa" w:w="15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G(x)</w:t>
            </w:r>
          </w:p>
        </w:tc>
        <w:tc>
          <w:tcPr>
            <w:tcW w:type="dxa" w:w="557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8"/>
              </w:rPr>
              <w:t>题面特征规则生成的管理等级</w:t>
            </w:r>
          </w:p>
        </w:tc>
        <w:tc>
          <w:tcPr>
            <w:tcW w:type="dxa" w:w="2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1/2/3</w:t>
            </w:r>
          </w:p>
        </w:tc>
      </w:tr>
      <w:tr>
        <w:trPr>
          <w:cantSplit/>
        </w:trPr>
        <w:tc>
          <w:tcPr>
            <w:tcW w:type="dxa" w:w="15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aₜ</w:t>
            </w:r>
          </w:p>
        </w:tc>
        <w:tc>
          <w:tcPr>
            <w:tcW w:type="dxa" w:w="557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8"/>
              </w:rPr>
              <w:t>第t月活动强度</w:t>
            </w:r>
          </w:p>
        </w:tc>
        <w:tc>
          <w:tcPr>
            <w:tcW w:type="dxa" w:w="2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1/2/3级</w:t>
            </w:r>
          </w:p>
        </w:tc>
      </w:tr>
      <w:tr>
        <w:trPr>
          <w:cantSplit/>
        </w:trPr>
        <w:tc>
          <w:tcPr>
            <w:tcW w:type="dxa" w:w="15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fₜ</w:t>
            </w:r>
          </w:p>
        </w:tc>
        <w:tc>
          <w:tcPr>
            <w:tcW w:type="dxa" w:w="557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8"/>
              </w:rPr>
              <w:t>第t月每周活动频率</w:t>
            </w:r>
          </w:p>
        </w:tc>
        <w:tc>
          <w:tcPr>
            <w:tcW w:type="dxa" w:w="2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次/周</w:t>
            </w:r>
          </w:p>
        </w:tc>
      </w:tr>
      <w:tr>
        <w:trPr>
          <w:cantSplit/>
        </w:trPr>
        <w:tc>
          <w:tcPr>
            <w:tcW w:type="dxa" w:w="15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Cₜ</w:t>
            </w:r>
          </w:p>
        </w:tc>
        <w:tc>
          <w:tcPr>
            <w:tcW w:type="dxa" w:w="557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8"/>
              </w:rPr>
              <w:t>第t月调理与活动总成本</w:t>
            </w:r>
          </w:p>
        </w:tc>
        <w:tc>
          <w:tcPr>
            <w:tcW w:type="dxa" w:w="2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元</w:t>
            </w:r>
          </w:p>
        </w:tc>
      </w:tr>
      <w:tr>
        <w:trPr>
          <w:cantSplit/>
        </w:trPr>
        <w:tc>
          <w:tcPr>
            <w:tcW w:type="dxa" w:w="15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Δmax</w:t>
            </w:r>
          </w:p>
        </w:tc>
        <w:tc>
          <w:tcPr>
            <w:tcW w:type="dxa" w:w="557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8"/>
              </w:rPr>
              <w:t>预算内最大可降低积分</w:t>
            </w:r>
          </w:p>
        </w:tc>
        <w:tc>
          <w:tcPr>
            <w:tcW w:type="dxa" w:w="2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分</w:t>
            </w:r>
          </w:p>
        </w:tc>
      </w:tr>
    </w:tbl>
    <w:p>
      <w:pPr>
        <w:spacing w:after="40"/>
      </w:pPr>
    </w:p>
    <w:p>
      <w:pPr>
        <w:pStyle w:val="Heading1"/>
      </w:pPr>
      <w:r>
        <w:t>4 问题一：分终点指标筛选与体质贡献</w:t>
      </w:r>
    </w:p>
    <w:p>
      <w:pPr>
        <w:pStyle w:val="Heading2"/>
      </w:pPr>
      <w:r>
        <w:t>4.1 折外证据与泄漏排除</w:t>
      </w:r>
    </w:p>
    <w:p>
      <w:pPr>
        <w:keepLines w:val="0"/>
      </w:pPr>
      <w:r>
        <w:rPr>
          <w:rFonts w:ascii="Microsoft YaHei" w:hAnsi="Microsoft YaHei" w:eastAsia="Microsoft YaHei"/>
          <w:sz w:val="22"/>
        </w:rPr>
        <w:t>痰湿严重度终点考察TC、TG、LDL-C、HDL-C、血糖、血尿酸、BMI和活动总分；高血脂关联终点排除定义标签的四项血脂，只考察血糖、血尿酸、BMI和活动总分。两个终点均采用5折、3次重复交叉验证，并仅在验证折计算置换重要性。</w:t>
      </w:r>
    </w:p>
    <w:p>
      <w:pPr>
        <w:spacing w:before="100" w:after="100"/>
        <w:jc w:val="center"/>
      </w:pPr>
      <w:r>
        <w:rPr>
          <w:rFonts w:ascii="Cambria Math" w:hAnsi="Cambria Math" w:eastAsia="Cambria Math"/>
          <w:i/>
          <w:color w:val="17365D"/>
          <w:sz w:val="22"/>
        </w:rPr>
        <w:t>K = Kₛ ∩ Kᵧ；Kₛ、Kᵧ均由折外性能、置换重要性、关联检验与FDR共同确定    (1)</w:t>
      </w:r>
    </w:p>
    <w:p>
      <w:pPr>
        <w:keepLines w:val="0"/>
      </w:pPr>
      <w:r>
        <w:rPr>
          <w:rFonts w:ascii="Microsoft YaHei" w:hAnsi="Microsoft YaHei" w:eastAsia="Microsoft YaHei"/>
          <w:sz w:val="22"/>
        </w:rPr>
        <w:t>痰湿端要求平均折外R²&gt;0、正重要性频率不低于0.60、|Spearman ρ|≥0.10且FDR q&lt;0.05；高血脂关联端要求平均折外AUC≥0.60、正重要性频率不低于0.60、单指标AUC≥0.60且FDR q&lt;0.05。交集允许为空，避免为满足形式而制造假阳性。</w:t>
      </w:r>
    </w:p>
    <w:tbl>
      <w:tblPr>
        <w:tblStyle w:val="TableGrid"/>
        <w:tblW w:type="dxa" w:w="9070"/>
        <w:jc w:val="left"/>
        <w:tblLayout w:type="fixed"/>
        <w:tblLook w:firstColumn="1" w:firstRow="1" w:lastColumn="0" w:lastRow="0" w:noHBand="0" w:noVBand="1" w:val="04A0"/>
        <w:tblInd w:w="120" w:type="dxa"/>
      </w:tblPr>
      <w:tblGrid>
        <w:gridCol w:w="9070"/>
      </w:tblGrid>
      <w:tr>
        <w:tc>
          <w:tcPr>
            <w:tcW w:type="dxa" w:w="9070"/>
            <w:shd w:fill="F4F6F9"/>
            <w:tcMar>
              <w:top w:w="80" w:type="dxa"/>
              <w:start w:w="120" w:type="dxa"/>
              <w:bottom w:w="80" w:type="dxa"/>
              <w:end w:w="120" w:type="dxa"/>
            </w:tcMar>
          </w:tcPr>
          <w:p>
            <w:pPr>
              <w:spacing w:after="0"/>
            </w:pPr>
            <w:r/>
            <w:r>
              <w:rPr>
                <w:rFonts w:ascii="Microsoft YaHei" w:hAnsi="Microsoft YaHei" w:eastAsia="Microsoft YaHei"/>
                <w:b/>
                <w:color w:val="17365D"/>
                <w:sz w:val="21"/>
              </w:rPr>
              <w:t xml:space="preserve">折外性能  </w:t>
            </w:r>
            <w:r>
              <w:rPr>
                <w:rFonts w:ascii="Microsoft YaHei" w:hAnsi="Microsoft YaHei" w:eastAsia="Microsoft YaHei"/>
                <w:color w:val="17365D"/>
                <w:sz w:val="21"/>
              </w:rPr>
              <w:t>痰湿严重度平均折外R²=-0.056±0.028；非诊断高血脂关联模型平均折外AUC=0.848±0.027。</w:t>
            </w:r>
          </w:p>
        </w:tc>
      </w:tr>
    </w:tbl>
    <w:p>
      <w:pPr>
        <w:spacing w:after="40"/>
      </w:pPr>
    </w:p>
    <w:p>
      <w:r>
        <w:br w:type="page"/>
      </w:r>
    </w:p>
    <w:tbl>
      <w:tblPr>
        <w:tblStyle w:val="TableGrid"/>
        <w:tblW w:type="dxa" w:w="9070"/>
        <w:jc w:val="left"/>
        <w:tblLayout w:type="fixed"/>
        <w:tblLook w:firstColumn="1" w:firstRow="1" w:lastColumn="0" w:lastRow="0" w:noHBand="0" w:noVBand="1" w:val="04A0"/>
        <w:tblInd w:w="120" w:type="dxa"/>
      </w:tblPr>
      <w:tblGrid>
        <w:gridCol w:w="1900"/>
        <w:gridCol w:w="1800"/>
        <w:gridCol w:w="1650"/>
        <w:gridCol w:w="2350"/>
        <w:gridCol w:w="1370"/>
      </w:tblGrid>
      <w:tr>
        <w:trPr>
          <w:tblHeader w:val="true"/>
          <w:cantSplit/>
        </w:trPr>
        <w:tc>
          <w:tcPr>
            <w:tcW w:type="dxa" w:w="19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指标</w:t>
            </w:r>
          </w:p>
        </w:tc>
        <w:tc>
          <w:tcPr>
            <w:tcW w:type="dxa" w:w="18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痰湿ρ / FDR q</w:t>
            </w:r>
          </w:p>
        </w:tc>
        <w:tc>
          <w:tcPr>
            <w:tcW w:type="dxa" w:w="165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痰湿正重要性频率</w:t>
            </w:r>
          </w:p>
        </w:tc>
        <w:tc>
          <w:tcPr>
            <w:tcW w:type="dxa" w:w="235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高血脂关联证据</w:t>
            </w:r>
          </w:p>
        </w:tc>
        <w:tc>
          <w:tcPr>
            <w:tcW w:type="dxa" w:w="137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结论</w:t>
            </w:r>
          </w:p>
        </w:tc>
      </w:tr>
      <w:tr>
        <w:trPr>
          <w:cantSplit/>
        </w:trPr>
        <w:tc>
          <w:tcPr>
            <w:tcW w:type="dxa" w:w="19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总胆固醇_TC</w:t>
            </w:r>
          </w:p>
        </w:tc>
        <w:tc>
          <w:tcPr>
            <w:tcW w:type="dxa" w:w="18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-0.035 / 0.761</w:t>
            </w:r>
          </w:p>
        </w:tc>
        <w:tc>
          <w:tcPr>
            <w:tcW w:type="dxa" w:w="16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0.40</w:t>
            </w:r>
          </w:p>
        </w:tc>
        <w:tc>
          <w:tcPr>
            <w:tcW w:type="dxa" w:w="235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诊断泄漏排除</w:t>
            </w:r>
          </w:p>
        </w:tc>
        <w:tc>
          <w:tcPr>
            <w:tcW w:type="dxa" w:w="137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排除</w:t>
            </w:r>
          </w:p>
        </w:tc>
      </w:tr>
      <w:tr>
        <w:trPr>
          <w:cantSplit/>
        </w:trPr>
        <w:tc>
          <w:tcPr>
            <w:tcW w:type="dxa" w:w="19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甘油三酯_TG</w:t>
            </w:r>
          </w:p>
        </w:tc>
        <w:tc>
          <w:tcPr>
            <w:tcW w:type="dxa" w:w="18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-0.016 / 0.761</w:t>
            </w:r>
          </w:p>
        </w:tc>
        <w:tc>
          <w:tcPr>
            <w:tcW w:type="dxa" w:w="16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0.13</w:t>
            </w:r>
          </w:p>
        </w:tc>
        <w:tc>
          <w:tcPr>
            <w:tcW w:type="dxa" w:w="235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诊断泄漏排除</w:t>
            </w:r>
          </w:p>
        </w:tc>
        <w:tc>
          <w:tcPr>
            <w:tcW w:type="dxa" w:w="137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排除</w:t>
            </w:r>
          </w:p>
        </w:tc>
      </w:tr>
      <w:tr>
        <w:trPr>
          <w:cantSplit/>
        </w:trPr>
        <w:tc>
          <w:tcPr>
            <w:tcW w:type="dxa" w:w="19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低密度脂蛋白_LDL_C</w:t>
            </w:r>
          </w:p>
        </w:tc>
        <w:tc>
          <w:tcPr>
            <w:tcW w:type="dxa" w:w="18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0.010 / 0.761</w:t>
            </w:r>
          </w:p>
        </w:tc>
        <w:tc>
          <w:tcPr>
            <w:tcW w:type="dxa" w:w="16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0.20</w:t>
            </w:r>
          </w:p>
        </w:tc>
        <w:tc>
          <w:tcPr>
            <w:tcW w:type="dxa" w:w="235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诊断泄漏排除</w:t>
            </w:r>
          </w:p>
        </w:tc>
        <w:tc>
          <w:tcPr>
            <w:tcW w:type="dxa" w:w="137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排除</w:t>
            </w:r>
          </w:p>
        </w:tc>
      </w:tr>
      <w:tr>
        <w:trPr>
          <w:cantSplit/>
        </w:trPr>
        <w:tc>
          <w:tcPr>
            <w:tcW w:type="dxa" w:w="19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高密度脂蛋白_HDL_C</w:t>
            </w:r>
          </w:p>
        </w:tc>
        <w:tc>
          <w:tcPr>
            <w:tcW w:type="dxa" w:w="18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0.014 / 0.761</w:t>
            </w:r>
          </w:p>
        </w:tc>
        <w:tc>
          <w:tcPr>
            <w:tcW w:type="dxa" w:w="16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0.20</w:t>
            </w:r>
          </w:p>
        </w:tc>
        <w:tc>
          <w:tcPr>
            <w:tcW w:type="dxa" w:w="235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诊断泄漏排除</w:t>
            </w:r>
          </w:p>
        </w:tc>
        <w:tc>
          <w:tcPr>
            <w:tcW w:type="dxa" w:w="137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排除</w:t>
            </w:r>
          </w:p>
        </w:tc>
      </w:tr>
      <w:tr>
        <w:trPr>
          <w:cantSplit/>
        </w:trPr>
        <w:tc>
          <w:tcPr>
            <w:tcW w:type="dxa" w:w="19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血糖</w:t>
            </w:r>
          </w:p>
        </w:tc>
        <w:tc>
          <w:tcPr>
            <w:tcW w:type="dxa" w:w="18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-0.020 / 0.761</w:t>
            </w:r>
          </w:p>
        </w:tc>
        <w:tc>
          <w:tcPr>
            <w:tcW w:type="dxa" w:w="16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0.53</w:t>
            </w:r>
          </w:p>
        </w:tc>
        <w:tc>
          <w:tcPr>
            <w:tcW w:type="dxa" w:w="235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AUC 0.529 / q 0.412</w:t>
            </w:r>
          </w:p>
        </w:tc>
        <w:tc>
          <w:tcPr>
            <w:tcW w:type="dxa" w:w="137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未通过</w:t>
            </w:r>
          </w:p>
        </w:tc>
      </w:tr>
      <w:tr>
        <w:trPr>
          <w:cantSplit/>
        </w:trPr>
        <w:tc>
          <w:tcPr>
            <w:tcW w:type="dxa" w:w="19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血尿酸</w:t>
            </w:r>
          </w:p>
        </w:tc>
        <w:tc>
          <w:tcPr>
            <w:tcW w:type="dxa" w:w="18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-0.010 / 0.761</w:t>
            </w:r>
          </w:p>
        </w:tc>
        <w:tc>
          <w:tcPr>
            <w:tcW w:type="dxa" w:w="16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0.07</w:t>
            </w:r>
          </w:p>
        </w:tc>
        <w:tc>
          <w:tcPr>
            <w:tcW w:type="dxa" w:w="235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AUC 0.646 / q 0.000</w:t>
            </w:r>
          </w:p>
        </w:tc>
        <w:tc>
          <w:tcPr>
            <w:tcW w:type="dxa" w:w="137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仅高血脂关联端</w:t>
            </w:r>
          </w:p>
        </w:tc>
      </w:tr>
      <w:tr>
        <w:trPr>
          <w:cantSplit/>
        </w:trPr>
        <w:tc>
          <w:tcPr>
            <w:tcW w:type="dxa" w:w="19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BMI</w:t>
            </w:r>
          </w:p>
        </w:tc>
        <w:tc>
          <w:tcPr>
            <w:tcW w:type="dxa" w:w="18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-0.022 / 0.761</w:t>
            </w:r>
          </w:p>
        </w:tc>
        <w:tc>
          <w:tcPr>
            <w:tcW w:type="dxa" w:w="16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0.93</w:t>
            </w:r>
          </w:p>
        </w:tc>
        <w:tc>
          <w:tcPr>
            <w:tcW w:type="dxa" w:w="235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AUC 0.519 / q 0.520</w:t>
            </w:r>
          </w:p>
        </w:tc>
        <w:tc>
          <w:tcPr>
            <w:tcW w:type="dxa" w:w="137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未通过</w:t>
            </w:r>
          </w:p>
        </w:tc>
      </w:tr>
      <w:tr>
        <w:trPr>
          <w:cantSplit/>
        </w:trPr>
        <w:tc>
          <w:tcPr>
            <w:tcW w:type="dxa" w:w="19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活动量表总分</w:t>
            </w:r>
          </w:p>
        </w:tc>
        <w:tc>
          <w:tcPr>
            <w:tcW w:type="dxa" w:w="18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-0.018 / 0.761</w:t>
            </w:r>
          </w:p>
        </w:tc>
        <w:tc>
          <w:tcPr>
            <w:tcW w:type="dxa" w:w="16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0.27</w:t>
            </w:r>
          </w:p>
        </w:tc>
        <w:tc>
          <w:tcPr>
            <w:tcW w:type="dxa" w:w="235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AUC 0.515 / q 0.520</w:t>
            </w:r>
          </w:p>
        </w:tc>
        <w:tc>
          <w:tcPr>
            <w:tcW w:type="dxa" w:w="137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未通过</w:t>
            </w:r>
          </w:p>
        </w:tc>
      </w:tr>
    </w:tbl>
    <w:p>
      <w:pPr>
        <w:spacing w:after="40"/>
      </w:pPr>
    </w:p>
    <w:p>
      <w:pPr>
        <w:spacing w:before="40" w:after="120"/>
      </w:pPr>
      <w:r>
        <w:rPr>
          <w:rFonts w:ascii="Microsoft YaHei" w:hAnsi="Microsoft YaHei" w:eastAsia="Microsoft YaHei"/>
          <w:i/>
          <w:color w:val="666666"/>
          <w:sz w:val="16"/>
        </w:rPr>
        <w:t>表1  分终点折外筛选结果。TC、TG、LDL-C、HDL-C在高血脂关联端因定义标签而排除。</w:t>
      </w:r>
    </w:p>
    <w:p>
      <w:pPr>
        <w:keepNext/>
        <w:spacing w:before="80" w:after="0"/>
        <w:jc w:val="center"/>
      </w:pPr>
      <w:r>
        <w:drawing>
          <wp:inline xmlns:a="http://schemas.openxmlformats.org/drawingml/2006/main" xmlns:pic="http://schemas.openxmlformats.org/drawingml/2006/picture">
            <wp:extent cx="5394960" cy="2648586"/>
            <wp:docPr id="1" name="Picture 1"/>
            <wp:cNvGraphicFramePr>
              <a:graphicFrameLocks noChangeAspect="1"/>
            </wp:cNvGraphicFramePr>
            <a:graphic>
              <a:graphicData uri="http://schemas.openxmlformats.org/drawingml/2006/picture">
                <pic:pic>
                  <pic:nvPicPr>
                    <pic:cNvPr id="0" name="问题1_共识得分排序.png"/>
                    <pic:cNvPicPr/>
                  </pic:nvPicPr>
                  <pic:blipFill>
                    <a:blip r:embed="rId11"/>
                    <a:stretch>
                      <a:fillRect/>
                    </a:stretch>
                  </pic:blipFill>
                  <pic:spPr>
                    <a:xfrm>
                      <a:off x="0" y="0"/>
                      <a:ext cx="5394960" cy="2648586"/>
                    </a:xfrm>
                    <a:prstGeom prst="rect"/>
                  </pic:spPr>
                </pic:pic>
              </a:graphicData>
            </a:graphic>
          </wp:inline>
        </w:drawing>
      </w:r>
    </w:p>
    <w:p>
      <w:pPr>
        <w:pStyle w:val="Caption"/>
        <w:keepNext w:val="0"/>
        <w:spacing w:before="60" w:after="140"/>
        <w:jc w:val="center"/>
      </w:pPr>
      <w:r>
        <w:rPr>
          <w:rFonts w:ascii="Microsoft YaHei" w:hAnsi="Microsoft YaHei" w:eastAsia="Microsoft YaHei"/>
          <w:color w:val="666666"/>
          <w:sz w:val="18"/>
        </w:rPr>
        <w:t>图1  两个终点的折外置换重要性</w:t>
      </w:r>
    </w:p>
    <w:p>
      <w:pPr>
        <w:keepLines w:val="0"/>
      </w:pPr>
      <w:r>
        <w:rPr>
          <w:rFonts w:ascii="Microsoft YaHei" w:hAnsi="Microsoft YaHei" w:eastAsia="Microsoft YaHei"/>
          <w:sz w:val="22"/>
        </w:rPr>
        <w:t>痰湿端没有指标通过门槛；高血脂关联端仅血尿酸入选；两集合交集为空。该结果说明附件不足以支持“同一指标同时可靠表征痰湿严重度并预警高血脂”的结论，TC和TG只能作为当前诊断指标。</w:t>
      </w:r>
    </w:p>
    <w:p>
      <w:pPr>
        <w:keepNext/>
        <w:spacing w:before="80" w:after="0"/>
        <w:jc w:val="center"/>
      </w:pPr>
      <w:r>
        <w:drawing>
          <wp:inline xmlns:a="http://schemas.openxmlformats.org/drawingml/2006/main" xmlns:pic="http://schemas.openxmlformats.org/drawingml/2006/picture">
            <wp:extent cx="5120640" cy="3845284"/>
            <wp:docPr id="2" name="Picture 2"/>
            <wp:cNvGraphicFramePr>
              <a:graphicFrameLocks noChangeAspect="1"/>
            </wp:cNvGraphicFramePr>
            <a:graphic>
              <a:graphicData uri="http://schemas.openxmlformats.org/drawingml/2006/picture">
                <pic:pic>
                  <pic:nvPicPr>
                    <pic:cNvPr id="0" name="问题1_双终点频率热力图.png"/>
                    <pic:cNvPicPr/>
                  </pic:nvPicPr>
                  <pic:blipFill>
                    <a:blip r:embed="rId12"/>
                    <a:stretch>
                      <a:fillRect/>
                    </a:stretch>
                  </pic:blipFill>
                  <pic:spPr>
                    <a:xfrm>
                      <a:off x="0" y="0"/>
                      <a:ext cx="5120640" cy="3845284"/>
                    </a:xfrm>
                    <a:prstGeom prst="rect"/>
                  </pic:spPr>
                </pic:pic>
              </a:graphicData>
            </a:graphic>
          </wp:inline>
        </w:drawing>
      </w:r>
    </w:p>
    <w:p>
      <w:pPr>
        <w:pStyle w:val="Caption"/>
        <w:keepNext w:val="0"/>
        <w:spacing w:before="60" w:after="140"/>
        <w:jc w:val="center"/>
      </w:pPr>
      <w:r>
        <w:rPr>
          <w:rFonts w:ascii="Microsoft YaHei" w:hAnsi="Microsoft YaHei" w:eastAsia="Microsoft YaHei"/>
          <w:color w:val="666666"/>
          <w:sz w:val="18"/>
        </w:rPr>
        <w:t>图2  候选指标在验证折中的正置换重要性频率</w:t>
      </w:r>
    </w:p>
    <w:p>
      <w:pPr>
        <w:pStyle w:val="Heading2"/>
      </w:pPr>
      <w:r>
        <w:t>4.2 九种体质标签调整优势比</w:t>
      </w:r>
    </w:p>
    <w:p>
      <w:pPr>
        <w:keepLines w:val="0"/>
      </w:pPr>
      <w:r>
        <w:rPr>
          <w:rFonts w:ascii="Microsoft YaHei" w:hAnsi="Microsoft YaHei" w:eastAsia="Microsoft YaHei"/>
          <w:sz w:val="22"/>
        </w:rPr>
        <w:t>九种体质贡献的主分析改用体质标签作为分类暴露，以平和质为参照，调整年龄、性别、吸烟、饮酒、BMI、活动总分、血糖和血尿酸。先用整体似然比检验判断八个标签系数是否同时为零，再报告各组OR、95%CI、P值和BH-FDR。</w:t>
      </w:r>
    </w:p>
    <w:p>
      <w:pPr>
        <w:spacing w:before="100" w:after="100"/>
        <w:jc w:val="center"/>
      </w:pPr>
      <w:r>
        <w:rPr>
          <w:rFonts w:ascii="Cambria Math" w:hAnsi="Cambria Math" w:eastAsia="Cambria Math"/>
          <w:i/>
          <w:color w:val="17365D"/>
          <w:sz w:val="22"/>
        </w:rPr>
        <w:t>logit[P(Y=1)] = β₀ + Σₖ₌₂⁹βₖI(T=k) + ΣₘγₘXₘ    (2)</w:t>
      </w:r>
    </w:p>
    <w:p>
      <w:r>
        <w:br w:type="page"/>
      </w:r>
    </w:p>
    <w:tbl>
      <w:tblPr>
        <w:tblStyle w:val="TableGrid"/>
        <w:tblW w:type="dxa" w:w="9070"/>
        <w:jc w:val="left"/>
        <w:tblLayout w:type="fixed"/>
        <w:tblLook w:firstColumn="1" w:firstRow="1" w:lastColumn="0" w:lastRow="0" w:noHBand="0" w:noVBand="1" w:val="04A0"/>
        <w:tblInd w:w="120" w:type="dxa"/>
      </w:tblPr>
      <w:tblGrid>
        <w:gridCol w:w="1350"/>
        <w:gridCol w:w="1050"/>
        <w:gridCol w:w="1350"/>
        <w:gridCol w:w="1100"/>
        <w:gridCol w:w="1800"/>
        <w:gridCol w:w="1100"/>
        <w:gridCol w:w="1320"/>
      </w:tblGrid>
      <w:tr>
        <w:trPr>
          <w:tblHeader w:val="true"/>
          <w:cantSplit/>
        </w:trPr>
        <w:tc>
          <w:tcPr>
            <w:tcW w:type="dxa" w:w="135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体质类型</w:t>
            </w:r>
          </w:p>
        </w:tc>
        <w:tc>
          <w:tcPr>
            <w:tcW w:type="dxa" w:w="105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n</w:t>
            </w:r>
          </w:p>
        </w:tc>
        <w:tc>
          <w:tcPr>
            <w:tcW w:type="dxa" w:w="135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当前异常率</w:t>
            </w:r>
          </w:p>
        </w:tc>
        <w:tc>
          <w:tcPr>
            <w:tcW w:type="dxa" w:w="11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调整OR</w:t>
            </w:r>
          </w:p>
        </w:tc>
        <w:tc>
          <w:tcPr>
            <w:tcW w:type="dxa" w:w="18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95%CI</w:t>
            </w:r>
          </w:p>
        </w:tc>
        <w:tc>
          <w:tcPr>
            <w:tcW w:type="dxa" w:w="11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P值</w:t>
            </w:r>
          </w:p>
        </w:tc>
        <w:tc>
          <w:tcPr>
            <w:tcW w:type="dxa" w:w="132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FDR q</w:t>
            </w:r>
          </w:p>
        </w:tc>
      </w:tr>
      <w:tr>
        <w:trPr>
          <w:cantSplit/>
        </w:trPr>
        <w:tc>
          <w:tcPr>
            <w:tcW w:type="dxa" w:w="135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平和质</w:t>
            </w:r>
          </w:p>
        </w:tc>
        <w:tc>
          <w:tcPr>
            <w:tcW w:type="dxa" w:w="10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187</w:t>
            </w:r>
          </w:p>
        </w:tc>
        <w:tc>
          <w:tcPr>
            <w:tcW w:type="dxa" w:w="13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81.8%</w:t>
            </w:r>
          </w:p>
        </w:tc>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1.000</w:t>
            </w:r>
          </w:p>
        </w:tc>
        <w:tc>
          <w:tcPr>
            <w:tcW w:type="dxa" w:w="18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参照</w:t>
            </w:r>
          </w:p>
        </w:tc>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w:t>
            </w:r>
          </w:p>
        </w:tc>
        <w:tc>
          <w:tcPr>
            <w:tcW w:type="dxa" w:w="13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w:t>
            </w:r>
          </w:p>
        </w:tc>
      </w:tr>
      <w:tr>
        <w:trPr>
          <w:cantSplit/>
        </w:trPr>
        <w:tc>
          <w:tcPr>
            <w:tcW w:type="dxa" w:w="135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气虚质</w:t>
            </w:r>
          </w:p>
        </w:tc>
        <w:tc>
          <w:tcPr>
            <w:tcW w:type="dxa" w:w="10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90</w:t>
            </w:r>
          </w:p>
        </w:tc>
        <w:tc>
          <w:tcPr>
            <w:tcW w:type="dxa" w:w="13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80.0%</w:t>
            </w:r>
          </w:p>
        </w:tc>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0.956</w:t>
            </w:r>
          </w:p>
        </w:tc>
        <w:tc>
          <w:tcPr>
            <w:tcW w:type="dxa" w:w="18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0.498–1.837</w:t>
            </w:r>
          </w:p>
        </w:tc>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0.893</w:t>
            </w:r>
          </w:p>
        </w:tc>
        <w:tc>
          <w:tcPr>
            <w:tcW w:type="dxa" w:w="13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0.893</w:t>
            </w:r>
          </w:p>
        </w:tc>
      </w:tr>
      <w:tr>
        <w:trPr>
          <w:cantSplit/>
        </w:trPr>
        <w:tc>
          <w:tcPr>
            <w:tcW w:type="dxa" w:w="135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阳虚质</w:t>
            </w:r>
          </w:p>
        </w:tc>
        <w:tc>
          <w:tcPr>
            <w:tcW w:type="dxa" w:w="10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73</w:t>
            </w:r>
          </w:p>
        </w:tc>
        <w:tc>
          <w:tcPr>
            <w:tcW w:type="dxa" w:w="13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86.3%</w:t>
            </w:r>
          </w:p>
        </w:tc>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1.537</w:t>
            </w:r>
          </w:p>
        </w:tc>
        <w:tc>
          <w:tcPr>
            <w:tcW w:type="dxa" w:w="18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0.707–3.344</w:t>
            </w:r>
          </w:p>
        </w:tc>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0.278</w:t>
            </w:r>
          </w:p>
        </w:tc>
        <w:tc>
          <w:tcPr>
            <w:tcW w:type="dxa" w:w="13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0.668</w:t>
            </w:r>
          </w:p>
        </w:tc>
      </w:tr>
      <w:tr>
        <w:trPr>
          <w:cantSplit/>
        </w:trPr>
        <w:tc>
          <w:tcPr>
            <w:tcW w:type="dxa" w:w="135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阴虚质</w:t>
            </w:r>
          </w:p>
        </w:tc>
        <w:tc>
          <w:tcPr>
            <w:tcW w:type="dxa" w:w="10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86</w:t>
            </w:r>
          </w:p>
        </w:tc>
        <w:tc>
          <w:tcPr>
            <w:tcW w:type="dxa" w:w="13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79.1%</w:t>
            </w:r>
          </w:p>
        </w:tc>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0.840</w:t>
            </w:r>
          </w:p>
        </w:tc>
        <w:tc>
          <w:tcPr>
            <w:tcW w:type="dxa" w:w="18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0.437–1.613</w:t>
            </w:r>
          </w:p>
        </w:tc>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0.600</w:t>
            </w:r>
          </w:p>
        </w:tc>
        <w:tc>
          <w:tcPr>
            <w:tcW w:type="dxa" w:w="13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0.754</w:t>
            </w:r>
          </w:p>
        </w:tc>
      </w:tr>
      <w:tr>
        <w:trPr>
          <w:cantSplit/>
        </w:trPr>
        <w:tc>
          <w:tcPr>
            <w:tcW w:type="dxa" w:w="135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痰湿质</w:t>
            </w:r>
          </w:p>
        </w:tc>
        <w:tc>
          <w:tcPr>
            <w:tcW w:type="dxa" w:w="10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278</w:t>
            </w:r>
          </w:p>
        </w:tc>
        <w:tc>
          <w:tcPr>
            <w:tcW w:type="dxa" w:w="13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77.3%</w:t>
            </w:r>
          </w:p>
        </w:tc>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0.748</w:t>
            </w:r>
          </w:p>
        </w:tc>
        <w:tc>
          <w:tcPr>
            <w:tcW w:type="dxa" w:w="18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0.465–1.203</w:t>
            </w:r>
          </w:p>
        </w:tc>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0.231</w:t>
            </w:r>
          </w:p>
        </w:tc>
        <w:tc>
          <w:tcPr>
            <w:tcW w:type="dxa" w:w="13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0.668</w:t>
            </w:r>
          </w:p>
        </w:tc>
      </w:tr>
      <w:tr>
        <w:trPr>
          <w:cantSplit/>
        </w:trPr>
        <w:tc>
          <w:tcPr>
            <w:tcW w:type="dxa" w:w="135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湿热质</w:t>
            </w:r>
          </w:p>
        </w:tc>
        <w:tc>
          <w:tcPr>
            <w:tcW w:type="dxa" w:w="10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77</w:t>
            </w:r>
          </w:p>
        </w:tc>
        <w:tc>
          <w:tcPr>
            <w:tcW w:type="dxa" w:w="13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80.5%</w:t>
            </w:r>
          </w:p>
        </w:tc>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0.857</w:t>
            </w:r>
          </w:p>
        </w:tc>
        <w:tc>
          <w:tcPr>
            <w:tcW w:type="dxa" w:w="18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0.431–1.704</w:t>
            </w:r>
          </w:p>
        </w:tc>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0.660</w:t>
            </w:r>
          </w:p>
        </w:tc>
        <w:tc>
          <w:tcPr>
            <w:tcW w:type="dxa" w:w="13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0.754</w:t>
            </w:r>
          </w:p>
        </w:tc>
      </w:tr>
      <w:tr>
        <w:trPr>
          <w:cantSplit/>
        </w:trPr>
        <w:tc>
          <w:tcPr>
            <w:tcW w:type="dxa" w:w="135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血瘀质</w:t>
            </w:r>
          </w:p>
        </w:tc>
        <w:tc>
          <w:tcPr>
            <w:tcW w:type="dxa" w:w="10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79</w:t>
            </w:r>
          </w:p>
        </w:tc>
        <w:tc>
          <w:tcPr>
            <w:tcW w:type="dxa" w:w="13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75.9%</w:t>
            </w:r>
          </w:p>
        </w:tc>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0.724</w:t>
            </w:r>
          </w:p>
        </w:tc>
        <w:tc>
          <w:tcPr>
            <w:tcW w:type="dxa" w:w="18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0.376–1.394</w:t>
            </w:r>
          </w:p>
        </w:tc>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0.334</w:t>
            </w:r>
          </w:p>
        </w:tc>
        <w:tc>
          <w:tcPr>
            <w:tcW w:type="dxa" w:w="13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0.668</w:t>
            </w:r>
          </w:p>
        </w:tc>
      </w:tr>
      <w:tr>
        <w:trPr>
          <w:cantSplit/>
        </w:trPr>
        <w:tc>
          <w:tcPr>
            <w:tcW w:type="dxa" w:w="135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气郁质</w:t>
            </w:r>
          </w:p>
        </w:tc>
        <w:tc>
          <w:tcPr>
            <w:tcW w:type="dxa" w:w="10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73</w:t>
            </w:r>
          </w:p>
        </w:tc>
        <w:tc>
          <w:tcPr>
            <w:tcW w:type="dxa" w:w="13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74.0%</w:t>
            </w:r>
          </w:p>
        </w:tc>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0.612</w:t>
            </w:r>
          </w:p>
        </w:tc>
        <w:tc>
          <w:tcPr>
            <w:tcW w:type="dxa" w:w="18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0.317–1.180</w:t>
            </w:r>
          </w:p>
        </w:tc>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0.143</w:t>
            </w:r>
          </w:p>
        </w:tc>
        <w:tc>
          <w:tcPr>
            <w:tcW w:type="dxa" w:w="13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0.668</w:t>
            </w:r>
          </w:p>
        </w:tc>
      </w:tr>
      <w:tr>
        <w:trPr>
          <w:cantSplit/>
        </w:trPr>
        <w:tc>
          <w:tcPr>
            <w:tcW w:type="dxa" w:w="135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特禀质</w:t>
            </w:r>
          </w:p>
        </w:tc>
        <w:tc>
          <w:tcPr>
            <w:tcW w:type="dxa" w:w="10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57</w:t>
            </w:r>
          </w:p>
        </w:tc>
        <w:tc>
          <w:tcPr>
            <w:tcW w:type="dxa" w:w="13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80.7%</w:t>
            </w:r>
          </w:p>
        </w:tc>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0.804</w:t>
            </w:r>
          </w:p>
        </w:tc>
        <w:tc>
          <w:tcPr>
            <w:tcW w:type="dxa" w:w="18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0.371–1.741</w:t>
            </w:r>
          </w:p>
        </w:tc>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0.580</w:t>
            </w:r>
          </w:p>
        </w:tc>
        <w:tc>
          <w:tcPr>
            <w:tcW w:type="dxa" w:w="13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0.754</w:t>
            </w:r>
          </w:p>
        </w:tc>
      </w:tr>
    </w:tbl>
    <w:p>
      <w:pPr>
        <w:spacing w:after="40"/>
      </w:pPr>
    </w:p>
    <w:p>
      <w:pPr>
        <w:spacing w:before="40" w:after="120"/>
      </w:pPr>
      <w:r>
        <w:rPr>
          <w:rFonts w:ascii="Microsoft YaHei" w:hAnsi="Microsoft YaHei" w:eastAsia="Microsoft YaHei"/>
          <w:i/>
          <w:color w:val="666666"/>
          <w:sz w:val="16"/>
        </w:rPr>
        <w:t>表2  九种体质标签相对平和质的调整OR；整体似然比检验先于组间解释。</w:t>
      </w:r>
    </w:p>
    <w:p>
      <w:pPr>
        <w:keepNext/>
        <w:spacing w:before="80" w:after="0"/>
        <w:jc w:val="center"/>
      </w:pPr>
      <w:r>
        <w:drawing>
          <wp:inline xmlns:a="http://schemas.openxmlformats.org/drawingml/2006/main" xmlns:pic="http://schemas.openxmlformats.org/drawingml/2006/picture">
            <wp:extent cx="5303520" cy="3397137"/>
            <wp:docPr id="3" name="Picture 3"/>
            <wp:cNvGraphicFramePr>
              <a:graphicFrameLocks noChangeAspect="1"/>
            </wp:cNvGraphicFramePr>
            <a:graphic>
              <a:graphicData uri="http://schemas.openxmlformats.org/drawingml/2006/picture">
                <pic:pic>
                  <pic:nvPicPr>
                    <pic:cNvPr id="0" name="问题1_体质贡献度OR.png"/>
                    <pic:cNvPicPr/>
                  </pic:nvPicPr>
                  <pic:blipFill>
                    <a:blip r:embed="rId13"/>
                    <a:stretch>
                      <a:fillRect/>
                    </a:stretch>
                  </pic:blipFill>
                  <pic:spPr>
                    <a:xfrm>
                      <a:off x="0" y="0"/>
                      <a:ext cx="5303520" cy="3397137"/>
                    </a:xfrm>
                    <a:prstGeom prst="rect"/>
                  </pic:spPr>
                </pic:pic>
              </a:graphicData>
            </a:graphic>
          </wp:inline>
        </w:drawing>
      </w:r>
    </w:p>
    <w:p>
      <w:pPr>
        <w:pStyle w:val="Caption"/>
        <w:keepNext w:val="0"/>
        <w:spacing w:before="60" w:after="140"/>
        <w:jc w:val="center"/>
      </w:pPr>
      <w:r>
        <w:rPr>
          <w:rFonts w:ascii="Microsoft YaHei" w:hAnsi="Microsoft YaHei" w:eastAsia="Microsoft YaHei"/>
          <w:color w:val="666666"/>
          <w:sz w:val="18"/>
        </w:rPr>
        <w:t>图3  八种偏颇体质相对平和质的调整OR及95%置信区间</w:t>
      </w:r>
    </w:p>
    <w:tbl>
      <w:tblPr>
        <w:tblStyle w:val="TableGrid"/>
        <w:tblW w:type="dxa" w:w="9070"/>
        <w:jc w:val="left"/>
        <w:tblLayout w:type="fixed"/>
        <w:tblLook w:firstColumn="1" w:firstRow="1" w:lastColumn="0" w:lastRow="0" w:noHBand="0" w:noVBand="1" w:val="04A0"/>
        <w:tblInd w:w="120" w:type="dxa"/>
      </w:tblPr>
      <w:tblGrid>
        <w:gridCol w:w="9070"/>
      </w:tblGrid>
      <w:tr>
        <w:tc>
          <w:tcPr>
            <w:tcW w:type="dxa" w:w="9070"/>
            <w:shd w:fill="F4F6F9"/>
            <w:tcMar>
              <w:top w:w="80" w:type="dxa"/>
              <w:start w:w="120" w:type="dxa"/>
              <w:bottom w:w="80" w:type="dxa"/>
              <w:end w:w="120" w:type="dxa"/>
            </w:tcMar>
          </w:tcPr>
          <w:p>
            <w:pPr>
              <w:spacing w:after="0"/>
            </w:pPr>
            <w:r/>
            <w:r>
              <w:rPr>
                <w:rFonts w:ascii="Microsoft YaHei" w:hAnsi="Microsoft YaHei" w:eastAsia="Microsoft YaHei"/>
                <w:b/>
                <w:color w:val="17365D"/>
                <w:sz w:val="21"/>
              </w:rPr>
              <w:t xml:space="preserve">统计结论  </w:t>
            </w:r>
            <w:r>
              <w:rPr>
                <w:rFonts w:ascii="Microsoft YaHei" w:hAnsi="Microsoft YaHei" w:eastAsia="Microsoft YaHei"/>
                <w:color w:val="17365D"/>
                <w:sz w:val="21"/>
              </w:rPr>
              <w:t>九体质整体调整检验P=0.562；痰湿质相对平和质OR=0.748，95%CI 0.465–1.203，P=0.231，FDR q=0.668。九个连续积分分别调整的敏感性分析同样无FDR显著项，因此不作贡献排名。</w:t>
            </w:r>
          </w:p>
        </w:tc>
      </w:tr>
    </w:tbl>
    <w:p>
      <w:pPr>
        <w:spacing w:after="40"/>
      </w:pPr>
    </w:p>
    <w:p>
      <w:pPr>
        <w:pStyle w:val="Heading1"/>
      </w:pPr>
      <w:r>
        <w:t>5 问题二：关联筛查与规则管理分层</w:t>
      </w:r>
    </w:p>
    <w:p>
      <w:pPr>
        <w:pStyle w:val="Heading2"/>
      </w:pPr>
      <w:r>
        <w:t>5.1 三类输出严格分离</w:t>
      </w:r>
    </w:p>
    <w:p>
      <w:pPr>
        <w:keepLines w:val="0"/>
      </w:pPr>
      <w:r>
        <w:rPr>
          <w:rFonts w:ascii="Microsoft YaHei" w:hAnsi="Microsoft YaHei" w:eastAsia="Microsoft YaHei"/>
          <w:sz w:val="22"/>
        </w:rPr>
        <w:t>问题二同时输出三个含义不同的量：当前诊断状态由四项血脂阈值确定；非血脂关联概率由体质、活动、代谢和基础信息模型给出；最终低、中、高管理等级由题面特征规则唯一生成。三者分别回答“当前是否异常”“非血脂特征与异常的关联强弱”和“应采用何种管理优先级”，不再混用。</w:t>
      </w:r>
    </w:p>
    <w:tbl>
      <w:tblPr>
        <w:tblStyle w:val="TableGrid"/>
        <w:tblW w:type="dxa" w:w="9070"/>
        <w:jc w:val="left"/>
        <w:tblLayout w:type="fixed"/>
        <w:tblLook w:firstColumn="1" w:firstRow="1" w:lastColumn="0" w:lastRow="0" w:noHBand="0" w:noVBand="1" w:val="04A0"/>
        <w:tblInd w:w="120" w:type="dxa"/>
      </w:tblPr>
      <w:tblGrid>
        <w:gridCol w:w="9070"/>
      </w:tblGrid>
      <w:tr>
        <w:tc>
          <w:tcPr>
            <w:tcW w:type="dxa" w:w="9070"/>
            <w:shd w:fill="F4F6F9"/>
            <w:tcMar>
              <w:top w:w="80" w:type="dxa"/>
              <w:start w:w="120" w:type="dxa"/>
              <w:bottom w:w="80" w:type="dxa"/>
              <w:end w:w="120" w:type="dxa"/>
            </w:tcMar>
          </w:tcPr>
          <w:p>
            <w:pPr>
              <w:spacing w:after="0"/>
            </w:pPr>
            <w:r/>
            <w:r>
              <w:rPr>
                <w:rFonts w:ascii="Microsoft YaHei" w:hAnsi="Microsoft YaHei" w:eastAsia="Microsoft YaHei"/>
                <w:b/>
                <w:color w:val="17365D"/>
                <w:sz w:val="21"/>
              </w:rPr>
              <w:t xml:space="preserve">横断面限制  </w:t>
            </w:r>
            <w:r>
              <w:rPr>
                <w:rFonts w:ascii="Microsoft YaHei" w:hAnsi="Microsoft YaHei" w:eastAsia="Microsoft YaHei"/>
                <w:color w:val="17365D"/>
                <w:sz w:val="21"/>
              </w:rPr>
              <w:t>附件没有随访结局，非血脂概率不能解释为未来发病概率；三级管理规则包含当前血脂状态，其当前异常率只用于规则一致性核查，不能作为独立预测性能。</w:t>
            </w:r>
          </w:p>
        </w:tc>
      </w:tr>
    </w:tbl>
    <w:p>
      <w:pPr>
        <w:spacing w:after="40"/>
      </w:pPr>
    </w:p>
    <w:p>
      <w:pPr>
        <w:pStyle w:val="Heading2"/>
      </w:pPr>
      <w:r>
        <w:t>5.2 非血脂关联模型</w:t>
      </w:r>
    </w:p>
    <w:tbl>
      <w:tblPr>
        <w:tblStyle w:val="TableGrid"/>
        <w:tblW w:type="dxa" w:w="9070"/>
        <w:jc w:val="left"/>
        <w:tblLayout w:type="fixed"/>
        <w:tblLook w:firstColumn="1" w:firstRow="1" w:lastColumn="0" w:lastRow="0" w:noHBand="0" w:noVBand="1" w:val="04A0"/>
        <w:tblInd w:w="120" w:type="dxa"/>
      </w:tblPr>
      <w:tblGrid>
        <w:gridCol w:w="3600"/>
        <w:gridCol w:w="2800"/>
        <w:gridCol w:w="2670"/>
      </w:tblGrid>
      <w:tr>
        <w:trPr>
          <w:tblHeader w:val="true"/>
          <w:cantSplit/>
        </w:trPr>
        <w:tc>
          <w:tcPr>
            <w:tcW w:type="dxa" w:w="36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8"/>
              </w:rPr>
              <w:t>候选模型</w:t>
            </w:r>
          </w:p>
        </w:tc>
        <w:tc>
          <w:tcPr>
            <w:tcW w:type="dxa" w:w="28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8"/>
              </w:rPr>
              <w:t>五折CV AUC均值</w:t>
            </w:r>
          </w:p>
        </w:tc>
        <w:tc>
          <w:tcPr>
            <w:tcW w:type="dxa" w:w="267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8"/>
              </w:rPr>
              <w:t>标准差</w:t>
            </w:r>
          </w:p>
        </w:tc>
      </w:tr>
      <w:tr>
        <w:trPr>
          <w:cantSplit/>
        </w:trPr>
        <w:tc>
          <w:tcPr>
            <w:tcW w:type="dxa" w:w="36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8"/>
              </w:rPr>
              <w:t>随机森林</w:t>
            </w:r>
          </w:p>
        </w:tc>
        <w:tc>
          <w:tcPr>
            <w:tcW w:type="dxa" w:w="28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0.865</w:t>
            </w:r>
          </w:p>
        </w:tc>
        <w:tc>
          <w:tcPr>
            <w:tcW w:type="dxa" w:w="26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0.030</w:t>
            </w:r>
          </w:p>
        </w:tc>
      </w:tr>
      <w:tr>
        <w:trPr>
          <w:cantSplit/>
        </w:trPr>
        <w:tc>
          <w:tcPr>
            <w:tcW w:type="dxa" w:w="36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8"/>
              </w:rPr>
              <w:t>加权Logistic</w:t>
            </w:r>
          </w:p>
        </w:tc>
        <w:tc>
          <w:tcPr>
            <w:tcW w:type="dxa" w:w="28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0.635</w:t>
            </w:r>
          </w:p>
        </w:tc>
        <w:tc>
          <w:tcPr>
            <w:tcW w:type="dxa" w:w="26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0.078</w:t>
            </w:r>
          </w:p>
        </w:tc>
      </w:tr>
    </w:tbl>
    <w:p>
      <w:pPr>
        <w:spacing w:after="40"/>
      </w:pPr>
    </w:p>
    <w:p>
      <w:pPr>
        <w:spacing w:before="40" w:after="120"/>
      </w:pPr>
      <w:r>
        <w:rPr>
          <w:rFonts w:ascii="Microsoft YaHei" w:hAnsi="Microsoft YaHei" w:eastAsia="Microsoft YaHei"/>
          <w:i/>
          <w:color w:val="666666"/>
          <w:sz w:val="16"/>
        </w:rPr>
        <w:t>表3  训练集内部候选模型比较。随机森林仅因训练集CV表现更优而被选中。</w:t>
      </w:r>
    </w:p>
    <w:p>
      <w:pPr>
        <w:keepLines w:val="0"/>
      </w:pPr>
      <w:r>
        <w:rPr>
          <w:rFonts w:ascii="Microsoft YaHei" w:hAnsi="Microsoft YaHei" w:eastAsia="Microsoft YaHei"/>
          <w:sz w:val="22"/>
        </w:rPr>
        <w:t>随机森林使用类别平衡抽样、最小叶节点约束和Platt概率校准。训练/测试按7:3分层划分，候选模型比较与校准均在训练集完成。独立测试集只用于一次最终评价，模型特征中不存在四项诊断血脂及其异常派生量。</w:t>
      </w:r>
    </w:p>
    <w:p>
      <w:pPr>
        <w:keepNext/>
        <w:spacing w:before="80" w:after="0"/>
        <w:jc w:val="center"/>
      </w:pPr>
      <w:r>
        <w:drawing>
          <wp:inline xmlns:a="http://schemas.openxmlformats.org/drawingml/2006/main" xmlns:pic="http://schemas.openxmlformats.org/drawingml/2006/picture">
            <wp:extent cx="4937760" cy="3899539"/>
            <wp:docPr id="4" name="Picture 4"/>
            <wp:cNvGraphicFramePr>
              <a:graphicFrameLocks noChangeAspect="1"/>
            </wp:cNvGraphicFramePr>
            <a:graphic>
              <a:graphicData uri="http://schemas.openxmlformats.org/drawingml/2006/picture">
                <pic:pic>
                  <pic:nvPicPr>
                    <pic:cNvPr id="0" name="问题2_筛查模型ROC.png"/>
                    <pic:cNvPicPr/>
                  </pic:nvPicPr>
                  <pic:blipFill>
                    <a:blip r:embed="rId14"/>
                    <a:stretch>
                      <a:fillRect/>
                    </a:stretch>
                  </pic:blipFill>
                  <pic:spPr>
                    <a:xfrm>
                      <a:off x="0" y="0"/>
                      <a:ext cx="4937760" cy="3899539"/>
                    </a:xfrm>
                    <a:prstGeom prst="rect"/>
                  </pic:spPr>
                </pic:pic>
              </a:graphicData>
            </a:graphic>
          </wp:inline>
        </w:drawing>
      </w:r>
    </w:p>
    <w:p>
      <w:pPr>
        <w:pStyle w:val="Caption"/>
        <w:keepNext w:val="0"/>
        <w:spacing w:before="60" w:after="140"/>
        <w:jc w:val="center"/>
      </w:pPr>
      <w:r>
        <w:rPr>
          <w:rFonts w:ascii="Microsoft YaHei" w:hAnsi="Microsoft YaHei" w:eastAsia="Microsoft YaHei"/>
          <w:color w:val="666666"/>
          <w:sz w:val="18"/>
        </w:rPr>
        <w:t>图4  非血脂关联筛查模型独立测试集ROC曲线</w:t>
      </w:r>
    </w:p>
    <w:p>
      <w:pPr>
        <w:keepLines w:val="0"/>
      </w:pPr>
      <w:r>
        <w:rPr>
          <w:rFonts w:ascii="Microsoft YaHei" w:hAnsi="Microsoft YaHei" w:eastAsia="Microsoft YaHei"/>
          <w:sz w:val="22"/>
        </w:rPr>
        <w:t>随机森林独立测试AUC=0.821、AP=0.953、Brier=0.135。该指标评价的是对当前血脂异常的关联筛查能力，而非未来发病预测。</w:t>
      </w:r>
    </w:p>
    <w:p>
      <w:pPr>
        <w:pStyle w:val="Heading2"/>
      </w:pPr>
      <w:r>
        <w:t>5.3 可追溯三级管理规则</w:t>
      </w:r>
    </w:p>
    <w:p>
      <w:pPr>
        <w:pStyle w:val="ListBullet"/>
      </w:pPr>
      <w:r>
        <w:rPr>
          <w:rFonts w:ascii="Microsoft YaHei" w:hAnsi="Microsoft YaHei" w:eastAsia="Microsoft YaHei"/>
          <w:sz w:val="21"/>
        </w:rPr>
        <w:t>高危：血脂异常且痰湿积分≥60；或血脂正常、痰湿积分≥80且活动总分&lt;40；或痰湿质、痰湿积分≥60且尿酸异常。</w:t>
      </w:r>
    </w:p>
    <w:p>
      <w:pPr>
        <w:pStyle w:val="ListBullet"/>
      </w:pPr>
      <w:r>
        <w:rPr>
          <w:rFonts w:ascii="Microsoft YaHei" w:hAnsi="Microsoft YaHei" w:eastAsia="Microsoft YaHei"/>
          <w:sz w:val="21"/>
        </w:rPr>
        <w:t>中危：不满足高危，但存在血脂异常、痰湿积分≥60、活动总分&lt;40或至少一项血糖、尿酸、BMI异常。</w:t>
      </w:r>
    </w:p>
    <w:p>
      <w:pPr>
        <w:pStyle w:val="ListBullet"/>
      </w:pPr>
      <w:r>
        <w:rPr>
          <w:rFonts w:ascii="Microsoft YaHei" w:hAnsi="Microsoft YaHei" w:eastAsia="Microsoft YaHei"/>
          <w:sz w:val="21"/>
        </w:rPr>
        <w:t>低危：未触发上述高危或中危规则。</w:t>
      </w:r>
    </w:p>
    <w:p>
      <w:pPr>
        <w:spacing w:before="100" w:after="100"/>
        <w:jc w:val="center"/>
      </w:pPr>
      <w:r>
        <w:rPr>
          <w:rFonts w:ascii="Cambria Math" w:hAnsi="Cambria Math" w:eastAsia="Cambria Math"/>
          <w:i/>
          <w:color w:val="17365D"/>
          <w:sz w:val="22"/>
        </w:rPr>
        <w:t>G(x)=3（触发任一高危规则）；G(x)=2（未高危且触发任一中危条件）；否则G(x)=1    (3)</w:t>
      </w:r>
    </w:p>
    <w:tbl>
      <w:tblPr>
        <w:tblStyle w:val="TableGrid"/>
        <w:tblW w:type="dxa" w:w="9070"/>
        <w:jc w:val="left"/>
        <w:tblLayout w:type="fixed"/>
        <w:tblLook w:firstColumn="1" w:firstRow="1" w:lastColumn="0" w:lastRow="0" w:noHBand="0" w:noVBand="1" w:val="04A0"/>
        <w:tblInd w:w="120" w:type="dxa"/>
      </w:tblPr>
      <w:tblGrid>
        <w:gridCol w:w="1600"/>
        <w:gridCol w:w="1300"/>
        <w:gridCol w:w="1500"/>
        <w:gridCol w:w="1900"/>
        <w:gridCol w:w="2770"/>
      </w:tblGrid>
      <w:tr>
        <w:trPr>
          <w:tblHeader w:val="true"/>
          <w:cantSplit/>
        </w:trPr>
        <w:tc>
          <w:tcPr>
            <w:tcW w:type="dxa" w:w="16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8"/>
              </w:rPr>
              <w:t>管理等级</w:t>
            </w:r>
          </w:p>
        </w:tc>
        <w:tc>
          <w:tcPr>
            <w:tcW w:type="dxa" w:w="13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8"/>
              </w:rPr>
              <w:t>人数</w:t>
            </w:r>
          </w:p>
        </w:tc>
        <w:tc>
          <w:tcPr>
            <w:tcW w:type="dxa" w:w="15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8"/>
              </w:rPr>
              <w:t>占比</w:t>
            </w:r>
          </w:p>
        </w:tc>
        <w:tc>
          <w:tcPr>
            <w:tcW w:type="dxa" w:w="19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8"/>
              </w:rPr>
              <w:t>当前异常率</w:t>
            </w:r>
          </w:p>
        </w:tc>
        <w:tc>
          <w:tcPr>
            <w:tcW w:type="dxa" w:w="277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8"/>
              </w:rPr>
              <w:t>异常率95%CI</w:t>
            </w:r>
          </w:p>
        </w:tc>
      </w:tr>
      <w:tr>
        <w:trPr>
          <w:cantSplit/>
        </w:trPr>
        <w:tc>
          <w:tcPr>
            <w:tcW w:type="dxa" w:w="16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低危</w:t>
            </w:r>
          </w:p>
        </w:tc>
        <w:tc>
          <w:tcPr>
            <w:tcW w:type="dxa" w:w="13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21</w:t>
            </w:r>
          </w:p>
        </w:tc>
        <w:tc>
          <w:tcPr>
            <w:tcW w:type="dxa" w:w="15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7.0%</w:t>
            </w:r>
          </w:p>
        </w:tc>
        <w:tc>
          <w:tcPr>
            <w:tcW w:type="dxa" w:w="1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0.0%</w:t>
            </w:r>
          </w:p>
        </w:tc>
        <w:tc>
          <w:tcPr>
            <w:tcW w:type="dxa" w:w="27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0.0%–11.1%</w:t>
            </w:r>
          </w:p>
        </w:tc>
      </w:tr>
      <w:tr>
        <w:trPr>
          <w:cantSplit/>
        </w:trPr>
        <w:tc>
          <w:tcPr>
            <w:tcW w:type="dxa" w:w="16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中危</w:t>
            </w:r>
          </w:p>
        </w:tc>
        <w:tc>
          <w:tcPr>
            <w:tcW w:type="dxa" w:w="13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247</w:t>
            </w:r>
          </w:p>
        </w:tc>
        <w:tc>
          <w:tcPr>
            <w:tcW w:type="dxa" w:w="15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82.3%</w:t>
            </w:r>
          </w:p>
        </w:tc>
        <w:tc>
          <w:tcPr>
            <w:tcW w:type="dxa" w:w="1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83.4%</w:t>
            </w:r>
          </w:p>
        </w:tc>
        <w:tc>
          <w:tcPr>
            <w:tcW w:type="dxa" w:w="27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78.4%–87.6%</w:t>
            </w:r>
          </w:p>
        </w:tc>
      </w:tr>
      <w:tr>
        <w:trPr>
          <w:cantSplit/>
        </w:trPr>
        <w:tc>
          <w:tcPr>
            <w:tcW w:type="dxa" w:w="16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高危</w:t>
            </w:r>
          </w:p>
        </w:tc>
        <w:tc>
          <w:tcPr>
            <w:tcW w:type="dxa" w:w="13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32</w:t>
            </w:r>
          </w:p>
        </w:tc>
        <w:tc>
          <w:tcPr>
            <w:tcW w:type="dxa" w:w="15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10.7%</w:t>
            </w:r>
          </w:p>
        </w:tc>
        <w:tc>
          <w:tcPr>
            <w:tcW w:type="dxa" w:w="1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100.0%</w:t>
            </w:r>
          </w:p>
        </w:tc>
        <w:tc>
          <w:tcPr>
            <w:tcW w:type="dxa" w:w="27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92.5%–100.0%</w:t>
            </w:r>
          </w:p>
        </w:tc>
      </w:tr>
    </w:tbl>
    <w:p>
      <w:pPr>
        <w:spacing w:after="40"/>
      </w:pPr>
    </w:p>
    <w:p>
      <w:pPr>
        <w:spacing w:before="40" w:after="120"/>
      </w:pPr>
      <w:r>
        <w:rPr>
          <w:rFonts w:ascii="Microsoft YaHei" w:hAnsi="Microsoft YaHei" w:eastAsia="Microsoft YaHei"/>
          <w:i/>
          <w:color w:val="666666"/>
          <w:sz w:val="16"/>
        </w:rPr>
        <w:t>表4  独立测试集三级管理结果。异常率因规则使用当前诊断状态而仅作横断面一致性核查。</w:t>
      </w:r>
    </w:p>
    <w:p>
      <w:pPr>
        <w:keepNext/>
        <w:spacing w:before="80" w:after="0"/>
        <w:jc w:val="center"/>
      </w:pPr>
      <w:r>
        <w:drawing>
          <wp:inline xmlns:a="http://schemas.openxmlformats.org/drawingml/2006/main" xmlns:pic="http://schemas.openxmlformats.org/drawingml/2006/picture">
            <wp:extent cx="4937760" cy="3624626"/>
            <wp:docPr id="5" name="Picture 5"/>
            <wp:cNvGraphicFramePr>
              <a:graphicFrameLocks noChangeAspect="1"/>
            </wp:cNvGraphicFramePr>
            <a:graphic>
              <a:graphicData uri="http://schemas.openxmlformats.org/drawingml/2006/picture">
                <pic:pic>
                  <pic:nvPicPr>
                    <pic:cNvPr id="0" name="问题2_三级风险分布.png"/>
                    <pic:cNvPicPr/>
                  </pic:nvPicPr>
                  <pic:blipFill>
                    <a:blip r:embed="rId15"/>
                    <a:stretch>
                      <a:fillRect/>
                    </a:stretch>
                  </pic:blipFill>
                  <pic:spPr>
                    <a:xfrm>
                      <a:off x="0" y="0"/>
                      <a:ext cx="4937760" cy="3624626"/>
                    </a:xfrm>
                    <a:prstGeom prst="rect"/>
                  </pic:spPr>
                </pic:pic>
              </a:graphicData>
            </a:graphic>
          </wp:inline>
        </w:drawing>
      </w:r>
    </w:p>
    <w:p>
      <w:pPr>
        <w:pStyle w:val="Caption"/>
        <w:keepNext w:val="0"/>
        <w:spacing w:before="60" w:after="140"/>
        <w:jc w:val="center"/>
      </w:pPr>
      <w:r>
        <w:rPr>
          <w:rFonts w:ascii="Microsoft YaHei" w:hAnsi="Microsoft YaHei" w:eastAsia="Microsoft YaHei"/>
          <w:color w:val="666666"/>
          <w:sz w:val="18"/>
        </w:rPr>
        <w:t>图5  独立测试集三级管理人数与当前血脂异常率</w:t>
      </w:r>
    </w:p>
    <w:p>
      <w:pPr>
        <w:keepLines w:val="0"/>
      </w:pPr>
      <w:r>
        <w:rPr>
          <w:rFonts w:ascii="Microsoft YaHei" w:hAnsi="Microsoft YaHei" w:eastAsia="Microsoft YaHei"/>
          <w:sz w:val="22"/>
        </w:rPr>
        <w:t>低危与中危Fisher精确检验P≈2.15e-15，中危与高危P=0.0068。每名患者只保留一个最终管理等级和全部触发规则，已异常者不再出现低危输出。</w:t>
      </w:r>
    </w:p>
    <w:p>
      <w:pPr>
        <w:keepNext/>
        <w:spacing w:before="80" w:after="0"/>
        <w:jc w:val="center"/>
      </w:pPr>
      <w:r>
        <w:drawing>
          <wp:inline xmlns:a="http://schemas.openxmlformats.org/drawingml/2006/main" xmlns:pic="http://schemas.openxmlformats.org/drawingml/2006/picture">
            <wp:extent cx="4937760" cy="3899539"/>
            <wp:docPr id="6" name="Picture 6"/>
            <wp:cNvGraphicFramePr>
              <a:graphicFrameLocks noChangeAspect="1"/>
            </wp:cNvGraphicFramePr>
            <a:graphic>
              <a:graphicData uri="http://schemas.openxmlformats.org/drawingml/2006/picture">
                <pic:pic>
                  <pic:nvPicPr>
                    <pic:cNvPr id="0" name="问题2_校准曲线.png"/>
                    <pic:cNvPicPr/>
                  </pic:nvPicPr>
                  <pic:blipFill>
                    <a:blip r:embed="rId16"/>
                    <a:stretch>
                      <a:fillRect/>
                    </a:stretch>
                  </pic:blipFill>
                  <pic:spPr>
                    <a:xfrm>
                      <a:off x="0" y="0"/>
                      <a:ext cx="4937760" cy="3899539"/>
                    </a:xfrm>
                    <a:prstGeom prst="rect"/>
                  </pic:spPr>
                </pic:pic>
              </a:graphicData>
            </a:graphic>
          </wp:inline>
        </w:drawing>
      </w:r>
    </w:p>
    <w:p>
      <w:pPr>
        <w:pStyle w:val="Caption"/>
        <w:keepNext w:val="0"/>
        <w:spacing w:before="60" w:after="140"/>
        <w:jc w:val="center"/>
      </w:pPr>
      <w:r>
        <w:rPr>
          <w:rFonts w:ascii="Microsoft YaHei" w:hAnsi="Microsoft YaHei" w:eastAsia="Microsoft YaHei"/>
          <w:color w:val="666666"/>
          <w:sz w:val="18"/>
        </w:rPr>
        <w:t>图6  非血脂关联筛查模型独立测试集校准曲线</w:t>
      </w:r>
    </w:p>
    <w:p>
      <w:pPr>
        <w:pStyle w:val="Heading2"/>
      </w:pPr>
      <w:r>
        <w:t>5.4 痰湿质高危核心组合</w:t>
      </w:r>
    </w:p>
    <w:p>
      <w:pPr>
        <w:keepLines w:val="0"/>
      </w:pPr>
      <w:r>
        <w:rPr>
          <w:rFonts w:ascii="Microsoft YaHei" w:hAnsi="Microsoft YaHei" w:eastAsia="Microsoft YaHei"/>
          <w:sz w:val="22"/>
        </w:rPr>
        <w:t>在独立测试集内固定“体质标签=5”，再组合当前血脂状态、痰湿积分、低活动量、BMI、血糖、尿酸、年龄与烟酒阈值，计算组合相对于最终高危管理层的支持度、置信度、Jeffreys 95%CI和提升度。</w:t>
      </w:r>
    </w:p>
    <w:p>
      <w:r>
        <w:br w:type="page"/>
      </w:r>
    </w:p>
    <w:tbl>
      <w:tblPr>
        <w:tblStyle w:val="TableGrid"/>
        <w:tblW w:type="dxa" w:w="9070"/>
        <w:jc w:val="left"/>
        <w:tblLayout w:type="fixed"/>
        <w:tblLook w:firstColumn="1" w:firstRow="1" w:lastColumn="0" w:lastRow="0" w:noHBand="0" w:noVBand="1" w:val="04A0"/>
        <w:tblInd w:w="120" w:type="dxa"/>
      </w:tblPr>
      <w:tblGrid>
        <w:gridCol w:w="3650"/>
        <w:gridCol w:w="1000"/>
        <w:gridCol w:w="1000"/>
        <w:gridCol w:w="2250"/>
        <w:gridCol w:w="1170"/>
      </w:tblGrid>
      <w:tr>
        <w:trPr>
          <w:tblHeader w:val="true"/>
          <w:cantSplit/>
        </w:trPr>
        <w:tc>
          <w:tcPr>
            <w:tcW w:type="dxa" w:w="365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核心特征组合</w:t>
            </w:r>
          </w:p>
        </w:tc>
        <w:tc>
          <w:tcPr>
            <w:tcW w:type="dxa" w:w="10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覆盖人数</w:t>
            </w:r>
          </w:p>
        </w:tc>
        <w:tc>
          <w:tcPr>
            <w:tcW w:type="dxa" w:w="10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高危人数</w:t>
            </w:r>
          </w:p>
        </w:tc>
        <w:tc>
          <w:tcPr>
            <w:tcW w:type="dxa" w:w="225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置信度（95%CI）</w:t>
            </w:r>
          </w:p>
        </w:tc>
        <w:tc>
          <w:tcPr>
            <w:tcW w:type="dxa" w:w="117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提升度</w:t>
            </w:r>
          </w:p>
        </w:tc>
      </w:tr>
      <w:tr>
        <w:trPr>
          <w:cantSplit/>
        </w:trPr>
        <w:tc>
          <w:tcPr>
            <w:tcW w:type="dxa" w:w="365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痰湿体质 + 血脂异常 + 痰湿积分≥60</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32</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32</w:t>
            </w:r>
          </w:p>
        </w:tc>
        <w:tc>
          <w:tcPr>
            <w:tcW w:type="dxa" w:w="22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100.0%（92.5%–100.0%）</w:t>
            </w:r>
          </w:p>
        </w:tc>
        <w:tc>
          <w:tcPr>
            <w:tcW w:type="dxa" w:w="11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2.62</w:t>
            </w:r>
          </w:p>
        </w:tc>
      </w:tr>
      <w:tr>
        <w:trPr>
          <w:cantSplit/>
        </w:trPr>
        <w:tc>
          <w:tcPr>
            <w:tcW w:type="dxa" w:w="365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痰湿体质 + 痰湿积分≥60 + 尿酸异常</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27</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27</w:t>
            </w:r>
          </w:p>
        </w:tc>
        <w:tc>
          <w:tcPr>
            <w:tcW w:type="dxa" w:w="22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100.0%（91.2%–100.0%）</w:t>
            </w:r>
          </w:p>
        </w:tc>
        <w:tc>
          <w:tcPr>
            <w:tcW w:type="dxa" w:w="11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2.62</w:t>
            </w:r>
          </w:p>
        </w:tc>
      </w:tr>
      <w:tr>
        <w:trPr>
          <w:cantSplit/>
        </w:trPr>
        <w:tc>
          <w:tcPr>
            <w:tcW w:type="dxa" w:w="365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痰湿体质 + 痰湿积分≥60 + 活动总分&lt;40</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9</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8</w:t>
            </w:r>
          </w:p>
        </w:tc>
        <w:tc>
          <w:tcPr>
            <w:tcW w:type="dxa" w:w="22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88.9%（58.6%–98.8%）</w:t>
            </w:r>
          </w:p>
        </w:tc>
        <w:tc>
          <w:tcPr>
            <w:tcW w:type="dxa" w:w="11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2.33</w:t>
            </w:r>
          </w:p>
        </w:tc>
      </w:tr>
      <w:tr>
        <w:trPr>
          <w:cantSplit/>
        </w:trPr>
        <w:tc>
          <w:tcPr>
            <w:tcW w:type="dxa" w:w="365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痰湿体质 + 痰湿积分≥60 + 血糖异常</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18</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14</w:t>
            </w:r>
          </w:p>
        </w:tc>
        <w:tc>
          <w:tcPr>
            <w:tcW w:type="dxa" w:w="22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77.8%（55.4%–92.0%）</w:t>
            </w:r>
          </w:p>
        </w:tc>
        <w:tc>
          <w:tcPr>
            <w:tcW w:type="dxa" w:w="11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2.04</w:t>
            </w:r>
          </w:p>
        </w:tc>
      </w:tr>
      <w:tr>
        <w:trPr>
          <w:cantSplit/>
        </w:trPr>
        <w:tc>
          <w:tcPr>
            <w:tcW w:type="dxa" w:w="365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痰湿体质 + 痰湿积分≥60 + 吸烟史</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24</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18</w:t>
            </w:r>
          </w:p>
        </w:tc>
        <w:tc>
          <w:tcPr>
            <w:tcW w:type="dxa" w:w="22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75.0%（55.5%–88.8%）</w:t>
            </w:r>
          </w:p>
        </w:tc>
        <w:tc>
          <w:tcPr>
            <w:tcW w:type="dxa" w:w="11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1.97</w:t>
            </w:r>
          </w:p>
        </w:tc>
      </w:tr>
    </w:tbl>
    <w:p>
      <w:pPr>
        <w:spacing w:after="40"/>
      </w:pPr>
    </w:p>
    <w:p>
      <w:pPr>
        <w:spacing w:before="40" w:after="120"/>
      </w:pPr>
      <w:r>
        <w:rPr>
          <w:rFonts w:ascii="Microsoft YaHei" w:hAnsi="Microsoft YaHei" w:eastAsia="Microsoft YaHei"/>
          <w:i/>
          <w:color w:val="666666"/>
          <w:sz w:val="16"/>
        </w:rPr>
        <w:t>表5  痰湿质高危管理组合前5位。提升度相对痰湿质人群的基准高危比例计算。</w:t>
      </w:r>
    </w:p>
    <w:tbl>
      <w:tblPr>
        <w:tblStyle w:val="TableGrid"/>
        <w:tblW w:type="dxa" w:w="9070"/>
        <w:jc w:val="left"/>
        <w:tblLayout w:type="fixed"/>
        <w:tblLook w:firstColumn="1" w:firstRow="1" w:lastColumn="0" w:lastRow="0" w:noHBand="0" w:noVBand="1" w:val="04A0"/>
        <w:tblInd w:w="120" w:type="dxa"/>
      </w:tblPr>
      <w:tblGrid>
        <w:gridCol w:w="9070"/>
      </w:tblGrid>
      <w:tr>
        <w:tc>
          <w:tcPr>
            <w:tcW w:type="dxa" w:w="9070"/>
            <w:shd w:fill="FFF4D6"/>
            <w:tcMar>
              <w:top w:w="80" w:type="dxa"/>
              <w:start w:w="120" w:type="dxa"/>
              <w:bottom w:w="80" w:type="dxa"/>
              <w:end w:w="120" w:type="dxa"/>
            </w:tcMar>
          </w:tcPr>
          <w:p>
            <w:pPr>
              <w:spacing w:after="0"/>
            </w:pPr>
            <w:r/>
            <w:r>
              <w:rPr>
                <w:rFonts w:ascii="Microsoft YaHei" w:hAnsi="Microsoft YaHei" w:eastAsia="Microsoft YaHei"/>
                <w:b/>
                <w:color w:val="17365D"/>
                <w:sz w:val="21"/>
              </w:rPr>
              <w:t xml:space="preserve">首位组合  </w:t>
            </w:r>
            <w:r>
              <w:rPr>
                <w:rFonts w:ascii="Microsoft YaHei" w:hAnsi="Microsoft YaHei" w:eastAsia="Microsoft YaHei"/>
                <w:color w:val="17365D"/>
                <w:sz w:val="21"/>
              </w:rPr>
              <w:t>“痰湿体质 + 血脂异常 + 痰湿积分≥60”覆盖32人，其中高危32人，置信度100.0%，95%CI 92.5%–100.0%。该组合直接反映管理规则，不作为独立因果发现。</w:t>
            </w:r>
          </w:p>
        </w:tc>
      </w:tr>
    </w:tbl>
    <w:p>
      <w:pPr>
        <w:spacing w:after="40"/>
      </w:pPr>
    </w:p>
    <w:p>
      <w:pPr>
        <w:pStyle w:val="Heading1"/>
      </w:pPr>
      <w:r>
        <w:t>6 问题三：六个月个体化干预优化</w:t>
      </w:r>
    </w:p>
    <w:p>
      <w:pPr>
        <w:pStyle w:val="Heading2"/>
      </w:pPr>
      <w:r>
        <w:t>6.1 决策变量与约束</w:t>
      </w:r>
    </w:p>
    <w:p>
      <w:pPr>
        <w:keepLines w:val="0"/>
      </w:pPr>
      <w:r>
        <w:rPr>
          <w:rFonts w:ascii="Microsoft YaHei" w:hAnsi="Microsoft YaHei" w:eastAsia="Microsoft YaHei"/>
          <w:sz w:val="22"/>
        </w:rPr>
        <w:t>研究对象为全部278名体质标签5患者。第t月决策包括活动强度aₜ∈{1,2,3}和每周频率fₜ∈{1,…,10}；中医调理等级由月初痰湿积分自动确定。强度上界同时受年龄和活动评分约束：40–59岁最高3级、60–79岁最高2级、80–89岁最高1级；活动总分&lt;40最高1级，40–59最高2级，≥60最高3级。</w:t>
      </w:r>
    </w:p>
    <w:p>
      <w:pPr>
        <w:spacing w:before="100" w:after="100"/>
        <w:jc w:val="center"/>
      </w:pPr>
      <w:r>
        <w:rPr>
          <w:rFonts w:ascii="Cambria Math" w:hAnsi="Cambria Math" w:eastAsia="Cambria Math"/>
          <w:i/>
          <w:color w:val="17365D"/>
          <w:sz w:val="22"/>
        </w:rPr>
        <w:t>Cost = Σₜ(Cost调理,t + 4·fₜ·Cost活动,aₜ) ≤ 2000    (4)</w:t>
      </w:r>
    </w:p>
    <w:p>
      <w:pPr>
        <w:pStyle w:val="Heading2"/>
      </w:pPr>
      <w:r>
        <w:t>6.2 状态转移</w:t>
      </w:r>
    </w:p>
    <w:p>
      <w:pPr>
        <w:keepLines w:val="0"/>
      </w:pPr>
      <w:r>
        <w:rPr>
          <w:rFonts w:ascii="Microsoft YaHei" w:hAnsi="Microsoft YaHei" w:eastAsia="Microsoft YaHei"/>
          <w:sz w:val="22"/>
        </w:rPr>
        <w:t>根据题面，当每周训练少于5次时积分基本稳定；达到5次后，每提高一级强度每月下降约3%，同一强度下每周增加1次训练每月多下降约1%。</w:t>
      </w:r>
    </w:p>
    <w:p>
      <w:pPr>
        <w:spacing w:before="100" w:after="100"/>
        <w:jc w:val="center"/>
      </w:pPr>
      <w:r>
        <w:rPr>
          <w:rFonts w:ascii="Cambria Math" w:hAnsi="Cambria Math" w:eastAsia="Cambria Math"/>
          <w:i/>
          <w:color w:val="17365D"/>
          <w:sz w:val="22"/>
        </w:rPr>
        <w:t>r(a,f)=0 (f&lt;5)；r(a,f)=0.03(a−1)+0.01(f−5) (f≥5)    (5)</w:t>
      </w:r>
    </w:p>
    <w:p>
      <w:pPr>
        <w:spacing w:before="100" w:after="100"/>
        <w:jc w:val="center"/>
      </w:pPr>
      <w:r>
        <w:rPr>
          <w:rFonts w:ascii="Cambria Math" w:hAnsi="Cambria Math" w:eastAsia="Cambria Math"/>
          <w:i/>
          <w:color w:val="17365D"/>
          <w:sz w:val="22"/>
        </w:rPr>
        <w:t>Sₜ₊₁ = Sₜ·[1−r(aₜ,fₜ)]    (6)</w:t>
      </w:r>
    </w:p>
    <w:p>
      <w:pPr>
        <w:keepLines w:val="0"/>
      </w:pPr>
      <w:r>
        <w:rPr>
          <w:rFonts w:ascii="Microsoft YaHei" w:hAnsi="Microsoft YaHei" w:eastAsia="Microsoft YaHei"/>
          <w:sz w:val="22"/>
        </w:rPr>
        <w:t>积分以0.5分为步长离散。对同一积分只保留最低成本状态，并删除“积分更高且成本不低”的支配状态，从而得到每月Pareto前沿。</w:t>
      </w:r>
    </w:p>
    <w:p>
      <w:pPr>
        <w:pStyle w:val="Heading2"/>
      </w:pPr>
      <w:r>
        <w:t>6.3 ε-约束推荐规则</w:t>
      </w:r>
    </w:p>
    <w:p>
      <w:pPr>
        <w:keepLines w:val="0"/>
      </w:pPr>
      <w:r>
        <w:rPr>
          <w:rFonts w:ascii="Microsoft YaHei" w:hAnsi="Microsoft YaHei" w:eastAsia="Microsoft YaHei"/>
          <w:sz w:val="22"/>
        </w:rPr>
        <w:t>若仅以最终积分最小为目标，方案会倾向耗尽预算。为兼顾效果和经济性，先求2000元预算内最大可降幅Δmax，再从达到其90%以上的可行方案中选择成本最低者。</w:t>
      </w:r>
    </w:p>
    <w:p>
      <w:pPr>
        <w:spacing w:before="100" w:after="100"/>
        <w:jc w:val="center"/>
      </w:pPr>
      <w:r>
        <w:rPr>
          <w:rFonts w:ascii="Cambria Math" w:hAnsi="Cambria Math" w:eastAsia="Cambria Math"/>
          <w:i/>
          <w:color w:val="17365D"/>
          <w:sz w:val="22"/>
        </w:rPr>
        <w:t>min Cost，s.t. Δ ≥ 0.90·Δmax，Cost ≤ 2000    (7)</w:t>
      </w:r>
    </w:p>
    <w:tbl>
      <w:tblPr>
        <w:tblStyle w:val="TableGrid"/>
        <w:tblW w:type="dxa" w:w="9070"/>
        <w:jc w:val="left"/>
        <w:tblLayout w:type="fixed"/>
        <w:tblLook w:firstColumn="1" w:firstRow="1" w:lastColumn="0" w:lastRow="0" w:noHBand="0" w:noVBand="1" w:val="04A0"/>
        <w:tblInd w:w="120" w:type="dxa"/>
      </w:tblPr>
      <w:tblGrid>
        <w:gridCol w:w="9070"/>
      </w:tblGrid>
      <w:tr>
        <w:tc>
          <w:tcPr>
            <w:tcW w:type="dxa" w:w="9070"/>
            <w:shd w:fill="F4F6F9"/>
            <w:tcMar>
              <w:top w:w="80" w:type="dxa"/>
              <w:start w:w="120" w:type="dxa"/>
              <w:bottom w:w="80" w:type="dxa"/>
              <w:end w:w="120" w:type="dxa"/>
            </w:tcMar>
          </w:tcPr>
          <w:p>
            <w:pPr>
              <w:spacing w:after="0"/>
            </w:pPr>
            <w:r/>
            <w:r>
              <w:rPr>
                <w:rFonts w:ascii="Microsoft YaHei" w:hAnsi="Microsoft YaHei" w:eastAsia="Microsoft YaHei"/>
                <w:b/>
                <w:color w:val="17365D"/>
                <w:sz w:val="21"/>
              </w:rPr>
              <w:t xml:space="preserve">方案含义  </w:t>
            </w:r>
            <w:r>
              <w:rPr>
                <w:rFonts w:ascii="Microsoft YaHei" w:hAnsi="Microsoft YaHei" w:eastAsia="Microsoft YaHei"/>
                <w:color w:val="17365D"/>
                <w:sz w:val="21"/>
              </w:rPr>
              <w:t>推荐方案不是绝对最大降幅方案，而是在保留至少90%最大效果的前提下节省成本；因此不同患者的总成本可能明显低于2000元。</w:t>
            </w:r>
          </w:p>
        </w:tc>
      </w:tr>
    </w:tbl>
    <w:p>
      <w:pPr>
        <w:spacing w:after="40"/>
      </w:pPr>
    </w:p>
    <w:p>
      <w:pPr>
        <w:pStyle w:val="Heading2"/>
      </w:pPr>
      <w:r>
        <w:t>6.4 样本1、2、3结果</w:t>
      </w:r>
    </w:p>
    <w:tbl>
      <w:tblPr>
        <w:tblStyle w:val="TableGrid"/>
        <w:tblW w:type="dxa" w:w="9070"/>
        <w:jc w:val="left"/>
        <w:tblLayout w:type="fixed"/>
        <w:tblLook w:firstColumn="1" w:firstRow="1" w:lastColumn="0" w:lastRow="0" w:noHBand="0" w:noVBand="1" w:val="04A0"/>
        <w:tblInd w:w="120" w:type="dxa"/>
      </w:tblPr>
      <w:tblGrid>
        <w:gridCol w:w="900"/>
        <w:gridCol w:w="1050"/>
        <w:gridCol w:w="950"/>
        <w:gridCol w:w="1100"/>
        <w:gridCol w:w="1050"/>
        <w:gridCol w:w="1050"/>
        <w:gridCol w:w="1050"/>
        <w:gridCol w:w="1920"/>
      </w:tblGrid>
      <w:tr>
        <w:trPr>
          <w:tblHeader w:val="true"/>
          <w:cantSplit/>
        </w:trPr>
        <w:tc>
          <w:tcPr>
            <w:tcW w:type="dxa" w:w="9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7"/>
              </w:rPr>
              <w:t>ID</w:t>
            </w:r>
          </w:p>
        </w:tc>
        <w:tc>
          <w:tcPr>
            <w:tcW w:type="dxa" w:w="105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7"/>
              </w:rPr>
              <w:t>初始积分</w:t>
            </w:r>
          </w:p>
        </w:tc>
        <w:tc>
          <w:tcPr>
            <w:tcW w:type="dxa" w:w="95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7"/>
              </w:rPr>
              <w:t>年龄组</w:t>
            </w:r>
          </w:p>
        </w:tc>
        <w:tc>
          <w:tcPr>
            <w:tcW w:type="dxa" w:w="11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7"/>
              </w:rPr>
              <w:t>活动总分</w:t>
            </w:r>
          </w:p>
        </w:tc>
        <w:tc>
          <w:tcPr>
            <w:tcW w:type="dxa" w:w="105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7"/>
              </w:rPr>
              <w:t>最大强度</w:t>
            </w:r>
          </w:p>
        </w:tc>
        <w:tc>
          <w:tcPr>
            <w:tcW w:type="dxa" w:w="105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7"/>
              </w:rPr>
              <w:t>最终积分</w:t>
            </w:r>
          </w:p>
        </w:tc>
        <w:tc>
          <w:tcPr>
            <w:tcW w:type="dxa" w:w="105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7"/>
              </w:rPr>
              <w:t>降低分数</w:t>
            </w:r>
          </w:p>
        </w:tc>
        <w:tc>
          <w:tcPr>
            <w:tcW w:type="dxa" w:w="192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7"/>
              </w:rPr>
              <w:t>总成本/元</w:t>
            </w:r>
          </w:p>
        </w:tc>
      </w:tr>
      <w:tr>
        <w:trPr>
          <w:cantSplit/>
        </w:trPr>
        <w:tc>
          <w:tcPr>
            <w:tcW w:type="dxa" w:w="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1</w:t>
            </w:r>
          </w:p>
        </w:tc>
        <w:tc>
          <w:tcPr>
            <w:tcW w:type="dxa" w:w="10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64.0</w:t>
            </w:r>
          </w:p>
        </w:tc>
        <w:tc>
          <w:tcPr>
            <w:tcW w:type="dxa" w:w="9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2</w:t>
            </w:r>
          </w:p>
        </w:tc>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38.0</w:t>
            </w:r>
          </w:p>
        </w:tc>
        <w:tc>
          <w:tcPr>
            <w:tcW w:type="dxa" w:w="10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1</w:t>
            </w:r>
          </w:p>
        </w:tc>
        <w:tc>
          <w:tcPr>
            <w:tcW w:type="dxa" w:w="10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48.5</w:t>
            </w:r>
          </w:p>
        </w:tc>
        <w:tc>
          <w:tcPr>
            <w:tcW w:type="dxa" w:w="10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15.5</w:t>
            </w:r>
          </w:p>
        </w:tc>
        <w:tc>
          <w:tcPr>
            <w:tcW w:type="dxa" w:w="19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1014</w:t>
            </w:r>
          </w:p>
        </w:tc>
      </w:tr>
      <w:tr>
        <w:trPr>
          <w:cantSplit/>
        </w:trPr>
        <w:tc>
          <w:tcPr>
            <w:tcW w:type="dxa" w:w="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2</w:t>
            </w:r>
          </w:p>
        </w:tc>
        <w:tc>
          <w:tcPr>
            <w:tcW w:type="dxa" w:w="10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58.0</w:t>
            </w:r>
          </w:p>
        </w:tc>
        <w:tc>
          <w:tcPr>
            <w:tcW w:type="dxa" w:w="9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1</w:t>
            </w:r>
          </w:p>
        </w:tc>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40.0</w:t>
            </w:r>
          </w:p>
        </w:tc>
        <w:tc>
          <w:tcPr>
            <w:tcW w:type="dxa" w:w="10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2</w:t>
            </w:r>
          </w:p>
        </w:tc>
        <w:tc>
          <w:tcPr>
            <w:tcW w:type="dxa" w:w="10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37.0</w:t>
            </w:r>
          </w:p>
        </w:tc>
        <w:tc>
          <w:tcPr>
            <w:tcW w:type="dxa" w:w="10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21.0</w:t>
            </w:r>
          </w:p>
        </w:tc>
        <w:tc>
          <w:tcPr>
            <w:tcW w:type="dxa" w:w="19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1240</w:t>
            </w:r>
          </w:p>
        </w:tc>
      </w:tr>
      <w:tr>
        <w:trPr>
          <w:cantSplit/>
        </w:trPr>
        <w:tc>
          <w:tcPr>
            <w:tcW w:type="dxa" w:w="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3</w:t>
            </w:r>
          </w:p>
        </w:tc>
        <w:tc>
          <w:tcPr>
            <w:tcW w:type="dxa" w:w="10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59.0</w:t>
            </w:r>
          </w:p>
        </w:tc>
        <w:tc>
          <w:tcPr>
            <w:tcW w:type="dxa" w:w="9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1</w:t>
            </w:r>
          </w:p>
        </w:tc>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63.0</w:t>
            </w:r>
          </w:p>
        </w:tc>
        <w:tc>
          <w:tcPr>
            <w:tcW w:type="dxa" w:w="10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3</w:t>
            </w:r>
          </w:p>
        </w:tc>
        <w:tc>
          <w:tcPr>
            <w:tcW w:type="dxa" w:w="10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33.0</w:t>
            </w:r>
          </w:p>
        </w:tc>
        <w:tc>
          <w:tcPr>
            <w:tcW w:type="dxa" w:w="10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26.0</w:t>
            </w:r>
          </w:p>
        </w:tc>
        <w:tc>
          <w:tcPr>
            <w:tcW w:type="dxa" w:w="19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1674</w:t>
            </w:r>
          </w:p>
        </w:tc>
      </w:tr>
    </w:tbl>
    <w:p>
      <w:pPr>
        <w:spacing w:after="40"/>
      </w:pPr>
    </w:p>
    <w:p>
      <w:pPr>
        <w:spacing w:before="40" w:after="120"/>
      </w:pPr>
      <w:r>
        <w:rPr>
          <w:rFonts w:ascii="Microsoft YaHei" w:hAnsi="Microsoft YaHei" w:eastAsia="Microsoft YaHei"/>
          <w:i/>
          <w:color w:val="666666"/>
          <w:sz w:val="16"/>
        </w:rPr>
        <w:t>表6  附件样本ID 1、2、3的真实参数与推荐结果。</w:t>
      </w:r>
    </w:p>
    <w:p>
      <w:pPr>
        <w:keepNext/>
        <w:spacing w:before="80" w:after="0"/>
        <w:jc w:val="center"/>
      </w:pPr>
      <w:r>
        <w:drawing>
          <wp:inline xmlns:a="http://schemas.openxmlformats.org/drawingml/2006/main" xmlns:pic="http://schemas.openxmlformats.org/drawingml/2006/picture">
            <wp:extent cx="5303520" cy="3457957"/>
            <wp:docPr id="7" name="Picture 7"/>
            <wp:cNvGraphicFramePr>
              <a:graphicFrameLocks noChangeAspect="1"/>
            </wp:cNvGraphicFramePr>
            <a:graphic>
              <a:graphicData uri="http://schemas.openxmlformats.org/drawingml/2006/picture">
                <pic:pic>
                  <pic:nvPicPr>
                    <pic:cNvPr id="0" name="问题3_积分变化曲线.png"/>
                    <pic:cNvPicPr/>
                  </pic:nvPicPr>
                  <pic:blipFill>
                    <a:blip r:embed="rId17"/>
                    <a:stretch>
                      <a:fillRect/>
                    </a:stretch>
                  </pic:blipFill>
                  <pic:spPr>
                    <a:xfrm>
                      <a:off x="0" y="0"/>
                      <a:ext cx="5303520" cy="3457957"/>
                    </a:xfrm>
                    <a:prstGeom prst="rect"/>
                  </pic:spPr>
                </pic:pic>
              </a:graphicData>
            </a:graphic>
          </wp:inline>
        </w:drawing>
      </w:r>
    </w:p>
    <w:p>
      <w:pPr>
        <w:pStyle w:val="Caption"/>
        <w:keepNext w:val="0"/>
        <w:spacing w:before="60" w:after="140"/>
        <w:jc w:val="center"/>
      </w:pPr>
      <w:r>
        <w:rPr>
          <w:rFonts w:ascii="Microsoft YaHei" w:hAnsi="Microsoft YaHei" w:eastAsia="Microsoft YaHei"/>
          <w:color w:val="666666"/>
          <w:sz w:val="18"/>
        </w:rPr>
        <w:t>图7  三位患者六个月痰湿积分变化</w:t>
      </w:r>
    </w:p>
    <w:p>
      <w:pPr>
        <w:keepLines w:val="0"/>
      </w:pPr>
      <w:r>
        <w:rPr>
          <w:rFonts w:ascii="Microsoft YaHei" w:hAnsi="Microsoft YaHei" w:eastAsia="Microsoft YaHei"/>
          <w:sz w:val="22"/>
        </w:rPr>
        <w:t>样本1活动总分38，只允许1级强度，因此主要依靠频率提高，最终由64分降至48.5分；样本2活动总分40，可用2级强度，在1240元成本下由58分降至37分；样本3活动总分63且年龄组1，可耐受3级强度，由59分降至33分，但成本相应提高至1674元。</w:t>
      </w:r>
    </w:p>
    <w:p>
      <w:pPr>
        <w:keepNext/>
        <w:spacing w:before="80" w:after="0"/>
        <w:jc w:val="center"/>
      </w:pPr>
      <w:r>
        <w:drawing>
          <wp:inline xmlns:a="http://schemas.openxmlformats.org/drawingml/2006/main" xmlns:pic="http://schemas.openxmlformats.org/drawingml/2006/picture">
            <wp:extent cx="5303520" cy="3460734"/>
            <wp:docPr id="8" name="Picture 8"/>
            <wp:cNvGraphicFramePr>
              <a:graphicFrameLocks noChangeAspect="1"/>
            </wp:cNvGraphicFramePr>
            <a:graphic>
              <a:graphicData uri="http://schemas.openxmlformats.org/drawingml/2006/picture">
                <pic:pic>
                  <pic:nvPicPr>
                    <pic:cNvPr id="0" name="问题3_成本效果对比.png"/>
                    <pic:cNvPicPr/>
                  </pic:nvPicPr>
                  <pic:blipFill>
                    <a:blip r:embed="rId18"/>
                    <a:stretch>
                      <a:fillRect/>
                    </a:stretch>
                  </pic:blipFill>
                  <pic:spPr>
                    <a:xfrm>
                      <a:off x="0" y="0"/>
                      <a:ext cx="5303520" cy="3460734"/>
                    </a:xfrm>
                    <a:prstGeom prst="rect"/>
                  </pic:spPr>
                </pic:pic>
              </a:graphicData>
            </a:graphic>
          </wp:inline>
        </w:drawing>
      </w:r>
    </w:p>
    <w:p>
      <w:pPr>
        <w:pStyle w:val="Caption"/>
        <w:keepNext w:val="0"/>
        <w:spacing w:before="60" w:after="140"/>
        <w:jc w:val="center"/>
      </w:pPr>
      <w:r>
        <w:rPr>
          <w:rFonts w:ascii="Microsoft YaHei" w:hAnsi="Microsoft YaHei" w:eastAsia="Microsoft YaHei"/>
          <w:color w:val="666666"/>
          <w:sz w:val="18"/>
        </w:rPr>
        <w:t>图8  三位患者推荐方案成本与效果对比</w:t>
      </w:r>
    </w:p>
    <w:p>
      <w:pPr>
        <w:pStyle w:val="Heading2"/>
      </w:pPr>
      <w:r>
        <w:t>6.5 患者特征—最优方案匹配规律</w:t>
      </w:r>
    </w:p>
    <w:tbl>
      <w:tblPr>
        <w:tblStyle w:val="TableGrid"/>
        <w:tblW w:type="dxa" w:w="9070"/>
        <w:jc w:val="left"/>
        <w:tblLayout w:type="fixed"/>
        <w:tblLook w:firstColumn="1" w:firstRow="1" w:lastColumn="0" w:lastRow="0" w:noHBand="0" w:noVBand="1" w:val="04A0"/>
        <w:tblInd w:w="120" w:type="dxa"/>
      </w:tblPr>
      <w:tblGrid>
        <w:gridCol w:w="1900"/>
        <w:gridCol w:w="950"/>
        <w:gridCol w:w="850"/>
        <w:gridCol w:w="1600"/>
        <w:gridCol w:w="1300"/>
        <w:gridCol w:w="1200"/>
        <w:gridCol w:w="1270"/>
      </w:tblGrid>
      <w:tr>
        <w:trPr>
          <w:tblHeader w:val="true"/>
          <w:cantSplit/>
        </w:trPr>
        <w:tc>
          <w:tcPr>
            <w:tcW w:type="dxa" w:w="19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初始分层</w:t>
            </w:r>
          </w:p>
        </w:tc>
        <w:tc>
          <w:tcPr>
            <w:tcW w:type="dxa" w:w="95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耐受上限</w:t>
            </w:r>
          </w:p>
        </w:tc>
        <w:tc>
          <w:tcPr>
            <w:tcW w:type="dxa" w:w="85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人数</w:t>
            </w:r>
          </w:p>
        </w:tc>
        <w:tc>
          <w:tcPr>
            <w:tcW w:type="dxa" w:w="16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典型首月方案</w:t>
            </w:r>
          </w:p>
        </w:tc>
        <w:tc>
          <w:tcPr>
            <w:tcW w:type="dxa" w:w="13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成本中位数</w:t>
            </w:r>
          </w:p>
        </w:tc>
        <w:tc>
          <w:tcPr>
            <w:tcW w:type="dxa" w:w="12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降分中位数</w:t>
            </w:r>
          </w:p>
        </w:tc>
        <w:tc>
          <w:tcPr>
            <w:tcW w:type="dxa" w:w="127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效果保留率</w:t>
            </w:r>
          </w:p>
        </w:tc>
      </w:tr>
      <w:tr>
        <w:trPr>
          <w:cantSplit/>
        </w:trPr>
        <w:tc>
          <w:tcPr>
            <w:tcW w:type="dxa" w:w="19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中度调理(59-61)</w:t>
            </w:r>
          </w:p>
        </w:tc>
        <w:tc>
          <w:tcPr>
            <w:tcW w:type="dxa" w:w="9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w:t>
            </w:r>
          </w:p>
        </w:tc>
        <w:tc>
          <w:tcPr>
            <w:tcW w:type="dxa" w:w="8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30</w:t>
            </w:r>
          </w:p>
        </w:tc>
        <w:tc>
          <w:tcPr>
            <w:tcW w:type="dxa" w:w="16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1级/10次</w:t>
            </w:r>
          </w:p>
        </w:tc>
        <w:tc>
          <w:tcPr>
            <w:tcW w:type="dxa" w:w="13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914</w:t>
            </w:r>
          </w:p>
        </w:tc>
        <w:tc>
          <w:tcPr>
            <w:tcW w:type="dxa" w:w="1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14.5</w:t>
            </w:r>
          </w:p>
        </w:tc>
        <w:tc>
          <w:tcPr>
            <w:tcW w:type="dxa" w:w="12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90.6%</w:t>
            </w:r>
          </w:p>
        </w:tc>
      </w:tr>
      <w:tr>
        <w:trPr>
          <w:cantSplit/>
        </w:trPr>
        <w:tc>
          <w:tcPr>
            <w:tcW w:type="dxa" w:w="19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基础调理(≤58)</w:t>
            </w:r>
          </w:p>
        </w:tc>
        <w:tc>
          <w:tcPr>
            <w:tcW w:type="dxa" w:w="9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w:t>
            </w:r>
          </w:p>
        </w:tc>
        <w:tc>
          <w:tcPr>
            <w:tcW w:type="dxa" w:w="8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29</w:t>
            </w:r>
          </w:p>
        </w:tc>
        <w:tc>
          <w:tcPr>
            <w:tcW w:type="dxa" w:w="16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1级/10次</w:t>
            </w:r>
          </w:p>
        </w:tc>
        <w:tc>
          <w:tcPr>
            <w:tcW w:type="dxa" w:w="13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852</w:t>
            </w:r>
          </w:p>
        </w:tc>
        <w:tc>
          <w:tcPr>
            <w:tcW w:type="dxa" w:w="1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13.5</w:t>
            </w:r>
          </w:p>
        </w:tc>
        <w:tc>
          <w:tcPr>
            <w:tcW w:type="dxa" w:w="12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90.3%</w:t>
            </w:r>
          </w:p>
        </w:tc>
      </w:tr>
      <w:tr>
        <w:trPr>
          <w:cantSplit/>
        </w:trPr>
        <w:tc>
          <w:tcPr>
            <w:tcW w:type="dxa" w:w="19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强化调理(≥62)</w:t>
            </w:r>
          </w:p>
        </w:tc>
        <w:tc>
          <w:tcPr>
            <w:tcW w:type="dxa" w:w="9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w:t>
            </w:r>
          </w:p>
        </w:tc>
        <w:tc>
          <w:tcPr>
            <w:tcW w:type="dxa" w:w="8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33</w:t>
            </w:r>
          </w:p>
        </w:tc>
        <w:tc>
          <w:tcPr>
            <w:tcW w:type="dxa" w:w="16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1级/10次</w:t>
            </w:r>
          </w:p>
        </w:tc>
        <w:tc>
          <w:tcPr>
            <w:tcW w:type="dxa" w:w="13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1002</w:t>
            </w:r>
          </w:p>
        </w:tc>
        <w:tc>
          <w:tcPr>
            <w:tcW w:type="dxa" w:w="1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15.0</w:t>
            </w:r>
          </w:p>
        </w:tc>
        <w:tc>
          <w:tcPr>
            <w:tcW w:type="dxa" w:w="12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90.9%</w:t>
            </w:r>
          </w:p>
        </w:tc>
      </w:tr>
      <w:tr>
        <w:trPr>
          <w:cantSplit/>
        </w:trPr>
        <w:tc>
          <w:tcPr>
            <w:tcW w:type="dxa" w:w="19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中度调理(59-61)</w:t>
            </w:r>
          </w:p>
        </w:tc>
        <w:tc>
          <w:tcPr>
            <w:tcW w:type="dxa" w:w="9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w:t>
            </w:r>
          </w:p>
        </w:tc>
        <w:tc>
          <w:tcPr>
            <w:tcW w:type="dxa" w:w="8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55</w:t>
            </w:r>
          </w:p>
        </w:tc>
        <w:tc>
          <w:tcPr>
            <w:tcW w:type="dxa" w:w="16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2级/9次</w:t>
            </w:r>
          </w:p>
        </w:tc>
        <w:tc>
          <w:tcPr>
            <w:tcW w:type="dxa" w:w="13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1258</w:t>
            </w:r>
          </w:p>
        </w:tc>
        <w:tc>
          <w:tcPr>
            <w:tcW w:type="dxa" w:w="1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21.5</w:t>
            </w:r>
          </w:p>
        </w:tc>
        <w:tc>
          <w:tcPr>
            <w:tcW w:type="dxa" w:w="12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91.5%</w:t>
            </w:r>
          </w:p>
        </w:tc>
      </w:tr>
      <w:tr>
        <w:trPr>
          <w:cantSplit/>
        </w:trPr>
        <w:tc>
          <w:tcPr>
            <w:tcW w:type="dxa" w:w="19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基础调理(≤58)</w:t>
            </w:r>
          </w:p>
        </w:tc>
        <w:tc>
          <w:tcPr>
            <w:tcW w:type="dxa" w:w="9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w:t>
            </w:r>
          </w:p>
        </w:tc>
        <w:tc>
          <w:tcPr>
            <w:tcW w:type="dxa" w:w="8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64</w:t>
            </w:r>
          </w:p>
        </w:tc>
        <w:tc>
          <w:tcPr>
            <w:tcW w:type="dxa" w:w="16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2级/10次</w:t>
            </w:r>
          </w:p>
        </w:tc>
        <w:tc>
          <w:tcPr>
            <w:tcW w:type="dxa" w:w="13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1220</w:t>
            </w:r>
          </w:p>
        </w:tc>
        <w:tc>
          <w:tcPr>
            <w:tcW w:type="dxa" w:w="1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20.5</w:t>
            </w:r>
          </w:p>
        </w:tc>
        <w:tc>
          <w:tcPr>
            <w:tcW w:type="dxa" w:w="12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91.1%</w:t>
            </w:r>
          </w:p>
        </w:tc>
      </w:tr>
      <w:tr>
        <w:trPr>
          <w:cantSplit/>
        </w:trPr>
        <w:tc>
          <w:tcPr>
            <w:tcW w:type="dxa" w:w="19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强化调理(≥62)</w:t>
            </w:r>
          </w:p>
        </w:tc>
        <w:tc>
          <w:tcPr>
            <w:tcW w:type="dxa" w:w="9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w:t>
            </w:r>
          </w:p>
        </w:tc>
        <w:tc>
          <w:tcPr>
            <w:tcW w:type="dxa" w:w="8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52</w:t>
            </w:r>
          </w:p>
        </w:tc>
        <w:tc>
          <w:tcPr>
            <w:tcW w:type="dxa" w:w="16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2级/10次</w:t>
            </w:r>
          </w:p>
        </w:tc>
        <w:tc>
          <w:tcPr>
            <w:tcW w:type="dxa" w:w="13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1320</w:t>
            </w:r>
          </w:p>
        </w:tc>
        <w:tc>
          <w:tcPr>
            <w:tcW w:type="dxa" w:w="1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22.5</w:t>
            </w:r>
          </w:p>
        </w:tc>
        <w:tc>
          <w:tcPr>
            <w:tcW w:type="dxa" w:w="12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90.0%</w:t>
            </w:r>
          </w:p>
        </w:tc>
      </w:tr>
      <w:tr>
        <w:trPr>
          <w:cantSplit/>
        </w:trPr>
        <w:tc>
          <w:tcPr>
            <w:tcW w:type="dxa" w:w="19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中度调理(59-61)</w:t>
            </w:r>
          </w:p>
        </w:tc>
        <w:tc>
          <w:tcPr>
            <w:tcW w:type="dxa" w:w="9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w:t>
            </w:r>
          </w:p>
        </w:tc>
        <w:tc>
          <w:tcPr>
            <w:tcW w:type="dxa" w:w="8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w:t>
            </w:r>
          </w:p>
        </w:tc>
        <w:tc>
          <w:tcPr>
            <w:tcW w:type="dxa" w:w="16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3级/10次</w:t>
            </w:r>
          </w:p>
        </w:tc>
        <w:tc>
          <w:tcPr>
            <w:tcW w:type="dxa" w:w="13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1702</w:t>
            </w:r>
          </w:p>
        </w:tc>
        <w:tc>
          <w:tcPr>
            <w:tcW w:type="dxa" w:w="1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27.0</w:t>
            </w:r>
          </w:p>
        </w:tc>
        <w:tc>
          <w:tcPr>
            <w:tcW w:type="dxa" w:w="12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91.5%</w:t>
            </w:r>
          </w:p>
        </w:tc>
      </w:tr>
      <w:tr>
        <w:trPr>
          <w:cantSplit/>
        </w:trPr>
        <w:tc>
          <w:tcPr>
            <w:tcW w:type="dxa" w:w="19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基础调理(≤58)</w:t>
            </w:r>
          </w:p>
        </w:tc>
        <w:tc>
          <w:tcPr>
            <w:tcW w:type="dxa" w:w="9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w:t>
            </w:r>
          </w:p>
        </w:tc>
        <w:tc>
          <w:tcPr>
            <w:tcW w:type="dxa" w:w="8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7</w:t>
            </w:r>
          </w:p>
        </w:tc>
        <w:tc>
          <w:tcPr>
            <w:tcW w:type="dxa" w:w="16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3级/10次</w:t>
            </w:r>
          </w:p>
        </w:tc>
        <w:tc>
          <w:tcPr>
            <w:tcW w:type="dxa" w:w="13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1644</w:t>
            </w:r>
          </w:p>
        </w:tc>
        <w:tc>
          <w:tcPr>
            <w:tcW w:type="dxa" w:w="1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25.5</w:t>
            </w:r>
          </w:p>
        </w:tc>
        <w:tc>
          <w:tcPr>
            <w:tcW w:type="dxa" w:w="12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91.1%</w:t>
            </w:r>
          </w:p>
        </w:tc>
      </w:tr>
      <w:tr>
        <w:trPr>
          <w:cantSplit/>
        </w:trPr>
        <w:tc>
          <w:tcPr>
            <w:tcW w:type="dxa" w:w="19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6"/>
              </w:rPr>
              <w:t>强化调理(≥62)</w:t>
            </w:r>
          </w:p>
        </w:tc>
        <w:tc>
          <w:tcPr>
            <w:tcW w:type="dxa" w:w="9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w:t>
            </w:r>
          </w:p>
        </w:tc>
        <w:tc>
          <w:tcPr>
            <w:tcW w:type="dxa" w:w="8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5</w:t>
            </w:r>
          </w:p>
        </w:tc>
        <w:tc>
          <w:tcPr>
            <w:tcW w:type="dxa" w:w="16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2级/10次</w:t>
            </w:r>
          </w:p>
        </w:tc>
        <w:tc>
          <w:tcPr>
            <w:tcW w:type="dxa" w:w="13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1688</w:t>
            </w:r>
          </w:p>
        </w:tc>
        <w:tc>
          <w:tcPr>
            <w:tcW w:type="dxa" w:w="1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27.0</w:t>
            </w:r>
          </w:p>
        </w:tc>
        <w:tc>
          <w:tcPr>
            <w:tcW w:type="dxa" w:w="12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91.5%</w:t>
            </w:r>
          </w:p>
        </w:tc>
      </w:tr>
    </w:tbl>
    <w:p>
      <w:pPr>
        <w:spacing w:after="40"/>
      </w:pPr>
    </w:p>
    <w:p>
      <w:pPr>
        <w:spacing w:before="40" w:after="120"/>
      </w:pPr>
      <w:r>
        <w:rPr>
          <w:rFonts w:ascii="Microsoft YaHei" w:hAnsi="Microsoft YaHei" w:eastAsia="Microsoft YaHei"/>
          <w:i/>
          <w:color w:val="666666"/>
          <w:sz w:val="16"/>
        </w:rPr>
        <w:t>表7  全部278名痰湿质患者的分层匹配规律。典型首月方案取组内众数。</w:t>
      </w:r>
    </w:p>
    <w:p>
      <w:pPr>
        <w:keepLines w:val="0"/>
      </w:pPr>
      <w:r>
        <w:rPr>
          <w:rFonts w:ascii="Microsoft YaHei" w:hAnsi="Microsoft YaHei" w:eastAsia="Microsoft YaHei"/>
          <w:sz w:val="22"/>
        </w:rPr>
        <w:t>匹配规律表明，最大允许强度是首月活动方案和成本效果的主要分层变量：耐受上限1级者典型方案为1级、每周10次；上限2级者多采用2级、每周9–10次；上限3级者优先使用高强度，但强化调理组可能为节约成本在部分月份回落至2级。初始痰湿分层主要影响调理成本，而耐受上限主要决定可实现的降幅。</w:t>
      </w:r>
    </w:p>
    <w:p>
      <w:pPr>
        <w:pStyle w:val="Heading1"/>
      </w:pPr>
      <w:r>
        <w:t>7 敏感性与一致性检验</w:t>
      </w:r>
    </w:p>
    <w:p>
      <w:pPr>
        <w:pStyle w:val="Heading2"/>
      </w:pPr>
      <w:r>
        <w:t>7.1 问题二规则敏感性</w:t>
      </w:r>
    </w:p>
    <w:p>
      <w:pPr>
        <w:keepLines w:val="0"/>
      </w:pPr>
      <w:r>
        <w:rPr>
          <w:rFonts w:ascii="Microsoft YaHei" w:hAnsi="Microsoft YaHei" w:eastAsia="Microsoft YaHei"/>
          <w:sz w:val="22"/>
        </w:rPr>
        <w:t>在独立测试集上分别将痰湿高阈值、痰湿极高阈值和低活动阈值上下扰动5分，考察规则分层人数与当前血脂异常率的变化。该检验用于判断管理规则对题面示例阈值的敏感程度，不把随机森林概率重新转化为分层切点。</w:t>
      </w:r>
    </w:p>
    <w:tbl>
      <w:tblPr>
        <w:tblStyle w:val="TableGrid"/>
        <w:tblW w:type="dxa" w:w="9070"/>
        <w:jc w:val="left"/>
        <w:tblLayout w:type="fixed"/>
        <w:tblLook w:firstColumn="1" w:firstRow="1" w:lastColumn="0" w:lastRow="0" w:noHBand="0" w:noVBand="1" w:val="04A0"/>
        <w:tblInd w:w="120" w:type="dxa"/>
      </w:tblPr>
      <w:tblGrid>
        <w:gridCol w:w="1700"/>
        <w:gridCol w:w="1900"/>
        <w:gridCol w:w="2400"/>
        <w:gridCol w:w="3070"/>
      </w:tblGrid>
      <w:tr>
        <w:trPr>
          <w:tblHeader w:val="true"/>
          <w:cantSplit/>
        </w:trPr>
        <w:tc>
          <w:tcPr>
            <w:tcW w:type="dxa" w:w="17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8"/>
              </w:rPr>
              <w:t>管理等级</w:t>
            </w:r>
          </w:p>
        </w:tc>
        <w:tc>
          <w:tcPr>
            <w:tcW w:type="dxa" w:w="19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8"/>
              </w:rPr>
              <w:t>人数范围</w:t>
            </w:r>
          </w:p>
        </w:tc>
        <w:tc>
          <w:tcPr>
            <w:tcW w:type="dxa" w:w="24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8"/>
              </w:rPr>
              <w:t>占比范围</w:t>
            </w:r>
          </w:p>
        </w:tc>
        <w:tc>
          <w:tcPr>
            <w:tcW w:type="dxa" w:w="307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8"/>
              </w:rPr>
              <w:t>当前异常率范围</w:t>
            </w:r>
          </w:p>
        </w:tc>
      </w:tr>
      <w:tr>
        <w:trPr>
          <w:cantSplit/>
        </w:trPr>
        <w:tc>
          <w:tcPr>
            <w:tcW w:type="dxa" w:w="17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低危</w:t>
            </w:r>
          </w:p>
        </w:tc>
        <w:tc>
          <w:tcPr>
            <w:tcW w:type="dxa" w:w="1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16–25</w:t>
            </w:r>
          </w:p>
        </w:tc>
        <w:tc>
          <w:tcPr>
            <w:tcW w:type="dxa" w:w="24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5.3%–8.3%</w:t>
            </w:r>
          </w:p>
        </w:tc>
        <w:tc>
          <w:tcPr>
            <w:tcW w:type="dxa" w:w="30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0.0%–0.0%</w:t>
            </w:r>
          </w:p>
        </w:tc>
      </w:tr>
      <w:tr>
        <w:trPr>
          <w:cantSplit/>
        </w:trPr>
        <w:tc>
          <w:tcPr>
            <w:tcW w:type="dxa" w:w="17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中危</w:t>
            </w:r>
          </w:p>
        </w:tc>
        <w:tc>
          <w:tcPr>
            <w:tcW w:type="dxa" w:w="1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218–272</w:t>
            </w:r>
          </w:p>
        </w:tc>
        <w:tc>
          <w:tcPr>
            <w:tcW w:type="dxa" w:w="24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72.7%–90.7%</w:t>
            </w:r>
          </w:p>
        </w:tc>
        <w:tc>
          <w:tcPr>
            <w:tcW w:type="dxa" w:w="30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79.4%–86.4%</w:t>
            </w:r>
          </w:p>
        </w:tc>
      </w:tr>
      <w:tr>
        <w:trPr>
          <w:cantSplit/>
        </w:trPr>
        <w:tc>
          <w:tcPr>
            <w:tcW w:type="dxa" w:w="17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高危</w:t>
            </w:r>
          </w:p>
        </w:tc>
        <w:tc>
          <w:tcPr>
            <w:tcW w:type="dxa" w:w="1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3–65</w:t>
            </w:r>
          </w:p>
        </w:tc>
        <w:tc>
          <w:tcPr>
            <w:tcW w:type="dxa" w:w="24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1.0%–21.7%</w:t>
            </w:r>
          </w:p>
        </w:tc>
        <w:tc>
          <w:tcPr>
            <w:tcW w:type="dxa" w:w="30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8"/>
              </w:rPr>
              <w:t>100.0%–100.0%</w:t>
            </w:r>
          </w:p>
        </w:tc>
      </w:tr>
    </w:tbl>
    <w:p>
      <w:pPr>
        <w:spacing w:after="40"/>
      </w:pPr>
    </w:p>
    <w:p>
      <w:pPr>
        <w:spacing w:before="40" w:after="120"/>
      </w:pPr>
      <w:r>
        <w:rPr>
          <w:rFonts w:ascii="Microsoft YaHei" w:hAnsi="Microsoft YaHei" w:eastAsia="Microsoft YaHei"/>
          <w:i/>
          <w:color w:val="666666"/>
          <w:sz w:val="16"/>
        </w:rPr>
        <w:t>表8  题面特征阈值±5分的独立测试集敏感性结果。</w:t>
      </w:r>
    </w:p>
    <w:p>
      <w:pPr>
        <w:keepLines w:val="0"/>
      </w:pPr>
      <w:r>
        <w:rPr>
          <w:rFonts w:ascii="Microsoft YaHei" w:hAnsi="Microsoft YaHei" w:eastAsia="Microsoft YaHei"/>
          <w:sz w:val="22"/>
        </w:rPr>
        <w:t>痰湿高阈值对高危人数最敏感：由60分降至55分时高危增至65人，升至65分时降为3人；但各情景高危组当前异常率均为100%。痰湿极高阈值在本测试集内不改变分层，低活动阈值仅小幅改变低、中危人数。因此三级结果应称为管理优先级，外部应用时需结合临床共识校准阈值。</w:t>
      </w:r>
    </w:p>
    <w:p>
      <w:pPr>
        <w:pStyle w:val="Heading2"/>
      </w:pPr>
      <w:r>
        <w:t>7.2 问题三参数敏感性</w:t>
      </w:r>
    </w:p>
    <w:tbl>
      <w:tblPr>
        <w:tblStyle w:val="TableGrid"/>
        <w:tblW w:type="dxa" w:w="9070"/>
        <w:jc w:val="left"/>
        <w:tblLayout w:type="fixed"/>
        <w:tblLook w:firstColumn="1" w:firstRow="1" w:lastColumn="0" w:lastRow="0" w:noHBand="0" w:noVBand="1" w:val="04A0"/>
        <w:tblInd w:w="120" w:type="dxa"/>
      </w:tblPr>
      <w:tblGrid>
        <w:gridCol w:w="1100"/>
        <w:gridCol w:w="3000"/>
        <w:gridCol w:w="2300"/>
        <w:gridCol w:w="2670"/>
      </w:tblGrid>
      <w:tr>
        <w:trPr>
          <w:tblHeader w:val="true"/>
          <w:cantSplit/>
        </w:trPr>
        <w:tc>
          <w:tcPr>
            <w:tcW w:type="dxa" w:w="11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7"/>
              </w:rPr>
              <w:t>样本ID</w:t>
            </w:r>
          </w:p>
        </w:tc>
        <w:tc>
          <w:tcPr>
            <w:tcW w:type="dxa" w:w="30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7"/>
              </w:rPr>
              <w:t>敏感性维度</w:t>
            </w:r>
          </w:p>
        </w:tc>
        <w:tc>
          <w:tcPr>
            <w:tcW w:type="dxa" w:w="23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7"/>
              </w:rPr>
              <w:t>最终积分范围</w:t>
            </w:r>
          </w:p>
        </w:tc>
        <w:tc>
          <w:tcPr>
            <w:tcW w:type="dxa" w:w="267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7"/>
              </w:rPr>
              <w:t>总成本范围/元</w:t>
            </w:r>
          </w:p>
        </w:tc>
      </w:tr>
      <w:tr>
        <w:trPr>
          <w:cantSplit/>
        </w:trPr>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1</w:t>
            </w:r>
          </w:p>
        </w:tc>
        <w:tc>
          <w:tcPr>
            <w:tcW w:type="dxa" w:w="30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7"/>
              </w:rPr>
              <w:t>活动效果系数</w:t>
            </w:r>
          </w:p>
        </w:tc>
        <w:tc>
          <w:tcPr>
            <w:tcW w:type="dxa" w:w="23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46.0–51.0</w:t>
            </w:r>
          </w:p>
        </w:tc>
        <w:tc>
          <w:tcPr>
            <w:tcW w:type="dxa" w:w="26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1002–1102</w:t>
            </w:r>
          </w:p>
        </w:tc>
      </w:tr>
      <w:tr>
        <w:trPr>
          <w:cantSplit/>
        </w:trPr>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1</w:t>
            </w:r>
          </w:p>
        </w:tc>
        <w:tc>
          <w:tcPr>
            <w:tcW w:type="dxa" w:w="30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7"/>
              </w:rPr>
              <w:t>积分步长</w:t>
            </w:r>
          </w:p>
        </w:tc>
        <w:tc>
          <w:tcPr>
            <w:tcW w:type="dxa" w:w="23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48.0–48.5</w:t>
            </w:r>
          </w:p>
        </w:tc>
        <w:tc>
          <w:tcPr>
            <w:tcW w:type="dxa" w:w="26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990–1014</w:t>
            </w:r>
          </w:p>
        </w:tc>
      </w:tr>
      <w:tr>
        <w:trPr>
          <w:cantSplit/>
        </w:trPr>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1</w:t>
            </w:r>
          </w:p>
        </w:tc>
        <w:tc>
          <w:tcPr>
            <w:tcW w:type="dxa" w:w="30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7"/>
              </w:rPr>
              <w:t>调理额外月降幅</w:t>
            </w:r>
          </w:p>
        </w:tc>
        <w:tc>
          <w:tcPr>
            <w:tcW w:type="dxa" w:w="23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43.5–48.5</w:t>
            </w:r>
          </w:p>
        </w:tc>
        <w:tc>
          <w:tcPr>
            <w:tcW w:type="dxa" w:w="26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942–1014</w:t>
            </w:r>
          </w:p>
        </w:tc>
      </w:tr>
      <w:tr>
        <w:trPr>
          <w:cantSplit/>
        </w:trPr>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1</w:t>
            </w:r>
          </w:p>
        </w:tc>
        <w:tc>
          <w:tcPr>
            <w:tcW w:type="dxa" w:w="30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7"/>
              </w:rPr>
              <w:t>预算上限</w:t>
            </w:r>
          </w:p>
        </w:tc>
        <w:tc>
          <w:tcPr>
            <w:tcW w:type="dxa" w:w="23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48.5–48.5</w:t>
            </w:r>
          </w:p>
        </w:tc>
        <w:tc>
          <w:tcPr>
            <w:tcW w:type="dxa" w:w="26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1014–1014</w:t>
            </w:r>
          </w:p>
        </w:tc>
      </w:tr>
      <w:tr>
        <w:trPr>
          <w:cantSplit/>
        </w:trPr>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2</w:t>
            </w:r>
          </w:p>
        </w:tc>
        <w:tc>
          <w:tcPr>
            <w:tcW w:type="dxa" w:w="30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7"/>
              </w:rPr>
              <w:t>活动效果系数</w:t>
            </w:r>
          </w:p>
        </w:tc>
        <w:tc>
          <w:tcPr>
            <w:tcW w:type="dxa" w:w="23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34.5–40.5</w:t>
            </w:r>
          </w:p>
        </w:tc>
        <w:tc>
          <w:tcPr>
            <w:tcW w:type="dxa" w:w="26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1176–1240</w:t>
            </w:r>
          </w:p>
        </w:tc>
      </w:tr>
      <w:tr>
        <w:trPr>
          <w:cantSplit/>
        </w:trPr>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2</w:t>
            </w:r>
          </w:p>
        </w:tc>
        <w:tc>
          <w:tcPr>
            <w:tcW w:type="dxa" w:w="30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7"/>
              </w:rPr>
              <w:t>积分步长</w:t>
            </w:r>
          </w:p>
        </w:tc>
        <w:tc>
          <w:tcPr>
            <w:tcW w:type="dxa" w:w="23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37.0–37.2</w:t>
            </w:r>
          </w:p>
        </w:tc>
        <w:tc>
          <w:tcPr>
            <w:tcW w:type="dxa" w:w="26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1148–1240</w:t>
            </w:r>
          </w:p>
        </w:tc>
      </w:tr>
      <w:tr>
        <w:trPr>
          <w:cantSplit/>
        </w:trPr>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2</w:t>
            </w:r>
          </w:p>
        </w:tc>
        <w:tc>
          <w:tcPr>
            <w:tcW w:type="dxa" w:w="30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7"/>
              </w:rPr>
              <w:t>调理额外月降幅</w:t>
            </w:r>
          </w:p>
        </w:tc>
        <w:tc>
          <w:tcPr>
            <w:tcW w:type="dxa" w:w="23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34.0–37.0</w:t>
            </w:r>
          </w:p>
        </w:tc>
        <w:tc>
          <w:tcPr>
            <w:tcW w:type="dxa" w:w="26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1120–1240</w:t>
            </w:r>
          </w:p>
        </w:tc>
      </w:tr>
      <w:tr>
        <w:trPr>
          <w:cantSplit/>
        </w:trPr>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2</w:t>
            </w:r>
          </w:p>
        </w:tc>
        <w:tc>
          <w:tcPr>
            <w:tcW w:type="dxa" w:w="30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7"/>
              </w:rPr>
              <w:t>预算上限</w:t>
            </w:r>
          </w:p>
        </w:tc>
        <w:tc>
          <w:tcPr>
            <w:tcW w:type="dxa" w:w="23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37.0–37.0</w:t>
            </w:r>
          </w:p>
        </w:tc>
        <w:tc>
          <w:tcPr>
            <w:tcW w:type="dxa" w:w="26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1240–1240</w:t>
            </w:r>
          </w:p>
        </w:tc>
      </w:tr>
      <w:tr>
        <w:trPr>
          <w:cantSplit/>
        </w:trPr>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3</w:t>
            </w:r>
          </w:p>
        </w:tc>
        <w:tc>
          <w:tcPr>
            <w:tcW w:type="dxa" w:w="30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7"/>
              </w:rPr>
              <w:t>活动效果系数</w:t>
            </w:r>
          </w:p>
        </w:tc>
        <w:tc>
          <w:tcPr>
            <w:tcW w:type="dxa" w:w="23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29.5–36.5</w:t>
            </w:r>
          </w:p>
        </w:tc>
        <w:tc>
          <w:tcPr>
            <w:tcW w:type="dxa" w:w="26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1670–1738</w:t>
            </w:r>
          </w:p>
        </w:tc>
      </w:tr>
      <w:tr>
        <w:trPr>
          <w:cantSplit/>
        </w:trPr>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3</w:t>
            </w:r>
          </w:p>
        </w:tc>
        <w:tc>
          <w:tcPr>
            <w:tcW w:type="dxa" w:w="30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7"/>
              </w:rPr>
              <w:t>积分步长</w:t>
            </w:r>
          </w:p>
        </w:tc>
        <w:tc>
          <w:tcPr>
            <w:tcW w:type="dxa" w:w="23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32.0–33.2</w:t>
            </w:r>
          </w:p>
        </w:tc>
        <w:tc>
          <w:tcPr>
            <w:tcW w:type="dxa" w:w="26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1670–1674</w:t>
            </w:r>
          </w:p>
        </w:tc>
      </w:tr>
      <w:tr>
        <w:trPr>
          <w:cantSplit/>
        </w:trPr>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3</w:t>
            </w:r>
          </w:p>
        </w:tc>
        <w:tc>
          <w:tcPr>
            <w:tcW w:type="dxa" w:w="30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7"/>
              </w:rPr>
              <w:t>调理额外月降幅</w:t>
            </w:r>
          </w:p>
        </w:tc>
        <w:tc>
          <w:tcPr>
            <w:tcW w:type="dxa" w:w="23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30.0–33.0</w:t>
            </w:r>
          </w:p>
        </w:tc>
        <w:tc>
          <w:tcPr>
            <w:tcW w:type="dxa" w:w="26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1570–1674</w:t>
            </w:r>
          </w:p>
        </w:tc>
      </w:tr>
      <w:tr>
        <w:trPr>
          <w:cantSplit/>
        </w:trPr>
        <w:tc>
          <w:tcPr>
            <w:tcW w:type="dxa" w:w="1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3</w:t>
            </w:r>
          </w:p>
        </w:tc>
        <w:tc>
          <w:tcPr>
            <w:tcW w:type="dxa" w:w="30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sz w:val="17"/>
              </w:rPr>
              <w:t>预算上限</w:t>
            </w:r>
          </w:p>
        </w:tc>
        <w:tc>
          <w:tcPr>
            <w:tcW w:type="dxa" w:w="23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33.0–36.5</w:t>
            </w:r>
          </w:p>
        </w:tc>
        <w:tc>
          <w:tcPr>
            <w:tcW w:type="dxa" w:w="267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7"/>
              </w:rPr>
              <w:t>1366–1674</w:t>
            </w:r>
          </w:p>
        </w:tc>
      </w:tr>
    </w:tbl>
    <w:p>
      <w:pPr>
        <w:spacing w:after="40"/>
      </w:pPr>
    </w:p>
    <w:p>
      <w:pPr>
        <w:spacing w:before="40" w:after="120"/>
      </w:pPr>
      <w:r>
        <w:rPr>
          <w:rFonts w:ascii="Microsoft YaHei" w:hAnsi="Microsoft YaHei" w:eastAsia="Microsoft YaHei"/>
          <w:i/>
          <w:color w:val="666666"/>
          <w:sz w:val="16"/>
        </w:rPr>
        <w:t>表9  一因素敏感性汇总：积分步长、活动效果系数、预算上限和调理额外月降幅分别扰动。</w:t>
      </w:r>
    </w:p>
    <w:p>
      <w:pPr>
        <w:keepLines w:val="0"/>
      </w:pPr>
      <w:r>
        <w:rPr>
          <w:rFonts w:ascii="Microsoft YaHei" w:hAnsi="Microsoft YaHei" w:eastAsia="Microsoft YaHei"/>
          <w:sz w:val="22"/>
        </w:rPr>
        <w:t>积分步长从1.0缩小到0.25主要影响舍入口径，不改变耐受上限和总体方案方向；活动效果系数对最终积分最敏感；预算变化会改变可达最大效果，但ε-约束能避免在效果增益很小的情况下机械耗尽预算；若假设调理具有额外月降幅，最终积分会进一步下降，但该参数缺乏题面数据支撑，只能作为情景分析。</w:t>
      </w:r>
    </w:p>
    <w:p>
      <w:pPr>
        <w:pStyle w:val="Heading2"/>
      </w:pPr>
      <w:r>
        <w:t>7.3 约束与复现性</w:t>
      </w:r>
    </w:p>
    <w:p>
      <w:pPr>
        <w:pStyle w:val="ListBullet"/>
      </w:pPr>
      <w:r>
        <w:rPr>
          <w:rFonts w:ascii="Microsoft YaHei" w:hAnsi="Microsoft YaHei" w:eastAsia="Microsoft YaHei"/>
          <w:sz w:val="21"/>
        </w:rPr>
        <w:t>1000例数据均由原始附件直接读取，样本ID唯一、建模字段无缺失。</w:t>
      </w:r>
    </w:p>
    <w:p>
      <w:pPr>
        <w:pStyle w:val="ListBullet"/>
      </w:pPr>
      <w:r>
        <w:rPr>
          <w:rFonts w:ascii="Microsoft YaHei" w:hAnsi="Microsoft YaHei" w:eastAsia="Microsoft YaHei"/>
          <w:sz w:val="21"/>
        </w:rPr>
        <w:t>问题一高血脂关联模型和问题二非血脂模型均不含TC、TG、LDL-C、HDL-C及其异常派生变量；痰湿端允许无指标入选。</w:t>
      </w:r>
    </w:p>
    <w:p>
      <w:pPr>
        <w:pStyle w:val="ListBullet"/>
      </w:pPr>
      <w:r>
        <w:rPr>
          <w:rFonts w:ascii="Microsoft YaHei" w:hAnsi="Microsoft YaHei" w:eastAsia="Microsoft YaHei"/>
          <w:sz w:val="21"/>
        </w:rPr>
        <w:t>问题一分类体质模型明确以平和质为参照，报告整体似然比检验、OR、95%CI、P值与FDR。</w:t>
      </w:r>
    </w:p>
    <w:p>
      <w:pPr>
        <w:pStyle w:val="ListBullet"/>
      </w:pPr>
      <w:r>
        <w:rPr>
          <w:rFonts w:ascii="Microsoft YaHei" w:hAnsi="Microsoft YaHei" w:eastAsia="Microsoft YaHei"/>
          <w:sz w:val="21"/>
        </w:rPr>
        <w:t>问题二模型训练与校准均与测试集隔离；最终管理等级由预先给定的特征规则生成，每人恰好一个等级且触发原因可回溯。</w:t>
      </w:r>
    </w:p>
    <w:p>
      <w:pPr>
        <w:pStyle w:val="ListBullet"/>
      </w:pPr>
      <w:r>
        <w:rPr>
          <w:rFonts w:ascii="Microsoft YaHei" w:hAnsi="Microsoft YaHei" w:eastAsia="Microsoft YaHei"/>
          <w:sz w:val="21"/>
        </w:rPr>
        <w:t>全部278名痰湿质患者的年龄、活动评分、强度、频率、月份和预算约束逐条回代通过。</w:t>
      </w:r>
    </w:p>
    <w:p>
      <w:pPr>
        <w:pStyle w:val="ListBullet"/>
      </w:pPr>
      <w:r>
        <w:rPr>
          <w:rFonts w:ascii="Microsoft YaHei" w:hAnsi="Microsoft YaHei" w:eastAsia="Microsoft YaHei"/>
          <w:sz w:val="21"/>
        </w:rPr>
        <w:t>样本1、2、3均按附件真实ID读取，不再使用手工构造参数。</w:t>
      </w:r>
    </w:p>
    <w:p>
      <w:pPr>
        <w:pStyle w:val="ListBullet"/>
      </w:pPr>
      <w:r>
        <w:rPr>
          <w:rFonts w:ascii="Microsoft YaHei" w:hAnsi="Microsoft YaHei" w:eastAsia="Microsoft YaHei"/>
          <w:sz w:val="21"/>
        </w:rPr>
        <w:t>所有关键数值保存为CSV/JSON，数据图同时保存PNG与PDF，可从代码完整复现。</w:t>
      </w:r>
    </w:p>
    <w:p>
      <w:pPr>
        <w:pStyle w:val="Heading1"/>
      </w:pPr>
      <w:r>
        <w:t>8 模型评价与结论</w:t>
      </w:r>
    </w:p>
    <w:p>
      <w:pPr>
        <w:pStyle w:val="Heading2"/>
      </w:pPr>
      <w:r>
        <w:t>8.1 模型优点</w:t>
      </w:r>
    </w:p>
    <w:p>
      <w:pPr>
        <w:pStyle w:val="ListBullet"/>
      </w:pPr>
      <w:r>
        <w:rPr>
          <w:rFonts w:ascii="Microsoft YaHei" w:hAnsi="Microsoft YaHei" w:eastAsia="Microsoft YaHei"/>
          <w:sz w:val="21"/>
        </w:rPr>
        <w:t>逻辑闭环：从分终点证据审查、规则管理分层到个体化优化，三个问题之间具有明确依赖关系。</w:t>
      </w:r>
    </w:p>
    <w:p>
      <w:pPr>
        <w:pStyle w:val="ListBullet"/>
      </w:pPr>
      <w:r>
        <w:rPr>
          <w:rFonts w:ascii="Microsoft YaHei" w:hAnsi="Microsoft YaHei" w:eastAsia="Microsoft YaHei"/>
          <w:sz w:val="21"/>
        </w:rPr>
        <w:t>防止信息泄漏：将四项诊断血脂与非血脂关联筛查分离，痰湿端重要性只在验证折计算。</w:t>
      </w:r>
    </w:p>
    <w:p>
      <w:pPr>
        <w:pStyle w:val="ListBullet"/>
      </w:pPr>
      <w:r>
        <w:rPr>
          <w:rFonts w:ascii="Microsoft YaHei" w:hAnsi="Microsoft YaHei" w:eastAsia="Microsoft YaHei"/>
          <w:sz w:val="21"/>
        </w:rPr>
        <w:t>统计表达完整：体质贡献以平和质为分类参照，同时报告整体检验、OR、95%CI、P值和FDR，不以排序替代显著性。</w:t>
      </w:r>
    </w:p>
    <w:p>
      <w:pPr>
        <w:pStyle w:val="ListBullet"/>
      </w:pPr>
      <w:r>
        <w:rPr>
          <w:rFonts w:ascii="Microsoft YaHei" w:hAnsi="Microsoft YaHei" w:eastAsia="Microsoft YaHei"/>
          <w:sz w:val="21"/>
        </w:rPr>
        <w:t>优化目标可解释：ε-约束直接表达“保留90%最大效果后成本最低”，比无量纲不明的加权和更易说明。</w:t>
      </w:r>
    </w:p>
    <w:p>
      <w:pPr>
        <w:pStyle w:val="ListBullet"/>
      </w:pPr>
      <w:r>
        <w:rPr>
          <w:rFonts w:ascii="Microsoft YaHei" w:hAnsi="Microsoft YaHei" w:eastAsia="Microsoft YaHei"/>
          <w:sz w:val="21"/>
        </w:rPr>
        <w:t>可复现性强：输出患者级风险、全部痰湿质推荐、逐月方案、Pareto、敏感性与约束检查。</w:t>
      </w:r>
    </w:p>
    <w:p>
      <w:pPr>
        <w:pStyle w:val="Heading2"/>
      </w:pPr>
      <w:r>
        <w:t>8.2 模型局限</w:t>
      </w:r>
    </w:p>
    <w:p>
      <w:pPr>
        <w:pStyle w:val="ListBullet"/>
      </w:pPr>
      <w:r>
        <w:rPr>
          <w:rFonts w:ascii="Microsoft YaHei" w:hAnsi="Microsoft YaHei" w:eastAsia="Microsoft YaHei"/>
          <w:sz w:val="21"/>
        </w:rPr>
        <w:t>附件为横截面样本，非血脂模型刻画的是与当前血脂异常的关联筛查分数，而非真实未来发病概率。</w:t>
      </w:r>
    </w:p>
    <w:p>
      <w:pPr>
        <w:pStyle w:val="ListBullet"/>
      </w:pPr>
      <w:r>
        <w:rPr>
          <w:rFonts w:ascii="Microsoft YaHei" w:hAnsi="Microsoft YaHei" w:eastAsia="Microsoft YaHei"/>
          <w:sz w:val="21"/>
        </w:rPr>
        <w:t>最终等级包含当前诊断状态，其组间异常率不能视为独立预测验证；三级规则目前只能解释为管理优先级。</w:t>
      </w:r>
    </w:p>
    <w:p>
      <w:pPr>
        <w:pStyle w:val="ListBullet"/>
      </w:pPr>
      <w:r>
        <w:rPr>
          <w:rFonts w:ascii="Microsoft YaHei" w:hAnsi="Microsoft YaHei" w:eastAsia="Microsoft YaHei"/>
          <w:sz w:val="21"/>
        </w:rPr>
        <w:t>九体质调整OR的置信区间均需谨慎解释，不能据此认定体质因果效应。</w:t>
      </w:r>
    </w:p>
    <w:p>
      <w:pPr>
        <w:pStyle w:val="ListBullet"/>
      </w:pPr>
      <w:r>
        <w:rPr>
          <w:rFonts w:ascii="Microsoft YaHei" w:hAnsi="Microsoft YaHei" w:eastAsia="Microsoft YaHei"/>
          <w:sz w:val="21"/>
        </w:rPr>
        <w:t>题面未给中医调理的独立疗效参数，基准模型无法优化不同调理方式的真实疗效差异。</w:t>
      </w:r>
    </w:p>
    <w:p>
      <w:pPr>
        <w:pStyle w:val="ListBullet"/>
      </w:pPr>
      <w:r>
        <w:rPr>
          <w:rFonts w:ascii="Microsoft YaHei" w:hAnsi="Microsoft YaHei" w:eastAsia="Microsoft YaHei"/>
          <w:sz w:val="21"/>
        </w:rPr>
        <w:t>活动耐受度按初始评分固定；实际应用应每月复评并滚动重优化。</w:t>
      </w:r>
    </w:p>
    <w:p>
      <w:pPr>
        <w:pStyle w:val="Heading2"/>
      </w:pPr>
      <w:r>
        <w:t>8.3 主要结论</w:t>
      </w:r>
    </w:p>
    <w:p>
      <w:pPr>
        <w:pStyle w:val="ListNumber"/>
      </w:pPr>
      <w:r>
        <w:rPr>
          <w:rFonts w:ascii="Microsoft YaHei" w:hAnsi="Microsoft YaHei" w:eastAsia="Microsoft YaHei"/>
          <w:sz w:val="21"/>
        </w:rPr>
        <w:t>痰湿严重度模型平均折外R²为-0.056，没有指标通过痰湿端证据门槛；高血脂关联端仅血尿酸入选，因此附件数据未发现可靠共同指标。</w:t>
      </w:r>
    </w:p>
    <w:p>
      <w:pPr>
        <w:pStyle w:val="ListNumber"/>
      </w:pPr>
      <w:r>
        <w:rPr>
          <w:rFonts w:ascii="Microsoft YaHei" w:hAnsi="Microsoft YaHei" w:eastAsia="Microsoft YaHei"/>
          <w:sz w:val="21"/>
        </w:rPr>
        <w:t>九体质分类自变量整体调整检验P=0.562；痰湿质相对平和质调整OR=0.748，95%CI 0.465–1.203，FDR q=0.668，不能宣称某种体质贡献首位。</w:t>
      </w:r>
    </w:p>
    <w:p>
      <w:pPr>
        <w:pStyle w:val="ListNumber"/>
      </w:pPr>
      <w:r>
        <w:rPr>
          <w:rFonts w:ascii="Microsoft YaHei" w:hAnsi="Microsoft YaHei" w:eastAsia="Microsoft YaHei"/>
          <w:sz w:val="21"/>
        </w:rPr>
        <w:t>非血脂随机森林关联筛查模型测试AUC为0.821；独立测试集规则管理低、中、高级分别为21、247、32人，每人只有一个等级和可追溯触发规则。</w:t>
      </w:r>
    </w:p>
    <w:p>
      <w:pPr>
        <w:pStyle w:val="ListNumber"/>
      </w:pPr>
      <w:r>
        <w:rPr>
          <w:rFonts w:ascii="Microsoft YaHei" w:hAnsi="Microsoft YaHei" w:eastAsia="Microsoft YaHei"/>
          <w:sz w:val="21"/>
        </w:rPr>
        <w:t>痰湿质核心组合相对于最终管理等级重新计算，并同时报告支持度、置信度、提升度和样本量；结果用于管理线索，不作未来发病因果解释。</w:t>
      </w:r>
    </w:p>
    <w:p>
      <w:pPr>
        <w:pStyle w:val="ListNumber"/>
      </w:pPr>
      <w:r>
        <w:rPr>
          <w:rFonts w:ascii="Microsoft YaHei" w:hAnsi="Microsoft YaHei" w:eastAsia="Microsoft YaHei"/>
          <w:sz w:val="21"/>
        </w:rPr>
        <w:t>ε-约束动态规划能在保留至少90%最大降幅的同时减少不必要成本，并为全部278名痰湿质患者提供可执行方案。</w:t>
      </w:r>
    </w:p>
    <w:p>
      <w:pPr>
        <w:pStyle w:val="ListNumber"/>
      </w:pPr>
      <w:r>
        <w:rPr>
          <w:rFonts w:ascii="Microsoft YaHei" w:hAnsi="Microsoft YaHei" w:eastAsia="Microsoft YaHei"/>
          <w:sz w:val="21"/>
        </w:rPr>
        <w:t>真实样本1、2、3的耐受上限分别为1、2、3级，最终积分和成本差异体现了“患者特征—方案强度—成本效果”的匹配关系。</w:t>
      </w:r>
    </w:p>
    <w:p>
      <w:pPr>
        <w:pStyle w:val="Heading1"/>
      </w:pPr>
      <w:r>
        <w:t>附录A 样本1、2、3逐月方案</w:t>
      </w:r>
    </w:p>
    <w:tbl>
      <w:tblPr>
        <w:tblStyle w:val="TableGrid"/>
        <w:tblW w:type="dxa" w:w="9070"/>
        <w:jc w:val="left"/>
        <w:tblLayout w:type="fixed"/>
        <w:tblLook w:firstColumn="1" w:firstRow="1" w:lastColumn="0" w:lastRow="0" w:noHBand="0" w:noVBand="1" w:val="04A0"/>
        <w:tblInd w:w="120" w:type="dxa"/>
      </w:tblPr>
      <w:tblGrid>
        <w:gridCol w:w="900"/>
        <w:gridCol w:w="850"/>
        <w:gridCol w:w="1200"/>
        <w:gridCol w:w="1150"/>
        <w:gridCol w:w="2000"/>
        <w:gridCol w:w="1450"/>
        <w:gridCol w:w="1520"/>
      </w:tblGrid>
      <w:tr>
        <w:trPr>
          <w:tblHeader w:val="true"/>
          <w:cantSplit/>
        </w:trPr>
        <w:tc>
          <w:tcPr>
            <w:tcW w:type="dxa" w:w="9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ID</w:t>
            </w:r>
          </w:p>
        </w:tc>
        <w:tc>
          <w:tcPr>
            <w:tcW w:type="dxa" w:w="85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月份</w:t>
            </w:r>
          </w:p>
        </w:tc>
        <w:tc>
          <w:tcPr>
            <w:tcW w:type="dxa" w:w="12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月初积分</w:t>
            </w:r>
          </w:p>
        </w:tc>
        <w:tc>
          <w:tcPr>
            <w:tcW w:type="dxa" w:w="115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调理等级</w:t>
            </w:r>
          </w:p>
        </w:tc>
        <w:tc>
          <w:tcPr>
            <w:tcW w:type="dxa" w:w="200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活动强度/频率</w:t>
            </w:r>
          </w:p>
        </w:tc>
        <w:tc>
          <w:tcPr>
            <w:tcW w:type="dxa" w:w="145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月成本/元</w:t>
            </w:r>
          </w:p>
        </w:tc>
        <w:tc>
          <w:tcPr>
            <w:tcW w:type="dxa" w:w="1520"/>
            <w:vAlign w:val="center"/>
            <w:shd w:fill="E8EEF5"/>
            <w:tcMar>
              <w:top w:w="80" w:type="dxa"/>
              <w:start w:w="120" w:type="dxa"/>
              <w:bottom w:w="80" w:type="dxa"/>
              <w:end w:w="120" w:type="dxa"/>
            </w:tcMar>
          </w:tcPr>
          <w:p>
            <w:pPr>
              <w:spacing w:before="0" w:after="0" w:line="259" w:lineRule="auto"/>
              <w:jc w:val="center"/>
            </w:pPr>
            <w:r/>
            <w:r>
              <w:rPr>
                <w:rFonts w:ascii="Microsoft YaHei" w:hAnsi="Microsoft YaHei" w:eastAsia="Microsoft YaHei"/>
                <w:b/>
                <w:color w:val="17365D"/>
                <w:sz w:val="16"/>
              </w:rPr>
              <w:t>月末积分</w:t>
            </w:r>
          </w:p>
        </w:tc>
      </w:tr>
      <w:tr>
        <w:trPr>
          <w:cantSplit/>
        </w:trPr>
        <w:tc>
          <w:tcPr>
            <w:tcW w:type="dxa" w:w="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w:t>
            </w:r>
          </w:p>
        </w:tc>
        <w:tc>
          <w:tcPr>
            <w:tcW w:type="dxa" w:w="8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w:t>
            </w:r>
          </w:p>
        </w:tc>
        <w:tc>
          <w:tcPr>
            <w:tcW w:type="dxa" w:w="1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64.0</w:t>
            </w:r>
          </w:p>
        </w:tc>
        <w:tc>
          <w:tcPr>
            <w:tcW w:type="dxa" w:w="11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w:t>
            </w:r>
          </w:p>
        </w:tc>
        <w:tc>
          <w:tcPr>
            <w:tcW w:type="dxa" w:w="2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1级/10次</w:t>
            </w:r>
          </w:p>
        </w:tc>
        <w:tc>
          <w:tcPr>
            <w:tcW w:type="dxa" w:w="14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250</w:t>
            </w:r>
          </w:p>
        </w:tc>
        <w:tc>
          <w:tcPr>
            <w:tcW w:type="dxa" w:w="15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61.0</w:t>
            </w:r>
          </w:p>
        </w:tc>
      </w:tr>
      <w:tr>
        <w:trPr>
          <w:cantSplit/>
        </w:trPr>
        <w:tc>
          <w:tcPr>
            <w:tcW w:type="dxa" w:w="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w:t>
            </w:r>
          </w:p>
        </w:tc>
        <w:tc>
          <w:tcPr>
            <w:tcW w:type="dxa" w:w="8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w:t>
            </w:r>
          </w:p>
        </w:tc>
        <w:tc>
          <w:tcPr>
            <w:tcW w:type="dxa" w:w="1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61.0</w:t>
            </w:r>
          </w:p>
        </w:tc>
        <w:tc>
          <w:tcPr>
            <w:tcW w:type="dxa" w:w="11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w:t>
            </w:r>
          </w:p>
        </w:tc>
        <w:tc>
          <w:tcPr>
            <w:tcW w:type="dxa" w:w="2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1级/10次</w:t>
            </w:r>
          </w:p>
        </w:tc>
        <w:tc>
          <w:tcPr>
            <w:tcW w:type="dxa" w:w="14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200</w:t>
            </w:r>
          </w:p>
        </w:tc>
        <w:tc>
          <w:tcPr>
            <w:tcW w:type="dxa" w:w="15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58.0</w:t>
            </w:r>
          </w:p>
        </w:tc>
      </w:tr>
      <w:tr>
        <w:trPr>
          <w:cantSplit/>
        </w:trPr>
        <w:tc>
          <w:tcPr>
            <w:tcW w:type="dxa" w:w="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w:t>
            </w:r>
          </w:p>
        </w:tc>
        <w:tc>
          <w:tcPr>
            <w:tcW w:type="dxa" w:w="8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w:t>
            </w:r>
          </w:p>
        </w:tc>
        <w:tc>
          <w:tcPr>
            <w:tcW w:type="dxa" w:w="1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58.0</w:t>
            </w:r>
          </w:p>
        </w:tc>
        <w:tc>
          <w:tcPr>
            <w:tcW w:type="dxa" w:w="11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w:t>
            </w:r>
          </w:p>
        </w:tc>
        <w:tc>
          <w:tcPr>
            <w:tcW w:type="dxa" w:w="2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1级/10次</w:t>
            </w:r>
          </w:p>
        </w:tc>
        <w:tc>
          <w:tcPr>
            <w:tcW w:type="dxa" w:w="14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150</w:t>
            </w:r>
          </w:p>
        </w:tc>
        <w:tc>
          <w:tcPr>
            <w:tcW w:type="dxa" w:w="15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55.0</w:t>
            </w:r>
          </w:p>
        </w:tc>
      </w:tr>
      <w:tr>
        <w:trPr>
          <w:cantSplit/>
        </w:trPr>
        <w:tc>
          <w:tcPr>
            <w:tcW w:type="dxa" w:w="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w:t>
            </w:r>
          </w:p>
        </w:tc>
        <w:tc>
          <w:tcPr>
            <w:tcW w:type="dxa" w:w="8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4</w:t>
            </w:r>
          </w:p>
        </w:tc>
        <w:tc>
          <w:tcPr>
            <w:tcW w:type="dxa" w:w="1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55.0</w:t>
            </w:r>
          </w:p>
        </w:tc>
        <w:tc>
          <w:tcPr>
            <w:tcW w:type="dxa" w:w="11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w:t>
            </w:r>
          </w:p>
        </w:tc>
        <w:tc>
          <w:tcPr>
            <w:tcW w:type="dxa" w:w="2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1级/10次</w:t>
            </w:r>
          </w:p>
        </w:tc>
        <w:tc>
          <w:tcPr>
            <w:tcW w:type="dxa" w:w="14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150</w:t>
            </w:r>
          </w:p>
        </w:tc>
        <w:tc>
          <w:tcPr>
            <w:tcW w:type="dxa" w:w="15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52.0</w:t>
            </w:r>
          </w:p>
        </w:tc>
      </w:tr>
      <w:tr>
        <w:trPr>
          <w:cantSplit/>
        </w:trPr>
        <w:tc>
          <w:tcPr>
            <w:tcW w:type="dxa" w:w="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w:t>
            </w:r>
          </w:p>
        </w:tc>
        <w:tc>
          <w:tcPr>
            <w:tcW w:type="dxa" w:w="8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5</w:t>
            </w:r>
          </w:p>
        </w:tc>
        <w:tc>
          <w:tcPr>
            <w:tcW w:type="dxa" w:w="1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52.0</w:t>
            </w:r>
          </w:p>
        </w:tc>
        <w:tc>
          <w:tcPr>
            <w:tcW w:type="dxa" w:w="11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w:t>
            </w:r>
          </w:p>
        </w:tc>
        <w:tc>
          <w:tcPr>
            <w:tcW w:type="dxa" w:w="2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1级/10次</w:t>
            </w:r>
          </w:p>
        </w:tc>
        <w:tc>
          <w:tcPr>
            <w:tcW w:type="dxa" w:w="14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150</w:t>
            </w:r>
          </w:p>
        </w:tc>
        <w:tc>
          <w:tcPr>
            <w:tcW w:type="dxa" w:w="15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49.5</w:t>
            </w:r>
          </w:p>
        </w:tc>
      </w:tr>
      <w:tr>
        <w:trPr>
          <w:cantSplit/>
        </w:trPr>
        <w:tc>
          <w:tcPr>
            <w:tcW w:type="dxa" w:w="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w:t>
            </w:r>
          </w:p>
        </w:tc>
        <w:tc>
          <w:tcPr>
            <w:tcW w:type="dxa" w:w="8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6</w:t>
            </w:r>
          </w:p>
        </w:tc>
        <w:tc>
          <w:tcPr>
            <w:tcW w:type="dxa" w:w="1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49.5</w:t>
            </w:r>
          </w:p>
        </w:tc>
        <w:tc>
          <w:tcPr>
            <w:tcW w:type="dxa" w:w="11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w:t>
            </w:r>
          </w:p>
        </w:tc>
        <w:tc>
          <w:tcPr>
            <w:tcW w:type="dxa" w:w="2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1级/7次</w:t>
            </w:r>
          </w:p>
        </w:tc>
        <w:tc>
          <w:tcPr>
            <w:tcW w:type="dxa" w:w="14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114</w:t>
            </w:r>
          </w:p>
        </w:tc>
        <w:tc>
          <w:tcPr>
            <w:tcW w:type="dxa" w:w="15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48.5</w:t>
            </w:r>
          </w:p>
        </w:tc>
      </w:tr>
      <w:tr>
        <w:trPr>
          <w:cantSplit/>
        </w:trPr>
        <w:tc>
          <w:tcPr>
            <w:tcW w:type="dxa" w:w="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w:t>
            </w:r>
          </w:p>
        </w:tc>
        <w:tc>
          <w:tcPr>
            <w:tcW w:type="dxa" w:w="8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w:t>
            </w:r>
          </w:p>
        </w:tc>
        <w:tc>
          <w:tcPr>
            <w:tcW w:type="dxa" w:w="1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58.0</w:t>
            </w:r>
          </w:p>
        </w:tc>
        <w:tc>
          <w:tcPr>
            <w:tcW w:type="dxa" w:w="11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w:t>
            </w:r>
          </w:p>
        </w:tc>
        <w:tc>
          <w:tcPr>
            <w:tcW w:type="dxa" w:w="2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2级/10次</w:t>
            </w:r>
          </w:p>
        </w:tc>
        <w:tc>
          <w:tcPr>
            <w:tcW w:type="dxa" w:w="14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230</w:t>
            </w:r>
          </w:p>
        </w:tc>
        <w:tc>
          <w:tcPr>
            <w:tcW w:type="dxa" w:w="15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53.5</w:t>
            </w:r>
          </w:p>
        </w:tc>
      </w:tr>
      <w:tr>
        <w:trPr>
          <w:cantSplit/>
        </w:trPr>
        <w:tc>
          <w:tcPr>
            <w:tcW w:type="dxa" w:w="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w:t>
            </w:r>
          </w:p>
        </w:tc>
        <w:tc>
          <w:tcPr>
            <w:tcW w:type="dxa" w:w="8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w:t>
            </w:r>
          </w:p>
        </w:tc>
        <w:tc>
          <w:tcPr>
            <w:tcW w:type="dxa" w:w="1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53.5</w:t>
            </w:r>
          </w:p>
        </w:tc>
        <w:tc>
          <w:tcPr>
            <w:tcW w:type="dxa" w:w="11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w:t>
            </w:r>
          </w:p>
        </w:tc>
        <w:tc>
          <w:tcPr>
            <w:tcW w:type="dxa" w:w="2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2级/10次</w:t>
            </w:r>
          </w:p>
        </w:tc>
        <w:tc>
          <w:tcPr>
            <w:tcW w:type="dxa" w:w="14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230</w:t>
            </w:r>
          </w:p>
        </w:tc>
        <w:tc>
          <w:tcPr>
            <w:tcW w:type="dxa" w:w="15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49.0</w:t>
            </w:r>
          </w:p>
        </w:tc>
      </w:tr>
      <w:tr>
        <w:trPr>
          <w:cantSplit/>
        </w:trPr>
        <w:tc>
          <w:tcPr>
            <w:tcW w:type="dxa" w:w="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w:t>
            </w:r>
          </w:p>
        </w:tc>
        <w:tc>
          <w:tcPr>
            <w:tcW w:type="dxa" w:w="8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w:t>
            </w:r>
          </w:p>
        </w:tc>
        <w:tc>
          <w:tcPr>
            <w:tcW w:type="dxa" w:w="1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49.0</w:t>
            </w:r>
          </w:p>
        </w:tc>
        <w:tc>
          <w:tcPr>
            <w:tcW w:type="dxa" w:w="11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w:t>
            </w:r>
          </w:p>
        </w:tc>
        <w:tc>
          <w:tcPr>
            <w:tcW w:type="dxa" w:w="2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2级/9次</w:t>
            </w:r>
          </w:p>
        </w:tc>
        <w:tc>
          <w:tcPr>
            <w:tcW w:type="dxa" w:w="14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210</w:t>
            </w:r>
          </w:p>
        </w:tc>
        <w:tc>
          <w:tcPr>
            <w:tcW w:type="dxa" w:w="15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45.5</w:t>
            </w:r>
          </w:p>
        </w:tc>
      </w:tr>
      <w:tr>
        <w:trPr>
          <w:cantSplit/>
        </w:trPr>
        <w:tc>
          <w:tcPr>
            <w:tcW w:type="dxa" w:w="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w:t>
            </w:r>
          </w:p>
        </w:tc>
        <w:tc>
          <w:tcPr>
            <w:tcW w:type="dxa" w:w="8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4</w:t>
            </w:r>
          </w:p>
        </w:tc>
        <w:tc>
          <w:tcPr>
            <w:tcW w:type="dxa" w:w="1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45.5</w:t>
            </w:r>
          </w:p>
        </w:tc>
        <w:tc>
          <w:tcPr>
            <w:tcW w:type="dxa" w:w="11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w:t>
            </w:r>
          </w:p>
        </w:tc>
        <w:tc>
          <w:tcPr>
            <w:tcW w:type="dxa" w:w="2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1级/10次</w:t>
            </w:r>
          </w:p>
        </w:tc>
        <w:tc>
          <w:tcPr>
            <w:tcW w:type="dxa" w:w="14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150</w:t>
            </w:r>
          </w:p>
        </w:tc>
        <w:tc>
          <w:tcPr>
            <w:tcW w:type="dxa" w:w="15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43.0</w:t>
            </w:r>
          </w:p>
        </w:tc>
      </w:tr>
      <w:tr>
        <w:trPr>
          <w:cantSplit/>
        </w:trPr>
        <w:tc>
          <w:tcPr>
            <w:tcW w:type="dxa" w:w="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w:t>
            </w:r>
          </w:p>
        </w:tc>
        <w:tc>
          <w:tcPr>
            <w:tcW w:type="dxa" w:w="8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5</w:t>
            </w:r>
          </w:p>
        </w:tc>
        <w:tc>
          <w:tcPr>
            <w:tcW w:type="dxa" w:w="1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43.0</w:t>
            </w:r>
          </w:p>
        </w:tc>
        <w:tc>
          <w:tcPr>
            <w:tcW w:type="dxa" w:w="11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w:t>
            </w:r>
          </w:p>
        </w:tc>
        <w:tc>
          <w:tcPr>
            <w:tcW w:type="dxa" w:w="2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2级/10次</w:t>
            </w:r>
          </w:p>
        </w:tc>
        <w:tc>
          <w:tcPr>
            <w:tcW w:type="dxa" w:w="14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230</w:t>
            </w:r>
          </w:p>
        </w:tc>
        <w:tc>
          <w:tcPr>
            <w:tcW w:type="dxa" w:w="15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39.5</w:t>
            </w:r>
          </w:p>
        </w:tc>
      </w:tr>
      <w:tr>
        <w:trPr>
          <w:cantSplit/>
        </w:trPr>
        <w:tc>
          <w:tcPr>
            <w:tcW w:type="dxa" w:w="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w:t>
            </w:r>
          </w:p>
        </w:tc>
        <w:tc>
          <w:tcPr>
            <w:tcW w:type="dxa" w:w="8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6</w:t>
            </w:r>
          </w:p>
        </w:tc>
        <w:tc>
          <w:tcPr>
            <w:tcW w:type="dxa" w:w="1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39.5</w:t>
            </w:r>
          </w:p>
        </w:tc>
        <w:tc>
          <w:tcPr>
            <w:tcW w:type="dxa" w:w="11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w:t>
            </w:r>
          </w:p>
        </w:tc>
        <w:tc>
          <w:tcPr>
            <w:tcW w:type="dxa" w:w="2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2级/8次</w:t>
            </w:r>
          </w:p>
        </w:tc>
        <w:tc>
          <w:tcPr>
            <w:tcW w:type="dxa" w:w="14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190</w:t>
            </w:r>
          </w:p>
        </w:tc>
        <w:tc>
          <w:tcPr>
            <w:tcW w:type="dxa" w:w="15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37.0</w:t>
            </w:r>
          </w:p>
        </w:tc>
      </w:tr>
      <w:tr>
        <w:trPr>
          <w:cantSplit/>
        </w:trPr>
        <w:tc>
          <w:tcPr>
            <w:tcW w:type="dxa" w:w="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w:t>
            </w:r>
          </w:p>
        </w:tc>
        <w:tc>
          <w:tcPr>
            <w:tcW w:type="dxa" w:w="8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w:t>
            </w:r>
          </w:p>
        </w:tc>
        <w:tc>
          <w:tcPr>
            <w:tcW w:type="dxa" w:w="1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59.0</w:t>
            </w:r>
          </w:p>
        </w:tc>
        <w:tc>
          <w:tcPr>
            <w:tcW w:type="dxa" w:w="11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w:t>
            </w:r>
          </w:p>
        </w:tc>
        <w:tc>
          <w:tcPr>
            <w:tcW w:type="dxa" w:w="2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3级/10次</w:t>
            </w:r>
          </w:p>
        </w:tc>
        <w:tc>
          <w:tcPr>
            <w:tcW w:type="dxa" w:w="14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400</w:t>
            </w:r>
          </w:p>
        </w:tc>
        <w:tc>
          <w:tcPr>
            <w:tcW w:type="dxa" w:w="15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52.5</w:t>
            </w:r>
          </w:p>
        </w:tc>
      </w:tr>
      <w:tr>
        <w:trPr>
          <w:cantSplit/>
        </w:trPr>
        <w:tc>
          <w:tcPr>
            <w:tcW w:type="dxa" w:w="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w:t>
            </w:r>
          </w:p>
        </w:tc>
        <w:tc>
          <w:tcPr>
            <w:tcW w:type="dxa" w:w="8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w:t>
            </w:r>
          </w:p>
        </w:tc>
        <w:tc>
          <w:tcPr>
            <w:tcW w:type="dxa" w:w="1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52.5</w:t>
            </w:r>
          </w:p>
        </w:tc>
        <w:tc>
          <w:tcPr>
            <w:tcW w:type="dxa" w:w="11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w:t>
            </w:r>
          </w:p>
        </w:tc>
        <w:tc>
          <w:tcPr>
            <w:tcW w:type="dxa" w:w="2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3级/9次</w:t>
            </w:r>
          </w:p>
        </w:tc>
        <w:tc>
          <w:tcPr>
            <w:tcW w:type="dxa" w:w="14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318</w:t>
            </w:r>
          </w:p>
        </w:tc>
        <w:tc>
          <w:tcPr>
            <w:tcW w:type="dxa" w:w="15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47.0</w:t>
            </w:r>
          </w:p>
        </w:tc>
      </w:tr>
      <w:tr>
        <w:trPr>
          <w:cantSplit/>
        </w:trPr>
        <w:tc>
          <w:tcPr>
            <w:tcW w:type="dxa" w:w="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w:t>
            </w:r>
          </w:p>
        </w:tc>
        <w:tc>
          <w:tcPr>
            <w:tcW w:type="dxa" w:w="8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w:t>
            </w:r>
          </w:p>
        </w:tc>
        <w:tc>
          <w:tcPr>
            <w:tcW w:type="dxa" w:w="1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47.0</w:t>
            </w:r>
          </w:p>
        </w:tc>
        <w:tc>
          <w:tcPr>
            <w:tcW w:type="dxa" w:w="11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w:t>
            </w:r>
          </w:p>
        </w:tc>
        <w:tc>
          <w:tcPr>
            <w:tcW w:type="dxa" w:w="2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2级/10次</w:t>
            </w:r>
          </w:p>
        </w:tc>
        <w:tc>
          <w:tcPr>
            <w:tcW w:type="dxa" w:w="14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230</w:t>
            </w:r>
          </w:p>
        </w:tc>
        <w:tc>
          <w:tcPr>
            <w:tcW w:type="dxa" w:w="15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43.0</w:t>
            </w:r>
          </w:p>
        </w:tc>
      </w:tr>
      <w:tr>
        <w:trPr>
          <w:cantSplit/>
        </w:trPr>
        <w:tc>
          <w:tcPr>
            <w:tcW w:type="dxa" w:w="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w:t>
            </w:r>
          </w:p>
        </w:tc>
        <w:tc>
          <w:tcPr>
            <w:tcW w:type="dxa" w:w="8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4</w:t>
            </w:r>
          </w:p>
        </w:tc>
        <w:tc>
          <w:tcPr>
            <w:tcW w:type="dxa" w:w="1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43.0</w:t>
            </w:r>
          </w:p>
        </w:tc>
        <w:tc>
          <w:tcPr>
            <w:tcW w:type="dxa" w:w="11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w:t>
            </w:r>
          </w:p>
        </w:tc>
        <w:tc>
          <w:tcPr>
            <w:tcW w:type="dxa" w:w="2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2级/10次</w:t>
            </w:r>
          </w:p>
        </w:tc>
        <w:tc>
          <w:tcPr>
            <w:tcW w:type="dxa" w:w="14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230</w:t>
            </w:r>
          </w:p>
        </w:tc>
        <w:tc>
          <w:tcPr>
            <w:tcW w:type="dxa" w:w="15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39.5</w:t>
            </w:r>
          </w:p>
        </w:tc>
      </w:tr>
      <w:tr>
        <w:trPr>
          <w:cantSplit/>
        </w:trPr>
        <w:tc>
          <w:tcPr>
            <w:tcW w:type="dxa" w:w="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w:t>
            </w:r>
          </w:p>
        </w:tc>
        <w:tc>
          <w:tcPr>
            <w:tcW w:type="dxa" w:w="8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5</w:t>
            </w:r>
          </w:p>
        </w:tc>
        <w:tc>
          <w:tcPr>
            <w:tcW w:type="dxa" w:w="1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39.5</w:t>
            </w:r>
          </w:p>
        </w:tc>
        <w:tc>
          <w:tcPr>
            <w:tcW w:type="dxa" w:w="11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w:t>
            </w:r>
          </w:p>
        </w:tc>
        <w:tc>
          <w:tcPr>
            <w:tcW w:type="dxa" w:w="2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2级/9次</w:t>
            </w:r>
          </w:p>
        </w:tc>
        <w:tc>
          <w:tcPr>
            <w:tcW w:type="dxa" w:w="14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210</w:t>
            </w:r>
          </w:p>
        </w:tc>
        <w:tc>
          <w:tcPr>
            <w:tcW w:type="dxa" w:w="15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36.5</w:t>
            </w:r>
          </w:p>
        </w:tc>
      </w:tr>
      <w:tr>
        <w:trPr>
          <w:cantSplit/>
        </w:trPr>
        <w:tc>
          <w:tcPr>
            <w:tcW w:type="dxa" w:w="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w:t>
            </w:r>
          </w:p>
        </w:tc>
        <w:tc>
          <w:tcPr>
            <w:tcW w:type="dxa" w:w="8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6</w:t>
            </w:r>
          </w:p>
        </w:tc>
        <w:tc>
          <w:tcPr>
            <w:tcW w:type="dxa" w:w="1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36.5</w:t>
            </w:r>
          </w:p>
        </w:tc>
        <w:tc>
          <w:tcPr>
            <w:tcW w:type="dxa" w:w="11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1</w:t>
            </w:r>
          </w:p>
        </w:tc>
        <w:tc>
          <w:tcPr>
            <w:tcW w:type="dxa" w:w="2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3级/8次</w:t>
            </w:r>
          </w:p>
        </w:tc>
        <w:tc>
          <w:tcPr>
            <w:tcW w:type="dxa" w:w="145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286</w:t>
            </w:r>
          </w:p>
        </w:tc>
        <w:tc>
          <w:tcPr>
            <w:tcW w:type="dxa" w:w="15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sz w:val="16"/>
              </w:rPr>
              <w:t>33.0</w:t>
            </w:r>
          </w:p>
        </w:tc>
      </w:tr>
    </w:tbl>
    <w:p>
      <w:pPr>
        <w:spacing w:after="40"/>
      </w:pPr>
    </w:p>
    <w:p>
      <w:pPr>
        <w:spacing w:before="40" w:after="120"/>
      </w:pPr>
      <w:r>
        <w:rPr>
          <w:rFonts w:ascii="Microsoft YaHei" w:hAnsi="Microsoft YaHei" w:eastAsia="Microsoft YaHei"/>
          <w:i/>
          <w:color w:val="666666"/>
          <w:sz w:val="16"/>
        </w:rPr>
        <w:t>表A1  三位患者的逐月推荐计划。核心调理方式随等级依题面附表2执行。</w:t>
      </w:r>
    </w:p>
    <w:p>
      <w:pPr>
        <w:pStyle w:val="Heading1"/>
      </w:pPr>
      <w:r>
        <w:t>附录B 结果文件与复现方式</w:t>
      </w:r>
    </w:p>
    <w:p>
      <w:pPr>
        <w:keepLines w:val="0"/>
      </w:pPr>
      <w:r>
        <w:rPr>
          <w:rFonts w:ascii="Microsoft YaHei" w:hAnsi="Microsoft YaHei" w:eastAsia="Microsoft YaHei"/>
          <w:sz w:val="22"/>
        </w:rPr>
        <w:t>核心代码入口为code/solution.py；执行code/build_notebook.py可从原始附件重建预处理数据、CSV/JSON结果、PNG/PDF图和已执行Notebook。结果说明见reports/RESULTS_REPORT.md，全部数值中间件位于code/outputs目录。</w:t>
      </w:r>
    </w:p>
    <w:p>
      <w:pPr>
        <w:keepLines w:val="0"/>
      </w:pPr>
      <w:r>
        <w:rPr>
          <w:rFonts w:ascii="Microsoft YaHei" w:hAnsi="Microsoft YaHei" w:eastAsia="Microsoft YaHei"/>
          <w:sz w:val="22"/>
        </w:rPr>
        <w:t>建议在Windows PowerShell中创建Python 3.12虚拟环境，安装requirements-py312.txt后运行构建脚本。报告中的全部结果均来自最新复跑输出，未手工重算或替换数值。</w:t>
      </w:r>
    </w:p>
    <w:sectPr w:rsidR="00FC693F" w:rsidRPr="0006063C" w:rsidSect="00034616">
      <w:headerReference w:type="default" r:id="rId9"/>
      <w:footerReference w:type="default" r:id="rId10"/>
      <w:pgSz w:w="11906" w:h="16838"/>
      <w:pgMar w:top="1247" w:right="1417" w:bottom="1247" w:left="141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666666"/>
        <w:sz w:val="17"/>
      </w:rPr>
      <w:t xml:space="preserve">第 </w:t>
      <w:fldChar w:fldCharType="begin"/>
      <w:instrText xml:space="preserve">PAGE</w:instrText>
      <w:fldChar w:fldCharType="end"/>
    </w:r>
    <w:r>
      <w:rPr>
        <w:rFonts w:ascii="Microsoft YaHei" w:hAnsi="Microsoft YaHei" w:eastAsia="Microsoft YaHei"/>
        <w:color w:val="66666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Microsoft YaHei" w:hAnsi="Microsoft YaHei" w:eastAsia="Microsoft YaHei"/>
        <w:color w:val="666666"/>
        <w:sz w:val="17"/>
      </w:rPr>
      <w:t>中老年人群高血脂症风险预警及干预方案优化｜建模方案报告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ind w:firstLine="420"/>
      <w:jc w:val="both"/>
    </w:pPr>
    <w:rPr>
      <w:rFonts w:ascii="Microsoft YaHei" w:hAnsi="Microsoft YaHei" w:eastAsia="Microsoft YaHe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spacing w:after="80" w:line="290" w:lineRule="auto"/>
      <w:contextualSpacing/>
    </w:pPr>
    <w:rPr>
      <w:rFonts w:ascii="Microsoft YaHei" w:hAnsi="Microsoft YaHei" w:eastAsia="Microsoft YaHe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icrosoft YaHei" w:hAnsi="Microsoft YaHei" w:eastAsia="Microsoft YaHe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中老年人群高血脂症风险预警及干预优化——建模方案报告</dc:title>
  <dc:subject>MathorCup C题建模方案</dc:subject>
  <dc:creator>python-docx</dc:creator>
  <cp:keywords>高血脂症, 痰湿体质, 风险预警, 动态规划</cp:keywords>
  <dc:description>由项目最新可复现结果生成</dc:description>
  <cp:lastModifiedBy/>
  <cp:revision>1</cp:revision>
  <dcterms:created xsi:type="dcterms:W3CDTF">2013-12-23T23:15:00Z</dcterms:created>
  <dcterms:modified xsi:type="dcterms:W3CDTF">2013-12-23T23:15:00Z</dcterms:modified>
  <cp:category/>
</cp:coreProperties>
</file>