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6697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偏颇体质与慢病风险、AIP影响因素及活动能力分级影响因素的单因素分析方案</w:t>
      </w:r>
    </w:p>
    <w:p w14:paraId="3704A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本次三个小问均采用</w:t>
      </w:r>
      <w:r>
        <w:rPr>
          <w:rFonts w:ascii="Arial" w:hAnsi="Arial" w:eastAsia="等线" w:cs="Arial"/>
          <w:b/>
          <w:sz w:val="22"/>
        </w:rPr>
        <w:t>方案 1（单因素关联分析 + 非参数检验 + 阈值判定框架）</w:t>
      </w:r>
      <w:r>
        <w:rPr>
          <w:rFonts w:ascii="Arial" w:hAnsi="Arial" w:eastAsia="等线" w:cs="Arial"/>
          <w:sz w:val="22"/>
        </w:rPr>
        <w:t>，核心聚焦变量间的粗关联强度、组间差异显著性与临床阈值确定，不纳入多因素混杂校正，适合做初步探索性分析与单因素效应验证。各小问对应方案如下：</w:t>
      </w:r>
    </w:p>
    <w:p w14:paraId="344A536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小问 1（偏颇体质与慢病风险）：体质分层卡方检验 + Cochran-Armitage 趋势检验 + ROC 曲线阈值判定模型</w:t>
      </w:r>
    </w:p>
    <w:p w14:paraId="7A6A81F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小问 2（AIP 影响因素）：Pearson 单因素相关分析 + 独立样本 t 检验 + 单因素方差分析</w:t>
      </w:r>
    </w:p>
    <w:p w14:paraId="3D89A49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小问 3（活动能力分级影响因素）：Spearman 等级相关分析 + Mann-Whitney U 检验 + Kruskal-Wallis H 秩和检验</w:t>
      </w:r>
    </w:p>
    <w:p w14:paraId="537D64F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8CECA4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小问 1：偏颇体质总分与慢病发病风险模型（方案 1：分层卡方 + 趋势检验 + ROC 阈值模型）</w:t>
      </w:r>
      <w:bookmarkEnd w:id="0"/>
    </w:p>
    <w:p w14:paraId="32854E17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(1) 变量定义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3C8F48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79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变量分类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3D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变量符号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6E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04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15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7B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约束范围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6B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参数属性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89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场景意义</w:t>
            </w:r>
          </w:p>
        </w:tc>
      </w:tr>
      <w:tr w14:paraId="4A1EB0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DE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1D266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4E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慢病发病状态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0B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0-1 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51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7E0C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0,1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F8B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E77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= 发病，0 = 未发病，为关联分析的核心结局指标</w:t>
            </w:r>
          </w:p>
        </w:tc>
      </w:tr>
      <w:tr w14:paraId="0DCF32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77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核心决策变量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4F769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E8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偏颇体质总分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53F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04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917DF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[0,100]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DE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E1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由中医体质量表转化得到，分值越高体质偏颇程度越重</w:t>
            </w:r>
          </w:p>
        </w:tc>
      </w:tr>
      <w:tr w14:paraId="13AF67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6D5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DD18F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C2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体质偏颇分层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B9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有序离散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C95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DAB45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1,2,3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8C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40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基于样本分位数对连续评分的分级（低 / 中 / 高偏颇），用于列联表分析</w:t>
            </w:r>
          </w:p>
        </w:tc>
      </w:tr>
      <w:tr w14:paraId="0C4FB1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E36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7E3D6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p>
                  <m:sSupPr/>
                  <m:e>
                    <m:r>
                      <m:rPr/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38D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卡方检验统计量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C8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8B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45E8F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≥0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48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0B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衡量观测频数与期望频数的偏离程度，用于关联性显著性判断</w:t>
            </w:r>
          </w:p>
        </w:tc>
      </w:tr>
      <w:tr w14:paraId="149329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C42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C8D71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  <m:sty m:val="p"/>
                  </m:rPr>
                  <w:rPr>
                    <w:rFonts w:ascii="Cambria Math" w:hAnsi="Cambria Math"/>
                  </w:rPr>
                  <m:t>AUC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C3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ROC 曲线下面积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65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3E4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08DBE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[0,1]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2E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26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衡量体质评分对慢病的整体判别效能</w:t>
            </w:r>
          </w:p>
        </w:tc>
      </w:tr>
      <w:tr w14:paraId="3A1355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64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BE76D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  <m:sty m:val="p"/>
                  </m:rPr>
                  <w:rPr>
                    <w:rFonts w:ascii="Cambria Math" w:hAnsi="Cambria Math"/>
                  </w:rPr>
                  <m:t>cut-off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9E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最佳风险截断值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87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75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808BF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[0,100]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34E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39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约登指数最大对应的体质总分，用于划分高 / 低风险人群</w:t>
            </w:r>
          </w:p>
        </w:tc>
      </w:tr>
      <w:tr w14:paraId="6D8981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8B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A54C3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14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显著性水平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B5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2B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ACFA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(0,1)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AF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5D0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预设检验水准，通常取 0.05，用于判断统计显著性</w:t>
            </w:r>
          </w:p>
        </w:tc>
      </w:tr>
      <w:tr w14:paraId="6072E8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E97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849EE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73E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分层数量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73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B76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08A4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≥2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ED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99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预设体质分层组数，通常取 3~5 层以保证组间样本量均衡</w:t>
            </w:r>
          </w:p>
        </w:tc>
      </w:tr>
    </w:tbl>
    <w:p w14:paraId="49ADE16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(2) 核心假设条件</w:t>
      </w:r>
      <w:bookmarkEnd w:id="2"/>
    </w:p>
    <w:p w14:paraId="5615BF6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样本独立代表性假设</w:t>
      </w:r>
    </w:p>
    <w:p w14:paraId="5A58C089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内容：研究样本通过随机抽样获得，个体间发病状态相互独立，样本对目标总体具有代表性。</w:t>
      </w:r>
    </w:p>
    <w:p w14:paraId="2E0043AE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依据：横断面研究设计遵循随机抽样原则，个体间无亲缘、聚集暴露等关联。</w:t>
      </w:r>
    </w:p>
    <w:p w14:paraId="6013998C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对模型的影响：满足卡方检验的独立性前提，检验结果可推广至目标总体。</w:t>
      </w:r>
    </w:p>
    <w:p w14:paraId="15446EB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体质评分有序性假设</w:t>
      </w:r>
    </w:p>
    <w:p w14:paraId="2BE9DF11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内容：偏颇体质总分具有明确的等级意义，分值越高代表体质偏颇程度越重，等级间存在递进关系。</w:t>
      </w:r>
    </w:p>
    <w:p w14:paraId="4B37DA4C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依据：《中医体质分类与判定》标准为等距量表，转化分与偏颇程度呈线性对应。</w:t>
      </w:r>
    </w:p>
    <w:p w14:paraId="3A9B7F05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对模型的影响：支持趋势卡方检验的剂量反应分析，可验证 “偏颇越重、风险越高” 的递进关系。</w:t>
      </w:r>
    </w:p>
    <w:p w14:paraId="193A6CD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判别单调性假设</w:t>
      </w:r>
    </w:p>
    <w:p w14:paraId="7E03273D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内容：偏颇体质总分对慢病发病风险的判别能力呈单调趋势，即评分越高，发病风险越高。</w:t>
      </w:r>
    </w:p>
    <w:p w14:paraId="67E74BFE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依据：中医 “体病相关” 理论，体质偏颇是慢病发生的内在基础，偏颇程度与风险正相关。</w:t>
      </w:r>
    </w:p>
    <w:p w14:paraId="79B5610F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对模型的影响：ROC 曲线具备临床解释意义，存在唯一且合理的最佳截断值。</w:t>
      </w:r>
    </w:p>
    <w:p w14:paraId="379C545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期望频数充足假设</w:t>
      </w:r>
    </w:p>
    <w:p w14:paraId="3EA7720D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内容：列联表中各单元格的期望频数≥5 的格子占比超过 80%，且无期望频数 &lt; 1 的格子。</w:t>
      </w:r>
    </w:p>
    <w:p w14:paraId="115DBBA3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依据：大样本体检人群数据，慢病有一定患病率，分层后各组样本量充足。</w:t>
      </w:r>
    </w:p>
    <w:p w14:paraId="7CFF0F32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对模型的影响：Pearson 卡方检验的近似分布成立，检验结果准确可靠。</w:t>
      </w:r>
    </w:p>
    <w:p w14:paraId="072132D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(3) 公式推导（分步 + 逻辑依据）</w:t>
      </w:r>
      <w:bookmarkEnd w:id="3"/>
    </w:p>
    <w:p w14:paraId="758DF53B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步骤 1：体质偏颇分层划分（场景逻辑：连续指标临床化分级）</w:t>
      </w:r>
      <w:bookmarkEnd w:id="4"/>
    </w:p>
    <w:p w14:paraId="2C1D3F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基于样本分位数将连续体质总分划分为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ascii="Arial" w:hAnsi="Arial" w:eastAsia="等线" w:cs="Arial"/>
          <w:sz w:val="22"/>
        </w:rPr>
        <w:t>个有序层级，以三分位（</w:t>
      </w:r>
      <m:oMath>
        <m:r>
          <m:rPr/>
          <w:rPr>
            <w:rFonts w:ascii="Cambria Math" w:hAnsi="Cambria Math"/>
          </w:rPr>
          <m:t>k=3</m:t>
        </m:r>
      </m:oMath>
      <w:r>
        <w:rPr>
          <w:rFonts w:ascii="Arial" w:hAnsi="Arial" w:eastAsia="等线" w:cs="Arial"/>
          <w:sz w:val="22"/>
        </w:rPr>
        <w:t>）为例：</w:t>
      </w:r>
    </w:p>
    <w:p w14:paraId="583BBDB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逻辑依据：分位数分层保证各组样本量均衡，避免人为偏倚；有序分层保留体质的等级信息。</w:t>
      </w:r>
    </w:p>
    <w:p w14:paraId="21971ED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场景意义：将连续评分转化为临床易理解的偏颇等级，适配列联表分析框架。</w:t>
      </w:r>
    </w:p>
    <w:p w14:paraId="1548F6E6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步骤 2：Pearson 卡方关联性检验（统计原理：拟合优度检验，分析行 × 列变量独立性）</w:t>
      </w:r>
      <w:bookmarkEnd w:id="5"/>
    </w:p>
    <w:p w14:paraId="41B293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</w:t>
      </w:r>
      <m:oMath>
        <m:r>
          <m:rPr/>
          <w:rPr>
            <w:rFonts w:ascii="Cambria Math" w:hAnsi="Cambria Math"/>
          </w:rPr>
          <m:t>r</m:t>
        </m:r>
      </m:oMath>
      <w:r>
        <w:rPr>
          <w:rFonts w:ascii="Arial" w:hAnsi="Arial" w:eastAsia="等线" w:cs="Arial"/>
          <w:sz w:val="22"/>
        </w:rPr>
        <w:t>行（分层数）×</w:t>
      </w:r>
      <m:oMath>
        <m:r>
          <m:rPr/>
          <w:rPr>
            <w:rFonts w:ascii="Cambria Math" w:hAnsi="Cambria Math"/>
          </w:rPr>
          <m:t>c</m:t>
        </m:r>
      </m:oMath>
      <w:r>
        <w:rPr>
          <w:rFonts w:ascii="Arial" w:hAnsi="Arial" w:eastAsia="等线" w:cs="Arial"/>
          <w:sz w:val="22"/>
        </w:rPr>
        <w:t>列（发病状态）列联表，</w:t>
      </w:r>
      <m:oMath>
        <m:sSub>
          <m:sSubPr/>
          <m:e>
            <m:r>
              <m:rPr/>
              <w:rPr>
                <w:rFonts w:ascii="Cambria Math" w:hAnsi="Cambria Math"/>
              </w:rPr>
              <m:t>O</m:t>
            </m:r>
          </m:e>
          <m:sub>
            <m:r>
              <m:rPr/>
              <w:rPr>
                <w:rFonts w:ascii="Cambria Math" w:hAnsi="Cambria Math"/>
              </w:rPr>
              <m:t>ij</m:t>
            </m:r>
          </m:sub>
        </m:sSub>
      </m:oMath>
      <w:r>
        <w:rPr>
          <w:rFonts w:ascii="Arial" w:hAnsi="Arial" w:eastAsia="等线" w:cs="Arial"/>
          <w:sz w:val="22"/>
        </w:rPr>
        <w:t>为第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层第</w:t>
      </w:r>
      <m:oMath>
        <m:r>
          <m:rPr/>
          <w:rPr>
            <w:rFonts w:ascii="Cambria Math" w:hAnsi="Cambria Math"/>
          </w:rPr>
          <m:t>j</m:t>
        </m:r>
      </m:oMath>
      <w:r>
        <w:rPr>
          <w:rFonts w:ascii="Arial" w:hAnsi="Arial" w:eastAsia="等线" w:cs="Arial"/>
          <w:sz w:val="22"/>
        </w:rPr>
        <w:t>类结局的观测频数，</w:t>
      </w:r>
      <m:oMath>
        <m:sSub>
          <m:sSubPr/>
          <m:e>
            <m:r>
              <m:rPr/>
              <w:rPr>
                <w:rFonts w:ascii="Cambria Math" w:hAnsi="Cambria Math"/>
              </w:rPr>
              <m:t>E</m:t>
            </m:r>
          </m:e>
          <m:sub>
            <m:r>
              <m:rPr/>
              <w:rPr>
                <w:rFonts w:ascii="Cambria Math" w:hAnsi="Cambria Math"/>
              </w:rPr>
              <m:t>ij</m:t>
            </m:r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/>
                  </w:rPr>
                  <m:t>n</m:t>
                </m: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</m:sub>
            </m:sSub>
            <m:r>
              <m:rPr/>
              <w:rPr>
                <w:rFonts w:ascii="Cambria Math" w:hAnsi="Cambria Math"/>
              </w:rPr>
              <m:t>⋅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n</m:t>
                </m:r>
              </m:e>
              <m:sub>
                <m:r>
                  <m:rPr/>
                  <w:rPr>
                    <w:rFonts w:ascii="Cambria Math" w:hAnsi="Cambria Math"/>
                  </w:rPr>
                  <m:t>⋅j</m:t>
                </m:r>
              </m:sub>
            </m:sSub>
          </m:num>
          <m:den>
            <m:r>
              <m:rPr/>
              <w:rPr>
                <w:rFonts w:ascii="Cambria Math" w:hAnsi="Cambria Math"/>
              </w:rPr>
              <m:t>n</m:t>
            </m:r>
          </m:den>
        </m:f>
      </m:oMath>
      <w:r>
        <w:rPr>
          <w:rFonts w:ascii="Arial" w:hAnsi="Arial" w:eastAsia="等线" w:cs="Arial"/>
          <w:sz w:val="22"/>
        </w:rPr>
        <w:t>为对应期望频数（</w:t>
      </w:r>
      <m:oMath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为第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层总人数，</w:t>
      </w:r>
      <m:oMath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⋅j</m:t>
            </m:r>
          </m:sub>
        </m:sSub>
      </m:oMath>
      <w:r>
        <w:rPr>
          <w:rFonts w:ascii="Arial" w:hAnsi="Arial" w:eastAsia="等线" w:cs="Arial"/>
          <w:sz w:val="22"/>
        </w:rPr>
        <w:t>为第</w:t>
      </w:r>
      <m:oMath>
        <m:r>
          <m:rPr/>
          <w:rPr>
            <w:rFonts w:ascii="Cambria Math" w:hAnsi="Cambria Math"/>
          </w:rPr>
          <m:t>j</m:t>
        </m:r>
      </m:oMath>
      <w:r>
        <w:rPr>
          <w:rFonts w:ascii="Arial" w:hAnsi="Arial" w:eastAsia="等线" w:cs="Arial"/>
          <w:sz w:val="22"/>
        </w:rPr>
        <w:t>类结局总人数，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Arial" w:hAnsi="Arial" w:eastAsia="等线" w:cs="Arial"/>
          <w:sz w:val="22"/>
        </w:rPr>
        <w:t>为总样本量）。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卡方统计量：</w:t>
      </w:r>
    </w:p>
    <w:p w14:paraId="262A8B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自由度：</w:t>
      </w:r>
      <m:oMath>
        <m:r>
          <m:rPr/>
          <w:rPr>
            <w:rFonts w:ascii="Cambria Math" w:hAnsi="Cambria Math"/>
          </w:rPr>
          <m:t>df=(r−1)(c−1)</m:t>
        </m:r>
      </m:oMath>
    </w:p>
    <w:p w14:paraId="7783C45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逻辑依据：若体质分层与发病状态独立，则观测频数与期望频数偏差小，卡方值小；反之则偏差大。</w:t>
      </w:r>
    </w:p>
    <w:p w14:paraId="6CFA03B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场景意义：检验不同偏颇等级下的慢病患病率是否存在统计学差异，初步验证体质与慢病的关联性。</w:t>
      </w:r>
    </w:p>
    <w:p w14:paraId="4311C3F6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步骤 3：Cochran-Armitage 趋势卡方检验（统计原理：剂量反应关系检验）</w:t>
      </w:r>
      <w:bookmarkEnd w:id="6"/>
    </w:p>
    <w:p w14:paraId="3585A8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为验证发病风险随体质等级升高的线性趋势，对有序分层进行趋势检验。设第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层的评分赋值为</w:t>
      </w:r>
      <m:oMath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（如 1,2,3），第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层发病人数为</w:t>
      </w:r>
      <m:oMath>
        <m:sSub>
          <m:sSubPr/>
          <m:e>
            <m:r>
              <m:rPr/>
              <w:rPr>
                <w:rFonts w:ascii="Cambria Math" w:hAnsi="Cambria Math"/>
              </w:rPr>
              <m:t>d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，总人数为</w:t>
      </w:r>
      <m:oMath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，总发病人数为</w:t>
      </w:r>
      <m:oMath>
        <m:r>
          <m:rPr/>
          <w:rPr>
            <w:rFonts w:ascii="Cambria Math" w:hAnsi="Cambria Math"/>
          </w:rPr>
          <m:t>D</m:t>
        </m:r>
      </m:oMath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趋势卡方统计量：</w:t>
      </w:r>
    </w:p>
    <w:p w14:paraId="5D92D8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自由度：</w:t>
      </w:r>
      <m:oMath>
        <m:r>
          <m:rPr/>
          <w:rPr>
            <w:rFonts w:ascii="Cambria Math" w:hAnsi="Cambria Math"/>
          </w:rPr>
          <m:t>df=1</m:t>
        </m:r>
      </m:oMath>
    </w:p>
    <w:p w14:paraId="2043E1B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逻辑依据：利用分层的有序信息，检验发病概率是否随暴露等级升高呈线性上升，比普通卡方检验效能更高。</w:t>
      </w:r>
    </w:p>
    <w:p w14:paraId="0FF2511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场景意义：验证 “体质偏颇程度越重，慢病发病风险越高” 的剂量反应关系，强化关联的因果推断证据。</w:t>
      </w:r>
    </w:p>
    <w:p w14:paraId="6FA114C9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步骤 4：ROC 曲线与最佳截断值确定（统计原理：灵敏度与特异度的最优权衡）</w:t>
      </w:r>
      <w:bookmarkEnd w:id="7"/>
    </w:p>
    <w:p w14:paraId="003186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以偏颇体质总分为检验变量，慢病发病状态为金标准，计算每个评分阈值对应的真阳性率（灵敏度）与假阳性率（1 - 特异度）：</w:t>
      </w:r>
    </w:p>
    <w:p w14:paraId="5F9FFB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ROC 曲线下面积（AUC）为曲线下的积分，衡量整体判别效能：</w:t>
      </w:r>
    </w:p>
    <w:p w14:paraId="57AA2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通过约登指数（Youden’s Index）确定最佳截断值：</w:t>
      </w:r>
    </w:p>
    <w:p w14:paraId="5607F6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取约登指数最大值对应的体质总分作为最佳截断值</w:t>
      </w:r>
      <m:oMath>
        <m:r>
          <m:rPr>
            <m:nor/>
            <m:sty m:val="p"/>
          </m:rPr>
          <w:rPr>
            <w:rFonts w:ascii="Cambria Math" w:hAnsi="Cambria Math"/>
          </w:rPr>
          <m:t>cut-off</m:t>
        </m:r>
      </m:oMath>
      <w:r>
        <w:rPr>
          <w:rFonts w:ascii="Arial" w:hAnsi="Arial" w:eastAsia="等线" w:cs="Arial"/>
          <w:sz w:val="22"/>
        </w:rPr>
        <w:t>。</w:t>
      </w:r>
    </w:p>
    <w:p w14:paraId="318A199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逻辑依据：约登指数最大化灵敏度与特异度之和，实现漏诊与误诊的最优平衡。</w:t>
      </w:r>
    </w:p>
    <w:p w14:paraId="19BD82A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场景意义：得到可直接用于临床筛查的体质评分阈值，划分慢病高风险与低风险人群。</w:t>
      </w:r>
    </w:p>
    <w:p w14:paraId="2813DF2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(4) 建模流程图（文字逻辑链）</w:t>
      </w:r>
      <w:bookmarkEnd w:id="8"/>
    </w:p>
    <w:p w14:paraId="4AE3E3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场景抽象（偏颇体质是否与慢病发病相关，是否存在剂量反应，如何确定风险阈值 → 转化为 “有序分层与二分类结局的关联性 + 趋势 + 阈值判定” 问题）→ 变量定义（明确二分类目标变量、连续体质核心变量、分层中间变量、检验统计量与显著性假设参数）→ 公式推导（分位数分层规则 → Pearson 卡方独立性检验 → 趋势卡方剂量反应检验 → ROC 曲线与约登指数阈值计算）→ 约束设定（变量取值范围约束、样本独立性约束、期望频数充足约束、判别单调性约束）→ 目标确立（检验体质与慢病的关联显著性、验证剂量反应趋势、计算判别效能与最佳风险阈值）→ 参数校准（计算列联表观测与期望频数 → 计算卡方值与 P 值 → 绘制 ROC 曲线计算 AUC → 求解约登指数最大值对应阈值）→ </w:t>
      </w:r>
      <w:r>
        <w:rPr>
          <w:rFonts w:ascii="Arial" w:hAnsi="Arial" w:eastAsia="等线" w:cs="Arial"/>
          <w:b/>
          <w:sz w:val="22"/>
        </w:rPr>
        <w:t>关键验证节点 1</w:t>
      </w:r>
      <w:r>
        <w:rPr>
          <w:rFonts w:ascii="Arial" w:hAnsi="Arial" w:eastAsia="等线" w:cs="Arial"/>
          <w:sz w:val="22"/>
        </w:rPr>
        <w:t>（卡方检验 P 值与</w:t>
      </w:r>
      <m:oMath>
        <m:r>
          <m:rPr/>
          <w:rPr>
            <w:rFonts w:ascii="Cambria Math" w:hAnsi="Cambria Math"/>
          </w:rPr>
          <m:t>α</m:t>
        </m:r>
      </m:oMath>
      <w:r>
        <w:rPr>
          <w:rFonts w:ascii="Arial" w:hAnsi="Arial" w:eastAsia="等线" w:cs="Arial"/>
          <w:sz w:val="22"/>
        </w:rPr>
        <w:t xml:space="preserve">比较，判定关联是否显著）→ </w:t>
      </w:r>
      <w:r>
        <w:rPr>
          <w:rFonts w:ascii="Arial" w:hAnsi="Arial" w:eastAsia="等线" w:cs="Arial"/>
          <w:b/>
          <w:sz w:val="22"/>
        </w:rPr>
        <w:t>关键验证节点 2</w:t>
      </w:r>
      <w:r>
        <w:rPr>
          <w:rFonts w:ascii="Arial" w:hAnsi="Arial" w:eastAsia="等线" w:cs="Arial"/>
          <w:sz w:val="22"/>
        </w:rPr>
        <w:t>（趋势检验 P 值 &lt;</w:t>
      </w:r>
      <m:oMath>
        <m:r>
          <m:rPr/>
          <w:rPr>
            <w:rFonts w:ascii="Cambria Math" w:hAnsi="Cambria Math"/>
          </w:rPr>
          <m:t>α</m:t>
        </m:r>
      </m:oMath>
      <w:r>
        <w:rPr>
          <w:rFonts w:ascii="Arial" w:hAnsi="Arial" w:eastAsia="等线" w:cs="Arial"/>
          <w:sz w:val="22"/>
        </w:rPr>
        <w:t xml:space="preserve">，验证剂量反应关系符合中医理论）→ </w:t>
      </w:r>
      <w:r>
        <w:rPr>
          <w:rFonts w:ascii="Arial" w:hAnsi="Arial" w:eastAsia="等线" w:cs="Arial"/>
          <w:b/>
          <w:sz w:val="22"/>
        </w:rPr>
        <w:t>关键验证节点 3</w:t>
      </w:r>
      <w:r>
        <w:rPr>
          <w:rFonts w:ascii="Arial" w:hAnsi="Arial" w:eastAsia="等线" w:cs="Arial"/>
          <w:sz w:val="22"/>
        </w:rPr>
        <w:t>（AUC&gt;0.7，验证体质评分的判别价值）→ 模型输出：体质分层患病率表、卡方与趋势检验结果、AUC 与最佳截断值、风险分层判定规则。</w:t>
      </w:r>
    </w:p>
    <w:p w14:paraId="7FCD6BCD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78867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5F03">
      <w:pPr>
        <w:spacing w:before="120" w:after="120" w:line="288" w:lineRule="auto"/>
        <w:ind w:left="0"/>
        <w:jc w:val="left"/>
      </w:pPr>
    </w:p>
    <w:p w14:paraId="36FD329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59E47C6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小问 2：致动脉粥样硬化指数 (AIP) 影响因素模型（方案 1：单因素相关 + 组间差异检验）</w:t>
      </w:r>
      <w:bookmarkEnd w:id="9"/>
    </w:p>
    <w:p w14:paraId="178D3350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(1) 变量定义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0F0EAC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2A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变量分类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0F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变量符号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26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B1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AB8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6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约束范围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72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参数属性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7B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场景意义</w:t>
            </w:r>
          </w:p>
        </w:tc>
      </w:tr>
      <w:tr w14:paraId="5734C7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30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4B44E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35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AIP 值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6E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32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EFFC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(−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  <m:r>
                  <m:rPr/>
                  <w:rPr>
                    <w:rFonts w:ascii="Cambria Math" w:hAnsi="Cambria Math"/>
                  </w:rPr>
                  <m:t>,+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  <m:r>
                  <m:rPr/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B0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9FCEB">
            <w:pPr>
              <w:spacing w:before="120" w:after="120" w:line="288" w:lineRule="auto"/>
              <w:ind w:left="0"/>
              <w:jc w:val="left"/>
            </w:pP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10</m:t>
                  </m:r>
                </m:sub>
              </m:sSub>
              <m:r>
                <m:rPr/>
                <w:rPr>
                  <w:rFonts w:ascii="Cambria Math" w:hAnsi="Cambria Math"/>
                </w:rPr>
                <m:t>⁡(</m:t>
              </m:r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TG</m:t>
              </m:r>
              <m:r>
                <m:rPr/>
                <w:rPr>
                  <w:rFonts w:ascii="Cambria Math" w:hAnsi="Cambria Math"/>
                </w:rPr>
                <m:t>/</m:t>
              </m:r>
              <m:r>
                <m:rPr>
                  <m:nor/>
                  <m:sty m:val="p"/>
                </m:rPr>
                <w:rPr>
                  <w:rFonts w:ascii="Cambria Math" w:hAnsi="Cambria Math"/>
                </w:rPr>
                <m:t>HDL-C</m:t>
              </m:r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rPr>
                <w:rFonts w:ascii="Arial" w:hAnsi="Arial" w:eastAsia="等线" w:cs="Arial"/>
                <w:sz w:val="22"/>
              </w:rPr>
              <w:t>，反映血脂致动脉粥样硬化能力，为分析的结局指标</w:t>
            </w:r>
          </w:p>
        </w:tc>
      </w:tr>
      <w:tr w14:paraId="7640ED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B4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核心决策变量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6762B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cont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D17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连续型影响因素（年龄、BMI、TG 等）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37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D3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对应单位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32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合理生理范围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D3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A8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连续型暴露因素，用于相关性分析</w:t>
            </w:r>
          </w:p>
        </w:tc>
      </w:tr>
      <w:tr w14:paraId="42BFAA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BF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核心决策变量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255BA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cat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5B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分类型影响因素（性别、吸烟、运动等）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A5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3BF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A4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有限类别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4B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6B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二分类 / 多分类暴露因素，用于组间差异比较</w:t>
            </w:r>
          </w:p>
        </w:tc>
      </w:tr>
      <w:tr w14:paraId="3997E6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01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F72CE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40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Pearson 相关系数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133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A5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2F8C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[−1,1]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75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DF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衡量连续因素与 AIP 的线性关联强度，正为正相关，负为负相关</w:t>
            </w:r>
          </w:p>
        </w:tc>
      </w:tr>
      <w:tr w14:paraId="0E1603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44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886C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08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 检验统计量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4C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CC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886D5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(−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  <m:r>
                  <m:rPr/>
                  <w:rPr>
                    <w:rFonts w:ascii="Cambria Math" w:hAnsi="Cambria Math"/>
                  </w:rPr>
                  <m:t>,+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  <m:r>
                  <m:rPr/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FD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04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用于相关系数与组间均值差异的显著性检验</w:t>
            </w:r>
          </w:p>
        </w:tc>
      </w:tr>
      <w:tr w14:paraId="1E8B31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CA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C00A1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92C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 检验统计量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9BB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B0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1715D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≥0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54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02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用于多组均值差异的方差分析检验</w:t>
            </w:r>
          </w:p>
        </w:tc>
      </w:tr>
      <w:tr w14:paraId="160477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B2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4CD57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139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显著性水平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BC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46F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89914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(0,1)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4DF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933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预设检验水准，通常取 0.05，判断统计显著性</w:t>
            </w:r>
          </w:p>
        </w:tc>
      </w:tr>
      <w:tr w14:paraId="3102DE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D7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A446B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A2C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分组数量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948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B6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70F19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≥2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C8A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98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多分类因素的分组数，如年龄分 3 组、学历分 4 组等</w:t>
            </w:r>
          </w:p>
        </w:tc>
      </w:tr>
    </w:tbl>
    <w:p w14:paraId="2B36DF8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(2) 核心假设条件</w:t>
      </w:r>
      <w:bookmarkEnd w:id="11"/>
    </w:p>
    <w:p w14:paraId="4985509D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观测独立性假设</w:t>
      </w:r>
    </w:p>
    <w:p w14:paraId="6991589B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内容：样本中个体的 AIP 测量值相互独立，无聚集性或配对关系。</w:t>
      </w:r>
    </w:p>
    <w:p w14:paraId="6689185F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依据：研究采用随机抽样的横断面设计，个体间无亲缘、同环境等聚集关联。</w:t>
      </w:r>
    </w:p>
    <w:p w14:paraId="797E819D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对模型的影响：满足参数检验的独立性前提，t 检验、方差分析结果有效。</w:t>
      </w:r>
    </w:p>
    <w:p w14:paraId="6717AFD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近似正态分布假设</w:t>
      </w:r>
    </w:p>
    <w:p w14:paraId="08F8810A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内容：连续型影响因素与 AIP 联合服从二元正态分布；不同分组下 AIP 近似服从正态分布。</w:t>
      </w:r>
    </w:p>
    <w:p w14:paraId="5F6AC2A5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依据：大样本下中心极限定理，体检人群血脂相关指标近似服从正态分布。</w:t>
      </w:r>
    </w:p>
    <w:p w14:paraId="72F84973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对模型的影响：Pearson 相关系数、t 检验、方差分析的参数检验方法适用，检验结果可靠。</w:t>
      </w:r>
    </w:p>
    <w:p w14:paraId="2919B72D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方差齐性假设</w:t>
      </w:r>
    </w:p>
    <w:p w14:paraId="32D95383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内容：不同分组下 AIP 的总体方差相等（同质性）。</w:t>
      </w:r>
    </w:p>
    <w:p w14:paraId="59204D8E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依据：研究人群为同质感官人群，无极端异质性亚组，AIP 波动程度相近。</w:t>
      </w:r>
    </w:p>
    <w:p w14:paraId="2108CCC9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对模型的影响：独立样本 t 检验、单因素方差分析的标准误估计准确，检验效能最优。</w:t>
      </w:r>
    </w:p>
    <w:p w14:paraId="624FE1C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线性 / 单调关联假设</w:t>
      </w:r>
    </w:p>
    <w:p w14:paraId="2BC81862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内容：连续型影响因素与 AIP 之间存在线性或单调关联关系。</w:t>
      </w:r>
    </w:p>
    <w:p w14:paraId="7C3C1699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依据：血脂代谢的生理机制，暴露因素剂量与 AIP 水平呈渐进式关联。</w:t>
      </w:r>
    </w:p>
    <w:p w14:paraId="06159E43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对模型的影响：相关系数可准确反映关联强度与方向，结果具有临床解释意义。</w:t>
      </w:r>
    </w:p>
    <w:p w14:paraId="4F4929A0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(3) 公式推导（分步 + 逻辑依据）</w:t>
      </w:r>
      <w:bookmarkEnd w:id="12"/>
    </w:p>
    <w:p w14:paraId="1438804A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步骤 1：连续因素的 Pearson 线性相关分析（统计原理：衡量两连续变量的线性关联强度）</w:t>
      </w:r>
      <w:bookmarkEnd w:id="13"/>
    </w:p>
    <w:p w14:paraId="38F2CE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设连续影响因素为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，AIP 为</w:t>
      </w:r>
      <m:oMath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，样本量为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Arial" w:hAnsi="Arial" w:eastAsia="等线" w:cs="Arial"/>
          <w:sz w:val="22"/>
        </w:rPr>
        <w:t>。计算变量的离均差乘积和与离均差平方和：</w:t>
      </w:r>
    </w:p>
    <w:p w14:paraId="4DDE1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Pearson 相关系数：</w:t>
      </w:r>
    </w:p>
    <w:p w14:paraId="0ABA4A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对相关系数进行 t 检验，验证总体相关系数是否为 0：</w:t>
      </w:r>
    </w:p>
    <w:p w14:paraId="7C1F4D9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逻辑依据：相关系数取值</w:t>
      </w:r>
      <m:oMath>
        <m:r>
          <m:rPr/>
          <w:rPr>
            <w:rFonts w:ascii="Cambria Math" w:hAnsi="Cambria Math"/>
          </w:rPr>
          <m:t>[−1,1]</m:t>
        </m:r>
      </m:oMath>
      <w:r>
        <w:rPr>
          <w:rFonts w:ascii="Arial" w:hAnsi="Arial" w:eastAsia="等线" w:cs="Arial"/>
          <w:sz w:val="22"/>
        </w:rPr>
        <w:t>，绝对值越大线性关联越强；t 检验判断关联是否由抽样误差导致。</w:t>
      </w:r>
    </w:p>
    <w:p w14:paraId="2256C66A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场景意义：逐个量化年龄、BMI、血脂组分等连续因素与 AIP 的线性关联强度及显著性，筛选潜在影响因素。</w:t>
      </w:r>
    </w:p>
    <w:p w14:paraId="00461A99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步骤 2：二分类分组的独立样本 t 检验（统计原理：两独立样本均值差异的显著性检验）</w:t>
      </w:r>
      <w:bookmarkEnd w:id="14"/>
    </w:p>
    <w:p w14:paraId="6E7FAE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对于二分类因素（如性别：男 / 女，吸烟：是 / 否），设两组 AIP 均值为</w:t>
      </w:r>
      <m:oMath>
        <m:sSub>
          <m:sSubPr/>
          <m:e>
            <m:bar>
              <m:barPr>
                <m:pos m:val="top"/>
              </m:barPr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</m:ba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bar>
              <m:barPr>
                <m:pos m:val="top"/>
              </m:barPr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</m:ba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，样本量为</w:t>
      </w:r>
      <m:oMath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，样本方差为</w:t>
      </w:r>
      <m:oMath>
        <m:sSubSup>
          <m:sSubSup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  <m:sup>
            <m:r>
              <m:rPr/>
              <w:rPr>
                <w:rFonts w:ascii="Cambria Math" w:hAnsi="Cambria Math"/>
              </w:rPr>
              <m:t>2</m:t>
            </m:r>
          </m:sup>
        </m:sSubSup>
        <m:r>
          <m:rPr/>
          <w:rPr>
            <w:rFonts w:ascii="Cambria Math" w:hAnsi="Cambria Math"/>
          </w:rPr>
          <m:t>,</m:t>
        </m:r>
        <m:sSubSup>
          <m:sSubSup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  <m:sup>
            <m:r>
              <m:rPr/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合并方差：</w:t>
      </w:r>
    </w:p>
    <w:p w14:paraId="4ED7BD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 统计量：</w:t>
      </w:r>
    </w:p>
    <w:p w14:paraId="64A35BA2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逻辑依据：若两组总体均值无差异，则样本均值差应在 0 附近波动，t 值服从 t 分布；t 值越大则差异越显著。</w:t>
      </w:r>
    </w:p>
    <w:p w14:paraId="65D7DB22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场景意义：比较不同性别、吸烟状态等二分类人群的 AIP 水平差异，识别分类影响因素。</w:t>
      </w:r>
    </w:p>
    <w:p w14:paraId="438CE7E6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步骤 3：多分类分组的单因素方差分析（统计原理：多独立样本均值差异的显著性检验）</w:t>
      </w:r>
      <w:bookmarkEnd w:id="15"/>
    </w:p>
    <w:p w14:paraId="5E37D1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ascii="Arial" w:hAnsi="Arial" w:eastAsia="等线" w:cs="Arial"/>
          <w:sz w:val="22"/>
        </w:rPr>
        <w:t>组分类因素（如年龄组、学历组、体质分层组），分解 AIP 的总变异为组间变异与组内变异：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总平方和（总变异）：</w:t>
      </w:r>
    </w:p>
    <w:p w14:paraId="164CD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组间平方和（组间变异）：</w:t>
      </w:r>
    </w:p>
    <w:p w14:paraId="5680A4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组内平方和（组内变异 / 误差）：</w:t>
      </w:r>
    </w:p>
    <w:p w14:paraId="65C2CF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构造 F 统计量：</w:t>
      </w:r>
    </w:p>
    <w:p w14:paraId="43320D56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逻辑依据：若各组总体均值无差异，则组间变异与组内变异应相近，F 值接近 1；F 值越大则组间差异越显著。</w:t>
      </w:r>
    </w:p>
    <w:p w14:paraId="3130E9F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场景意义：检验多分类因素（如不同年龄组、不同体质等级）下 AIP 水平是否存在整体显著差异。</w:t>
      </w:r>
    </w:p>
    <w:p w14:paraId="3B8FA888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步骤 4：事后多重比较（LSD 法，统计原理：多组间两两比较定位差异）</w:t>
      </w:r>
      <w:bookmarkEnd w:id="16"/>
    </w:p>
    <w:p w14:paraId="32ADC9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若方差分析整体显著，进一步进行两两比较，最小显著差数法（LSD）的检验统计量：</w:t>
      </w:r>
    </w:p>
    <w:p w14:paraId="3CD35BB1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逻辑依据：利用方差分析的合并误差 MSE，提高检验效能；逐对比较确定具体哪两组存在差异。</w:t>
      </w:r>
    </w:p>
    <w:p w14:paraId="3AA6B469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场景意义：明确不同分组间 AIP 的具体差异，比如中年组与青年组、老年组与中年组的差异显著性。</w:t>
      </w:r>
    </w:p>
    <w:p w14:paraId="1B16DAA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(4) 建模流程图（文字逻辑链）</w:t>
      </w:r>
      <w:bookmarkEnd w:id="17"/>
    </w:p>
    <w:p w14:paraId="682483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场景抽象（哪些因素与 AIP 水平相关，不同人群 AIP 是否有差异 → 转化为 “连续变量相关 + 分类变量组间差异” 的单因素分析问题）→ 变量定义（明确连续目标变量 AIP、连续 / 分类决策变量、相关系数与检验统计量中间变量、显著性假设参数）→ 公式推导（Pearson 相关系数计算与 t 检验 → 二分类独立样本 t 检验 → 多分类单因素方差分析 → LSD 事后两两比较）→ 约束设定（变量生理范围约束、样本独立性约束、正态性约束、方差齐性约束）→ 目标确立（逐个检验各因素与 AIP 的关联显著性，量化关联强度与组间差异）→ 参数校准（计算相关系数与对应 P 值 → 计算组间均值差与 t/P 值 → 计算方差分析 F 值与 P 值 → 事后两两比较定位差异组）→ </w:t>
      </w:r>
      <w:r>
        <w:rPr>
          <w:rFonts w:ascii="Arial" w:hAnsi="Arial" w:eastAsia="等线" w:cs="Arial"/>
          <w:b/>
          <w:sz w:val="22"/>
        </w:rPr>
        <w:t>关键验证节点 1</w:t>
      </w:r>
      <w:r>
        <w:rPr>
          <w:rFonts w:ascii="Arial" w:hAnsi="Arial" w:eastAsia="等线" w:cs="Arial"/>
          <w:sz w:val="22"/>
        </w:rPr>
        <w:t xml:space="preserve">（正态性与方差齐性检验，判断参数检验适用性）→ </w:t>
      </w:r>
      <w:r>
        <w:rPr>
          <w:rFonts w:ascii="Arial" w:hAnsi="Arial" w:eastAsia="等线" w:cs="Arial"/>
          <w:b/>
          <w:sz w:val="22"/>
        </w:rPr>
        <w:t>关键验证节点 2</w:t>
      </w:r>
      <w:r>
        <w:rPr>
          <w:rFonts w:ascii="Arial" w:hAnsi="Arial" w:eastAsia="等线" w:cs="Arial"/>
          <w:sz w:val="22"/>
        </w:rPr>
        <w:t>（P 值与</w:t>
      </w:r>
      <m:oMath>
        <m:r>
          <m:rPr/>
          <w:rPr>
            <w:rFonts w:ascii="Cambria Math" w:hAnsi="Cambria Math"/>
          </w:rPr>
          <m:t>α</m:t>
        </m:r>
      </m:oMath>
      <w:r>
        <w:rPr>
          <w:rFonts w:ascii="Arial" w:hAnsi="Arial" w:eastAsia="等线" w:cs="Arial"/>
          <w:sz w:val="22"/>
        </w:rPr>
        <w:t xml:space="preserve">比较，筛选有统计学意义的影响因素）→ </w:t>
      </w:r>
      <w:r>
        <w:rPr>
          <w:rFonts w:ascii="Arial" w:hAnsi="Arial" w:eastAsia="等线" w:cs="Arial"/>
          <w:b/>
          <w:sz w:val="22"/>
        </w:rPr>
        <w:t>关键验证节点 3</w:t>
      </w:r>
      <w:r>
        <w:rPr>
          <w:rFonts w:ascii="Arial" w:hAnsi="Arial" w:eastAsia="等线" w:cs="Arial"/>
          <w:sz w:val="22"/>
        </w:rPr>
        <w:t>（相关系数符号与生理逻辑一致性验证：如 TG 升高则 AIP 升高）→ 模型输出：各因素相关系数与显著性、各组 AIP 均值 ± 标准差、组间差异检验结果、潜在影响因素排序。</w:t>
      </w:r>
    </w:p>
    <w:p w14:paraId="00D4D2E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B9F2E38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小问 3：活动能力分级影响因素模型（方案 1：等级相关 + 非参数秩和检验）</w:t>
      </w:r>
      <w:bookmarkEnd w:id="18"/>
    </w:p>
    <w:p w14:paraId="6DDA3D62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(1) 变量定义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6E883B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12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变量分类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D9E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变量符号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A5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变量名称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2A8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变量类型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83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DB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约束范围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A1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参数属性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DC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场景意义</w:t>
            </w:r>
          </w:p>
        </w:tc>
      </w:tr>
      <w:tr w14:paraId="66E97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ADA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A44E2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B39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ECOG 活动能力分级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4B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有序离散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E6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E7026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0,1,2,3,4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917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7E7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= 完全正常，4 = 卧床不起；等级越高活动能力越差，为分析的结局指标</w:t>
            </w:r>
          </w:p>
        </w:tc>
      </w:tr>
      <w:tr w14:paraId="3A3D3F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83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核心决策变量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9836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ord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0E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有序 / 连续影响因素（偏颇体质总分、AIP、年龄）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DB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 / 有序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C9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对应单位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74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合理范围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F4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1BB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等级关联分析的暴露因素</w:t>
            </w:r>
          </w:p>
        </w:tc>
      </w:tr>
      <w:tr w14:paraId="64DD5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F3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核心决策变量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E5172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cat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40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分类型影响因素（性别、慢病、吸烟等）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C4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83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A9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有限类别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B8A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已知参数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BD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组间秩和比较的分组因素</w:t>
            </w:r>
          </w:p>
        </w:tc>
      </w:tr>
      <w:tr w14:paraId="46BB0B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D4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2AFC6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DF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Spearman 等级相关系数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61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65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DF197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[−1,1]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630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A9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衡量两有序变量的单调关联强度，不依赖正态分布</w:t>
            </w:r>
          </w:p>
        </w:tc>
      </w:tr>
      <w:tr w14:paraId="2EA95A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A50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7869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9F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Kruskal-Wallis H 统计量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72E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9CC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2FEB6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≥0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8E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B2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多组秩和检验的统计量，判断多组分布差异</w:t>
            </w:r>
          </w:p>
        </w:tc>
      </w:tr>
      <w:tr w14:paraId="7D29E1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74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中间变量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F2142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8D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j 组秩和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C5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FA1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8120E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6B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校准参数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76A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 j 组所有观测值在总样本中的秩次之和，是非参数检验的核心计算量</w:t>
            </w:r>
          </w:p>
        </w:tc>
      </w:tr>
      <w:tr w14:paraId="3BBCC2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E4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7B9C2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40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显著性水平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EF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69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C41A8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(0,1)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15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0D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预设检验水准，通常取 0.05，判断统计显著性</w:t>
            </w:r>
          </w:p>
        </w:tc>
      </w:tr>
      <w:tr w14:paraId="7A4193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22A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CD49B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A65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分组数量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F51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B8E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7ED15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≥2</m:t>
                </m:r>
              </m:oMath>
            </m:oMathPara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BA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假设参数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294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多分类因素的分组数</w:t>
            </w:r>
          </w:p>
        </w:tc>
      </w:tr>
    </w:tbl>
    <w:p w14:paraId="0929F898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(2) 核心假设条件</w:t>
      </w:r>
      <w:bookmarkEnd w:id="20"/>
    </w:p>
    <w:p w14:paraId="190C9681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分级有序性假设</w:t>
      </w:r>
    </w:p>
    <w:p w14:paraId="303AF267"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内容：ECOG 活动能力分级具有明确的等级顺序，等级越高代表活动能力越差，等级间优劣关系唯一确定。</w:t>
      </w:r>
    </w:p>
    <w:p w14:paraId="483E4E37"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依据：ECOG 体能评分为国际公认的有序评估标准，各级别有明确临床定义，顺序不可逆。</w:t>
      </w:r>
    </w:p>
    <w:p w14:paraId="0A9A9871"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对模型的影响：可使用等级相关与秩和检验，充分利用等级信息，检验效能高于无序分类检验。</w:t>
      </w:r>
    </w:p>
    <w:p w14:paraId="478F9D53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观测独立性假设</w:t>
      </w:r>
    </w:p>
    <w:p w14:paraId="00200806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内容：个体间活动能力评估结果相互独立，无配对、聚集或层级关系。</w:t>
      </w:r>
    </w:p>
    <w:p w14:paraId="5969396A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依据：随机抽样设计，评估采用统一标准，个体间无相互影响。</w:t>
      </w:r>
    </w:p>
    <w:p w14:paraId="7E1881A3"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对模型的影响：满足非参数检验的独立性前提，检验结果有效。</w:t>
      </w:r>
    </w:p>
    <w:p w14:paraId="66CA42B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分布自由假设</w:t>
      </w:r>
    </w:p>
    <w:p w14:paraId="5892F24D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内容：不要求活动能力分级与影响因素服从特定分布（如正态分布）。</w:t>
      </w:r>
    </w:p>
    <w:p w14:paraId="67F3C0C8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依据：活动能力分级为有序离散数据，不满足正态分布条件，不适合参数检验。</w:t>
      </w:r>
    </w:p>
    <w:p w14:paraId="47EB200E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对模型的影响：采用非参数统计方法，适用范围广，对偏态、有序数据结果稳健。</w:t>
      </w:r>
    </w:p>
    <w:p w14:paraId="15A22BB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关联单调性假设</w:t>
      </w:r>
    </w:p>
    <w:p w14:paraId="637CD110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内容：影响因素与活动能力等级存在单调关联，即因素水平越高，活动能力等级越高 / 越低的趋势一致。</w:t>
      </w:r>
    </w:p>
    <w:p w14:paraId="2D974ABA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依据：健康状况越差、体质偏颇越重，活动能力越差的生理规律，不存在反向转折。</w:t>
      </w:r>
    </w:p>
    <w:p w14:paraId="555349A8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对模型的影响：Spearman 等级相关系数可准确反映关联的方向与强度，结果具有临床意义。</w:t>
      </w:r>
    </w:p>
    <w:p w14:paraId="29BCA2C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(3) 公式推导（分步 + 逻辑依据）</w:t>
      </w:r>
      <w:bookmarkEnd w:id="21"/>
    </w:p>
    <w:p w14:paraId="466577CC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步骤 1：Spearman 等级相关分析（统计原理：基于秩次的单调关联强度衡量）</w:t>
      </w:r>
      <w:bookmarkEnd w:id="22"/>
    </w:p>
    <w:p w14:paraId="454066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对于连续 / 有序影响因素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与有序结局</w:t>
      </w:r>
      <m:oMath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3</m:t>
            </m:r>
          </m:sub>
        </m:sSub>
      </m:oMath>
      <w:r>
        <w:rPr>
          <w:rFonts w:ascii="Arial" w:hAnsi="Arial" w:eastAsia="等线" w:cs="Arial"/>
          <w:sz w:val="22"/>
        </w:rPr>
        <w:t>，先将两个变量分别从小到大编秩，得到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的秩次</w:t>
      </w:r>
      <m:oMath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与</w:t>
      </w:r>
      <m:oMath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3</m:t>
            </m:r>
          </m:sub>
        </m:sSub>
      </m:oMath>
      <w:r>
        <w:rPr>
          <w:rFonts w:ascii="Arial" w:hAnsi="Arial" w:eastAsia="等线" w:cs="Arial"/>
          <w:sz w:val="22"/>
        </w:rPr>
        <w:t>的秩次</w:t>
      </w:r>
      <m:oMath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，秩次差</w:t>
      </w:r>
      <m:oMath>
        <m:sSub>
          <m:sSubPr/>
          <m:e>
            <m:r>
              <m:rPr/>
              <w:rPr>
                <w:rFonts w:ascii="Cambria Math" w:hAnsi="Cambria Math"/>
              </w:rPr>
              <m:t>d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=</m:t>
        </m:r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−</m:t>
        </m:r>
        <m:sSub>
          <m:sSubPr/>
          <m:e>
            <m:r>
              <m:rPr/>
              <w:rPr>
                <w:rFonts w:ascii="Cambria Math" w:hAnsi="Cambria Math"/>
              </w:rPr>
              <m:t>S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Spearman 等级相关系数：</w:t>
      </w:r>
    </w:p>
    <w:p w14:paraId="754814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（无相同秩次时使用；存在结时需校正，采用秩次的 Pearson 相关计算）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大样本下对相关系数进行 z 检验：</w:t>
      </w:r>
    </w:p>
    <w:p w14:paraId="7720DCF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逻辑依据：将原始值转换为秩次，消除分布与量纲影响，衡量变量间的单调趋势而非线性关系。</w:t>
      </w:r>
    </w:p>
    <w:p w14:paraId="0EFBC9B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场景意义：量化偏颇体质总分、AIP、年龄等因素与活动能力等级的等级关联强度，验证 “因素越异常，活动能力越差” 的趋势。</w:t>
      </w:r>
    </w:p>
    <w:p w14:paraId="3A36BB86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步骤 2：二分类分组的 Mann-Whitney U 检验（统计原理：两独立样本秩和检验）</w:t>
      </w:r>
      <w:bookmarkEnd w:id="23"/>
    </w:p>
    <w:p w14:paraId="7C073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对于二分类分组因素，将两组数据混合编秩，计算每组的秩和</w:t>
      </w:r>
      <m:oMath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</m:oMath>
      <w:r>
        <w:rPr>
          <w:rFonts w:ascii="Arial" w:hAnsi="Arial" w:eastAsia="等线" w:cs="Arial"/>
          <w:sz w:val="22"/>
        </w:rPr>
        <w:t>，构造 U 统计量：</w:t>
      </w:r>
    </w:p>
    <w:p w14:paraId="670FCF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</w:t>
      </w:r>
      <m:oMath>
        <m:r>
          <m:rPr/>
          <w:rPr>
            <w:rFonts w:ascii="Cambria Math" w:hAnsi="Cambria Math"/>
          </w:rPr>
          <m:t>U=min(</m:t>
        </m:r>
        <m:sSub>
          <m:sSubPr/>
          <m:e>
            <m:r>
              <m:rPr/>
              <w:rPr>
                <w:rFonts w:ascii="Cambria Math" w:hAnsi="Cambria Math"/>
              </w:rPr>
              <m:t>U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U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作为检验统计量，大样本下近似正态分布：</w:t>
      </w:r>
    </w:p>
    <w:p w14:paraId="11438638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逻辑依据：若两组总体分布无差异，则两组秩和应相近，U 值不会过小；U 越小则两组分布差异越大。</w:t>
      </w:r>
    </w:p>
    <w:p w14:paraId="28F22730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场景意义：比较不同性别、有无慢病等二分类人群的活动能力分级分布是否存在显著差异。</w:t>
      </w:r>
    </w:p>
    <w:p w14:paraId="15689BD0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步骤 3：多分类分组的 Kruskal-Wallis H 秩和检验（统计原理：多独立样本秩和检验）</w:t>
      </w:r>
      <w:bookmarkEnd w:id="24"/>
    </w:p>
    <w:p w14:paraId="5C7F57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ascii="Arial" w:hAnsi="Arial" w:eastAsia="等线" w:cs="Arial"/>
          <w:sz w:val="22"/>
        </w:rPr>
        <w:t>组分类因素，将所有数据混合编秩，第</w:t>
      </w:r>
      <m:oMath>
        <m:r>
          <m:rPr/>
          <w:rPr>
            <w:rFonts w:ascii="Cambria Math" w:hAnsi="Cambria Math"/>
          </w:rPr>
          <m:t>j</m:t>
        </m:r>
      </m:oMath>
      <w:r>
        <w:rPr>
          <w:rFonts w:ascii="Arial" w:hAnsi="Arial" w:eastAsia="等线" w:cs="Arial"/>
          <w:sz w:val="22"/>
        </w:rPr>
        <w:t>组样本量为</w:t>
      </w:r>
      <m:oMath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" w:hAnsi="Arial" w:eastAsia="等线" w:cs="Arial"/>
          <w:sz w:val="22"/>
        </w:rPr>
        <w:t>，秩和为</w:t>
      </w:r>
      <m:oMath>
        <m:sSub>
          <m:sSubPr/>
          <m:e>
            <m:r>
              <m:rPr/>
              <w:rPr>
                <w:rFonts w:ascii="Cambria Math" w:hAnsi="Cambria Math"/>
              </w:rPr>
              <m:t>R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" w:hAnsi="Arial" w:eastAsia="等线" w:cs="Arial"/>
          <w:sz w:val="22"/>
        </w:rPr>
        <w:t>，总样本量</w:t>
      </w:r>
      <m:oMath>
        <m:r>
          <m:rPr/>
          <w:rPr>
            <w:rFonts w:ascii="Cambria Math" w:hAnsi="Cambria Math"/>
          </w:rPr>
          <m:t>n=∑</m:t>
        </m:r>
        <m:sSub>
          <m:sSubPr/>
          <m:e>
            <m:r>
              <m:rPr/>
              <w:rPr>
                <w:rFonts w:ascii="Cambria Math" w:hAnsi="Cambria Math"/>
              </w:rPr>
              <m:t>n</m:t>
            </m:r>
          </m:e>
          <m:sub>
            <m:r>
              <m:rPr/>
              <w:rPr>
                <w:rFonts w:ascii="Cambria Math" w:hAnsi="Cambria Math"/>
              </w:rPr>
              <m:t>j</m:t>
            </m:r>
          </m:sub>
        </m:sSub>
      </m:oMath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H 统计量：</w:t>
      </w:r>
    </w:p>
    <w:p w14:paraId="765E06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存在相同秩次（结）时进行校正：</w:t>
      </w:r>
    </w:p>
    <w:p w14:paraId="46B7F5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</w:t>
      </w:r>
      <m:oMath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hAnsi="Arial" w:eastAsia="等线" w:cs="Arial"/>
          <w:sz w:val="22"/>
        </w:rPr>
        <w:t>为第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Arial" w:hAnsi="Arial" w:eastAsia="等线" w:cs="Arial"/>
          <w:sz w:val="22"/>
        </w:rPr>
        <w:t>个结的相同秩次的个数。大样本下</w:t>
      </w:r>
      <m:oMath>
        <m:sSub>
          <m:sSubPr/>
          <m:e>
            <m:r>
              <m:rPr/>
              <w:rPr>
                <w:rFonts w:ascii="Cambria Math" w:hAnsi="Cambria Math"/>
              </w:rPr>
              <m:t>H</m:t>
            </m:r>
          </m:e>
          <m:sub>
            <m:r>
              <m:rPr/>
              <w:rPr>
                <w:rFonts w:ascii="Cambria Math" w:hAnsi="Cambria Math"/>
              </w:rPr>
              <m:t>c</m:t>
            </m:r>
          </m:sub>
        </m:sSub>
      </m:oMath>
      <w:r>
        <w:rPr>
          <w:rFonts w:ascii="Arial" w:hAnsi="Arial" w:eastAsia="等线" w:cs="Arial"/>
          <w:sz w:val="22"/>
        </w:rPr>
        <w:t>近似服从自由度为</w:t>
      </w:r>
      <m:oMath>
        <m:r>
          <m:rPr/>
          <w:rPr>
            <w:rFonts w:ascii="Cambria Math" w:hAnsi="Cambria Math"/>
          </w:rPr>
          <m:t>k−1</m:t>
        </m:r>
      </m:oMath>
      <w:r>
        <w:rPr>
          <w:rFonts w:ascii="Arial" w:hAnsi="Arial" w:eastAsia="等线" w:cs="Arial"/>
          <w:sz w:val="22"/>
        </w:rPr>
        <w:t>的</w:t>
      </w:r>
      <m:oMath>
        <m:sSup>
          <m:sSupPr/>
          <m:e>
            <m:r>
              <m:rPr/>
              <w:rPr>
                <w:rFonts w:ascii="Cambria Math" w:hAnsi="Cambria Math"/>
              </w:rPr>
              <m:t>χ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  <w:r>
        <w:rPr>
          <w:rFonts w:ascii="Arial" w:hAnsi="Arial" w:eastAsia="等线" w:cs="Arial"/>
          <w:sz w:val="22"/>
        </w:rPr>
        <w:t>分布。</w:t>
      </w:r>
    </w:p>
    <w:p w14:paraId="0184FC2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逻辑依据：若各组总体分布无差异，则各组平均秩次应相近，H 值较小；H 越大则组间分布差异越显著。</w:t>
      </w:r>
    </w:p>
    <w:p w14:paraId="41E888ED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场景意义：检验不同年龄组、不同体质分层、不同 AIP 分级等多组人群的活动能力分布是否存在整体显著差异。</w:t>
      </w:r>
    </w:p>
    <w:p w14:paraId="6F484AE7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步骤 4：Nemenyi 事后两两比较（统计原理：多组秩和的事后多重比较）</w:t>
      </w:r>
      <w:bookmarkEnd w:id="25"/>
    </w:p>
    <w:p w14:paraId="72CAF4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 Kruskal-Wallis 检验整体显著，进一步进行两两比较，计算两组平均秩次差的临界值：</w:t>
      </w:r>
    </w:p>
    <w:p w14:paraId="321ACA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若两组平均秩次差的绝对值大于临界值，则认为两组活动能力分布存在显著差异。</w:t>
      </w:r>
    </w:p>
    <w:p w14:paraId="03F35D63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逻辑依据：Bonferroni 校正检验水准，控制多重比较的一类错误；基于秩次进行比较，不依赖分布假设。</w:t>
      </w:r>
    </w:p>
    <w:p w14:paraId="72E2400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场景意义：明确哪两组人群的活动能力存在显著差异，定位具体的差异来源。</w:t>
      </w:r>
    </w:p>
    <w:p w14:paraId="388DF124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(4) 建模流程图（文字逻辑链）</w:t>
      </w:r>
      <w:bookmarkEnd w:id="26"/>
    </w:p>
    <w:p w14:paraId="5921F6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场景抽象（哪些因素会影响活动能力等级，不同人群活动能力是否有差异 → 转化为 “有序变量等级关联 + 分组分布差异” 的非参数分析问题）→ 变量定义（明确有序目标变量、连续 / 分类决策变量、秩次与检验统计量中间变量、显著性假设参数）→ 公式推导（变量编秩 → Spearman 等级相关计算与检验 → 两独立样本 Mann-Whitney U 检验 → 多独立样本 Kruskal-Wallis H 检验 → Nemenyi 事后两两比较）→ 约束设定（分级有序约束、样本独立性约束、关联单调性约束、无分布假设约束）→ 目标确立（检验各因素与活动能力的等级关联显著性，比较不同分组下活动能力的分布差异）→ 参数校准（计算秩次与秩和 → 计算等级相关系数与 P 值 → 计算 U/H 统计量与对应 P 值 → 事后两两比较定位差异组）→ </w:t>
      </w:r>
      <w:r>
        <w:rPr>
          <w:rFonts w:ascii="Arial" w:hAnsi="Arial" w:eastAsia="等线" w:cs="Arial"/>
          <w:b/>
          <w:sz w:val="22"/>
        </w:rPr>
        <w:t>关键验证节点 1</w:t>
      </w:r>
      <w:r>
        <w:rPr>
          <w:rFonts w:ascii="Arial" w:hAnsi="Arial" w:eastAsia="等线" w:cs="Arial"/>
          <w:sz w:val="22"/>
        </w:rPr>
        <w:t xml:space="preserve">（数据类型校验，确认结局为有序分类，适配非参数方法）→ </w:t>
      </w:r>
      <w:r>
        <w:rPr>
          <w:rFonts w:ascii="Arial" w:hAnsi="Arial" w:eastAsia="等线" w:cs="Arial"/>
          <w:b/>
          <w:sz w:val="22"/>
        </w:rPr>
        <w:t>关键验证节点 2</w:t>
      </w:r>
      <w:r>
        <w:rPr>
          <w:rFonts w:ascii="Arial" w:hAnsi="Arial" w:eastAsia="等线" w:cs="Arial"/>
          <w:sz w:val="22"/>
        </w:rPr>
        <w:t>（P 值与</w:t>
      </w:r>
      <m:oMath>
        <m:r>
          <m:rPr/>
          <w:rPr>
            <w:rFonts w:ascii="Cambria Math" w:hAnsi="Cambria Math"/>
          </w:rPr>
          <m:t>α</m:t>
        </m:r>
      </m:oMath>
      <w:r>
        <w:rPr>
          <w:rFonts w:ascii="Arial" w:hAnsi="Arial" w:eastAsia="等线" w:cs="Arial"/>
          <w:sz w:val="22"/>
        </w:rPr>
        <w:t xml:space="preserve">比较，筛选有统计学意义的影响因素）→ </w:t>
      </w:r>
      <w:r>
        <w:rPr>
          <w:rFonts w:ascii="Arial" w:hAnsi="Arial" w:eastAsia="等线" w:cs="Arial"/>
          <w:b/>
          <w:sz w:val="22"/>
        </w:rPr>
        <w:t>关键验证节点 3</w:t>
      </w:r>
      <w:r>
        <w:rPr>
          <w:rFonts w:ascii="Arial" w:hAnsi="Arial" w:eastAsia="等线" w:cs="Arial"/>
          <w:sz w:val="22"/>
        </w:rPr>
        <w:t>（相关系数符号与临床逻辑一致性验证：如偏颇越重，活动能力等级越高）→ 模型输出：各因素等级相关系数与显著性、各组活动能力分布描述、秩和检验结果、显著影响因素排序。</w:t>
      </w:r>
    </w:p>
    <w:p w14:paraId="54A797C5">
      <w:pPr>
        <w:spacing w:before="120" w:after="120" w:line="288" w:lineRule="auto"/>
        <w:ind w:left="0"/>
        <w:jc w:val="left"/>
      </w:pPr>
      <w:bookmarkStart w:id="27" w:name="_GoBack"/>
      <w:bookmarkEnd w:id="2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2F7D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9B6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03A63A41"/>
    <w:multiLevelType w:val="singleLevel"/>
    <w:tmpl w:val="03A63A4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5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3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30"/>
  </w:num>
  <w:num w:numId="2">
    <w:abstractNumId w:val="19"/>
  </w:num>
  <w:num w:numId="3">
    <w:abstractNumId w:val="61"/>
  </w:num>
  <w:num w:numId="4">
    <w:abstractNumId w:val="16"/>
  </w:num>
  <w:num w:numId="5">
    <w:abstractNumId w:val="12"/>
  </w:num>
  <w:num w:numId="6">
    <w:abstractNumId w:val="33"/>
  </w:num>
  <w:num w:numId="7">
    <w:abstractNumId w:val="45"/>
  </w:num>
  <w:num w:numId="8">
    <w:abstractNumId w:val="69"/>
  </w:num>
  <w:num w:numId="9">
    <w:abstractNumId w:val="31"/>
  </w:num>
  <w:num w:numId="10">
    <w:abstractNumId w:val="5"/>
  </w:num>
  <w:num w:numId="11">
    <w:abstractNumId w:val="46"/>
  </w:num>
  <w:num w:numId="12">
    <w:abstractNumId w:val="62"/>
  </w:num>
  <w:num w:numId="13">
    <w:abstractNumId w:val="18"/>
  </w:num>
  <w:num w:numId="14">
    <w:abstractNumId w:val="58"/>
  </w:num>
  <w:num w:numId="15">
    <w:abstractNumId w:val="26"/>
  </w:num>
  <w:num w:numId="16">
    <w:abstractNumId w:val="44"/>
  </w:num>
  <w:num w:numId="17">
    <w:abstractNumId w:val="22"/>
  </w:num>
  <w:num w:numId="18">
    <w:abstractNumId w:val="21"/>
  </w:num>
  <w:num w:numId="19">
    <w:abstractNumId w:val="7"/>
  </w:num>
  <w:num w:numId="20">
    <w:abstractNumId w:val="56"/>
  </w:num>
  <w:num w:numId="21">
    <w:abstractNumId w:val="65"/>
  </w:num>
  <w:num w:numId="22">
    <w:abstractNumId w:val="36"/>
  </w:num>
  <w:num w:numId="23">
    <w:abstractNumId w:val="55"/>
  </w:num>
  <w:num w:numId="24">
    <w:abstractNumId w:val="9"/>
  </w:num>
  <w:num w:numId="25">
    <w:abstractNumId w:val="73"/>
  </w:num>
  <w:num w:numId="26">
    <w:abstractNumId w:val="71"/>
  </w:num>
  <w:num w:numId="27">
    <w:abstractNumId w:val="15"/>
  </w:num>
  <w:num w:numId="28">
    <w:abstractNumId w:val="66"/>
  </w:num>
  <w:num w:numId="29">
    <w:abstractNumId w:val="6"/>
  </w:num>
  <w:num w:numId="30">
    <w:abstractNumId w:val="52"/>
  </w:num>
  <w:num w:numId="31">
    <w:abstractNumId w:val="2"/>
  </w:num>
  <w:num w:numId="32">
    <w:abstractNumId w:val="60"/>
  </w:num>
  <w:num w:numId="33">
    <w:abstractNumId w:val="74"/>
  </w:num>
  <w:num w:numId="34">
    <w:abstractNumId w:val="0"/>
  </w:num>
  <w:num w:numId="35">
    <w:abstractNumId w:val="43"/>
  </w:num>
  <w:num w:numId="36">
    <w:abstractNumId w:val="59"/>
  </w:num>
  <w:num w:numId="37">
    <w:abstractNumId w:val="28"/>
  </w:num>
  <w:num w:numId="38">
    <w:abstractNumId w:val="23"/>
  </w:num>
  <w:num w:numId="39">
    <w:abstractNumId w:val="48"/>
  </w:num>
  <w:num w:numId="40">
    <w:abstractNumId w:val="72"/>
  </w:num>
  <w:num w:numId="41">
    <w:abstractNumId w:val="14"/>
  </w:num>
  <w:num w:numId="42">
    <w:abstractNumId w:val="4"/>
  </w:num>
  <w:num w:numId="43">
    <w:abstractNumId w:val="13"/>
  </w:num>
  <w:num w:numId="44">
    <w:abstractNumId w:val="63"/>
  </w:num>
  <w:num w:numId="45">
    <w:abstractNumId w:val="1"/>
  </w:num>
  <w:num w:numId="46">
    <w:abstractNumId w:val="40"/>
  </w:num>
  <w:num w:numId="47">
    <w:abstractNumId w:val="3"/>
  </w:num>
  <w:num w:numId="48">
    <w:abstractNumId w:val="64"/>
  </w:num>
  <w:num w:numId="49">
    <w:abstractNumId w:val="70"/>
  </w:num>
  <w:num w:numId="50">
    <w:abstractNumId w:val="57"/>
  </w:num>
  <w:num w:numId="51">
    <w:abstractNumId w:val="49"/>
  </w:num>
  <w:num w:numId="52">
    <w:abstractNumId w:val="67"/>
  </w:num>
  <w:num w:numId="53">
    <w:abstractNumId w:val="34"/>
  </w:num>
  <w:num w:numId="54">
    <w:abstractNumId w:val="35"/>
  </w:num>
  <w:num w:numId="55">
    <w:abstractNumId w:val="20"/>
  </w:num>
  <w:num w:numId="56">
    <w:abstractNumId w:val="50"/>
  </w:num>
  <w:num w:numId="57">
    <w:abstractNumId w:val="41"/>
  </w:num>
  <w:num w:numId="58">
    <w:abstractNumId w:val="25"/>
  </w:num>
  <w:num w:numId="59">
    <w:abstractNumId w:val="42"/>
  </w:num>
  <w:num w:numId="60">
    <w:abstractNumId w:val="11"/>
  </w:num>
  <w:num w:numId="61">
    <w:abstractNumId w:val="54"/>
  </w:num>
  <w:num w:numId="62">
    <w:abstractNumId w:val="37"/>
  </w:num>
  <w:num w:numId="63">
    <w:abstractNumId w:val="51"/>
  </w:num>
  <w:num w:numId="64">
    <w:abstractNumId w:val="32"/>
  </w:num>
  <w:num w:numId="65">
    <w:abstractNumId w:val="17"/>
  </w:num>
  <w:num w:numId="66">
    <w:abstractNumId w:val="38"/>
  </w:num>
  <w:num w:numId="67">
    <w:abstractNumId w:val="10"/>
  </w:num>
  <w:num w:numId="68">
    <w:abstractNumId w:val="53"/>
  </w:num>
  <w:num w:numId="69">
    <w:abstractNumId w:val="8"/>
  </w:num>
  <w:num w:numId="70">
    <w:abstractNumId w:val="27"/>
  </w:num>
  <w:num w:numId="71">
    <w:abstractNumId w:val="47"/>
  </w:num>
  <w:num w:numId="72">
    <w:abstractNumId w:val="29"/>
  </w:num>
  <w:num w:numId="73">
    <w:abstractNumId w:val="39"/>
  </w:num>
  <w:num w:numId="74">
    <w:abstractNumId w:val="68"/>
  </w:num>
  <w:num w:numId="7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9D2CBA"/>
    <w:rsid w:val="79055E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2417</Words>
  <Characters>2617</Characters>
  <TotalTime>3</TotalTime>
  <ScaleCrop>false</ScaleCrop>
  <LinksUpToDate>false</LinksUpToDate>
  <CharactersWithSpaces>2748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2026-07-12T13:50:00Z</dcterms:created>
  <dc:creator>Apache POI</dc:creator>
  <cp:lastModifiedBy>赵之熠</cp:lastModifiedBy>
  <dcterms:modified xsi:type="dcterms:W3CDTF">2026-07-12T14:01:21Z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{"Label":"1","ContentProducer":"001191110102MACQD9K64010000","ProduceID":"7661638565625301999","ReservedCode1":"","ContentPropagator":"","PropagateID":"","ReservedCode2":""}</vt:lpwstr>
  </property>
  <property fmtid="{D5CDD505-2E9C-101B-9397-08002B2CF9AE}" pid="3" name="KSOTemplateDocerSaveRecord">
    <vt:lpwstr>eyJoZGlkIjoiOGM0NWE2MGJkNjJmNWU2NDJjNjBhOTU3ZGIwODljYTMiLCJ1c2VySWQiOiIxNzIxMTE2MTUwIn0=</vt:lpwstr>
  </property>
  <property fmtid="{D5CDD505-2E9C-101B-9397-08002B2CF9AE}" pid="4" name="KSOProductBuildVer">
    <vt:lpwstr>2052-12.1.0.26375</vt:lpwstr>
  </property>
  <property fmtid="{D5CDD505-2E9C-101B-9397-08002B2CF9AE}" pid="5" name="ICV">
    <vt:lpwstr>86EDDDD49E5C4B1C9D7AB77DF25FBCC4_13</vt:lpwstr>
  </property>
</Properties>
</file>