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80"/>
      </w:pPr>
    </w:p>
    <w:p>
      <w:pPr>
        <w:spacing w:after="360"/>
        <w:jc w:val="center"/>
      </w:pPr>
      <w:r>
        <w:rPr>
          <w:rFonts w:ascii="Microsoft YaHei" w:hAnsi="Microsoft YaHei" w:eastAsia="Microsoft YaHei"/>
          <w:b/>
          <w:color w:val="2E74B5"/>
          <w:sz w:val="24"/>
        </w:rPr>
        <w:t>2026 MathorCup 数学应用挑战赛 C 题</w:t>
      </w:r>
    </w:p>
    <w:p>
      <w:pPr>
        <w:spacing w:after="240" w:line="269" w:lineRule="auto"/>
        <w:jc w:val="center"/>
      </w:pPr>
      <w:r>
        <w:rPr>
          <w:rFonts w:ascii="Microsoft YaHei" w:hAnsi="Microsoft YaHei" w:eastAsia="Microsoft YaHei"/>
          <w:b/>
          <w:color w:val="17365D"/>
          <w:sz w:val="50"/>
        </w:rPr>
        <w:t>中老年人群高血脂症的</w:t>
        <w:br/>
        <w:t>风险预警及干预方案优化</w:t>
      </w:r>
    </w:p>
    <w:p>
      <w:pPr>
        <w:spacing w:after="1320"/>
        <w:jc w:val="center"/>
      </w:pPr>
      <w:r>
        <w:rPr>
          <w:rFonts w:ascii="Microsoft YaHei" w:hAnsi="Microsoft YaHei" w:eastAsia="Microsoft YaHei"/>
          <w:color w:val="1F4D78"/>
          <w:sz w:val="30"/>
        </w:rPr>
        <w:t>建模方案报告（修订版）</w:t>
      </w:r>
    </w:p>
    <w:p>
      <w:pPr>
        <w:spacing w:after="140"/>
        <w:jc w:val="center"/>
      </w:pPr>
      <w:r>
        <w:rPr>
          <w:rFonts w:ascii="Microsoft YaHei" w:hAnsi="Microsoft YaHei" w:eastAsia="Microsoft YaHei"/>
          <w:color w:val="666666"/>
          <w:sz w:val="21"/>
        </w:rPr>
        <w:t>数据规模：1000 例中老年个案</w:t>
      </w:r>
    </w:p>
    <w:p>
      <w:pPr>
        <w:spacing w:after="140"/>
        <w:jc w:val="center"/>
      </w:pPr>
      <w:r>
        <w:rPr>
          <w:rFonts w:ascii="Microsoft YaHei" w:hAnsi="Microsoft YaHei" w:eastAsia="Microsoft YaHei"/>
          <w:color w:val="666666"/>
          <w:sz w:val="21"/>
        </w:rPr>
        <w:t>模型链路：分终点证据审查 → 训练内统计分层 → 六阶段干预优化</w:t>
      </w:r>
    </w:p>
    <w:p>
      <w:pPr>
        <w:spacing w:after="140"/>
        <w:jc w:val="center"/>
      </w:pPr>
      <w:r>
        <w:rPr>
          <w:rFonts w:ascii="Microsoft YaHei" w:hAnsi="Microsoft YaHei" w:eastAsia="Microsoft YaHei"/>
          <w:color w:val="666666"/>
          <w:sz w:val="21"/>
        </w:rPr>
        <w:t>结果状态：代码复跑、阈值隔离、约束回代与文档渲染均已通过</w:t>
      </w:r>
    </w:p>
    <w:p>
      <w:pPr>
        <w:spacing w:after="1480"/>
      </w:pPr>
    </w:p>
    <w:p>
      <w:pPr>
        <w:jc w:val="center"/>
      </w:pPr>
      <w:r>
        <w:rPr>
          <w:rFonts w:ascii="Microsoft YaHei" w:hAnsi="Microsoft YaHei" w:eastAsia="Microsoft YaHei"/>
          <w:b/>
          <w:color w:val="17365D"/>
          <w:sz w:val="22"/>
        </w:rPr>
        <w:t>2026 年 7 月</w:t>
      </w:r>
    </w:p>
    <w:p>
      <w:r>
        <w:br w:type="page"/>
      </w:r>
    </w:p>
    <w:p>
      <w:pPr>
        <w:pStyle w:val="Heading1"/>
      </w:pPr>
      <w:r>
        <w:t>摘要</w:t>
      </w:r>
    </w:p>
    <w:p>
      <w:pPr>
        <w:keepLines w:val="0"/>
      </w:pPr>
      <w:r>
        <w:rPr>
          <w:rFonts w:ascii="Microsoft YaHei" w:hAnsi="Microsoft YaHei" w:eastAsia="Microsoft YaHei"/>
          <w:sz w:val="22"/>
        </w:rPr>
        <w:t>针对中老年人群高血脂症筛查维度单一、痰湿体质高危人群识别不足以及个体化干预难以兼顾效果与成本的问题，本文基于附件中1000例个案，构建“分终点证据审查—训练内统计分层—方案优化”的递进式模型。问题一将痰湿严重度与高血脂关联筛查拆成两个终点，采用重复五折折外置换重要性、关联检验与FDR联合筛选，并补充非诊断指标的探索性Pareto候选；九体质以平和质为参照建立调整Logistic模型，再用500次分层Bootstrap评价点估计排名稳定性。问题二使用非血脂随机森林得到横断面筛查分数，两个三级切点只由训练集折外概率推导，浅层CART提供可读的特征阈值，题面示例规则另列为临床管理提示。问题三采用六阶段动态规划与ε-约束，在至少保留90%最大降幅的前提下最小化成本。</w:t>
      </w:r>
    </w:p>
    <w:p>
      <w:pPr>
        <w:keepLines w:val="0"/>
      </w:pPr>
      <w:r>
        <w:rPr>
          <w:rFonts w:ascii="Microsoft YaHei" w:hAnsi="Microsoft YaHei" w:eastAsia="Microsoft YaHei"/>
          <w:sz w:val="22"/>
        </w:rPr>
        <w:t>结果表明，痰湿严重度模型平均折外R²为-0.056，没有指标通过痰湿端门槛；排除TC、TG、LDL-C和HDL-C后，高血脂关联端仅血尿酸入选，因此验证性共同指标为空，探索性Pareto候选为血尿酸和BMI。九体质整体调整检验P=0.562；阳虚质调整OR点估计最高，500次Bootstrap首位频率为71.2%，但区间、FDR与整体检验均不支持显著“贡献首位”。问题二非血脂随机森林独立测试AUC为0.821；训练折外概率切点为0.7588和0.8717，测试集低、中、高层分别为111、33和156人，当前异常率为55.9%、78.8%和96.2%。CART代理测试一致率为71.0%。问题三中样本1—3分别降至48.5、37.0和33.0分，成本为1014、1240和1674元，三个选择点均位于对应Pareto前沿。所有概率均为横断面关联筛查证据，不解释为未来发病概率。</w:t>
      </w:r>
    </w:p>
    <w:tbl>
      <w:tblPr>
        <w:tblStyle w:val="TableGrid"/>
        <w:tblW w:type="dxa" w:w="9070"/>
        <w:jc w:val="left"/>
        <w:tblLayout w:type="fixed"/>
        <w:tblLook w:firstColumn="1" w:firstRow="1" w:lastColumn="0" w:lastRow="0" w:noHBand="0" w:noVBand="1" w:val="04A0"/>
        <w:tblInd w:w="120" w:type="dxa"/>
      </w:tblPr>
      <w:tblGrid>
        <w:gridCol w:w="9070"/>
      </w:tblGrid>
      <w:tr>
        <w:tc>
          <w:tcPr>
            <w:tcW w:type="dxa" w:w="9070"/>
            <w:shd w:fill="FFF4D6"/>
            <w:tcMar>
              <w:top w:w="80" w:type="dxa"/>
              <w:start w:w="120" w:type="dxa"/>
              <w:bottom w:w="80" w:type="dxa"/>
              <w:end w:w="120" w:type="dxa"/>
            </w:tcMar>
            <w:vAlign w:val="center"/>
          </w:tcPr>
          <w:p>
            <w:pPr>
              <w:spacing w:before="0" w:after="0"/>
            </w:pPr>
            <w:r>
              <w:rPr>
                <w:rFonts w:ascii="Microsoft YaHei" w:hAnsi="Microsoft YaHei" w:eastAsia="Microsoft YaHei"/>
                <w:b w:val="0"/>
                <w:sz w:val="18"/>
              </w:rPr>
              <w:t>核心结论  四项诊断血脂不进入关联筛查模型；验证性共同指标为空，但血尿酸和BMI构成探索性Pareto候选。统计三级切点完全由训练集折外概率推导，横断面结果不解释为未来发病。</w:t>
            </w:r>
          </w:p>
        </w:tc>
      </w:tr>
    </w:tbl>
    <w:p>
      <w:pPr>
        <w:spacing w:after="40"/>
      </w:pPr>
    </w:p>
    <w:p>
      <w:pPr/>
      <w:r>
        <w:rPr>
          <w:rFonts w:ascii="Microsoft YaHei" w:hAnsi="Microsoft YaHei" w:eastAsia="Microsoft YaHei"/>
          <w:b/>
          <w:color w:val="17365D"/>
          <w:sz w:val="21"/>
        </w:rPr>
        <w:t>关键词：高血脂症；痰湿体质；横断面筛查；随机森林；CART；动态规划；Pareto前沿</w:t>
      </w:r>
    </w:p>
    <w:p>
      <w:pPr>
        <w:pStyle w:val="Heading1"/>
      </w:pPr>
      <w:r>
        <w:t>报告结构</w:t>
      </w:r>
    </w:p>
    <w:tbl>
      <w:tblPr>
        <w:tblW w:type="dxa" w:w="9070"/>
        <w:jc w:val="left"/>
        <w:tblLayout w:type="fixed"/>
        <w:tblLook w:firstColumn="1" w:firstRow="1" w:lastColumn="0" w:lastRow="0" w:noHBand="0" w:noVBand="1" w:val="04A0"/>
        <w:tblInd w:w="120" w:type="dxa"/>
      </w:tblPr>
      <w:tblGrid>
        <w:gridCol w:w="4535"/>
        <w:gridCol w:w="4535"/>
      </w:tblGrid>
      <w:tr>
        <w:tc>
          <w:tcPr>
            <w:tcW w:type="dxa" w:w="4535"/>
            <w:vAlign w:val="center"/>
            <w:tcMar>
              <w:top w:w="35" w:type="dxa"/>
              <w:start w:w="80" w:type="dxa"/>
              <w:bottom w:w="35" w:type="dxa"/>
              <w:end w:w="80" w:type="dxa"/>
            </w:tcMar>
          </w:tcPr>
          <w:p>
            <w:pPr>
              <w:spacing w:before="0" w:after="0" w:line="259" w:lineRule="auto"/>
              <w:jc w:val="left"/>
            </w:pPr>
            <w:r/>
            <w:r>
              <w:rPr>
                <w:rFonts w:ascii="Microsoft YaHei" w:hAnsi="Microsoft YaHei" w:eastAsia="Microsoft YaHei"/>
                <w:b w:val="0"/>
                <w:sz w:val="20"/>
              </w:rPr>
              <w:t>1.  问题重述与建模目标</w:t>
            </w:r>
          </w:p>
        </w:tc>
        <w:tc>
          <w:tcPr>
            <w:tcW w:type="dxa" w:w="4535"/>
            <w:vAlign w:val="center"/>
            <w:tcMar>
              <w:top w:w="35" w:type="dxa"/>
              <w:start w:w="80" w:type="dxa"/>
              <w:bottom w:w="35" w:type="dxa"/>
              <w:end w:w="80" w:type="dxa"/>
            </w:tcMar>
          </w:tcPr>
          <w:p>
            <w:r>
              <w:t>5.  问题二：统计分层与CART解释</w:t>
            </w:r>
          </w:p>
        </w:tc>
      </w:tr>
      <w:tr>
        <w:tc>
          <w:tcPr>
            <w:tcW w:type="dxa" w:w="4535"/>
            <w:vAlign w:val="center"/>
            <w:tcMar>
              <w:top w:w="35" w:type="dxa"/>
              <w:start w:w="80" w:type="dxa"/>
              <w:bottom w:w="35" w:type="dxa"/>
              <w:end w:w="80" w:type="dxa"/>
            </w:tcMar>
          </w:tcPr>
          <w:p>
            <w:pPr>
              <w:spacing w:before="0" w:after="0" w:line="259" w:lineRule="auto"/>
              <w:jc w:val="left"/>
            </w:pPr>
            <w:r/>
            <w:r>
              <w:rPr>
                <w:rFonts w:ascii="Microsoft YaHei" w:hAnsi="Microsoft YaHei" w:eastAsia="Microsoft YaHei"/>
                <w:b w:val="0"/>
                <w:sz w:val="20"/>
              </w:rPr>
              <w:t>2.  数据理解与预处理</w:t>
            </w:r>
          </w:p>
        </w:tc>
        <w:tc>
          <w:tcPr>
            <w:tcW w:type="dxa" w:w="4535"/>
            <w:vAlign w:val="center"/>
            <w:tcMar>
              <w:top w:w="35" w:type="dxa"/>
              <w:start w:w="80" w:type="dxa"/>
              <w:bottom w:w="35" w:type="dxa"/>
              <w:end w:w="80" w:type="dxa"/>
            </w:tcMar>
          </w:tcPr>
          <w:p>
            <w:pPr>
              <w:spacing w:before="0" w:after="0" w:line="259" w:lineRule="auto"/>
              <w:jc w:val="left"/>
            </w:pPr>
            <w:r/>
            <w:r>
              <w:rPr>
                <w:rFonts w:ascii="Microsoft YaHei" w:hAnsi="Microsoft YaHei" w:eastAsia="Microsoft YaHei"/>
                <w:b w:val="0"/>
                <w:sz w:val="20"/>
              </w:rPr>
              <w:t>6.  问题三：六个月干预优化</w:t>
            </w:r>
          </w:p>
        </w:tc>
      </w:tr>
      <w:tr>
        <w:tc>
          <w:tcPr>
            <w:tcW w:type="dxa" w:w="4535"/>
            <w:vAlign w:val="center"/>
            <w:tcMar>
              <w:top w:w="35" w:type="dxa"/>
              <w:start w:w="80" w:type="dxa"/>
              <w:bottom w:w="35" w:type="dxa"/>
              <w:end w:w="80" w:type="dxa"/>
            </w:tcMar>
          </w:tcPr>
          <w:p>
            <w:pPr>
              <w:spacing w:before="0" w:after="0" w:line="259" w:lineRule="auto"/>
              <w:jc w:val="left"/>
            </w:pPr>
            <w:r/>
            <w:r>
              <w:rPr>
                <w:rFonts w:ascii="Microsoft YaHei" w:hAnsi="Microsoft YaHei" w:eastAsia="Microsoft YaHei"/>
                <w:b w:val="0"/>
                <w:sz w:val="20"/>
              </w:rPr>
              <w:t>3.  模型假设与符号说明</w:t>
            </w:r>
          </w:p>
        </w:tc>
        <w:tc>
          <w:tcPr>
            <w:tcW w:type="dxa" w:w="4535"/>
            <w:vAlign w:val="center"/>
            <w:tcMar>
              <w:top w:w="35" w:type="dxa"/>
              <w:start w:w="80" w:type="dxa"/>
              <w:bottom w:w="35" w:type="dxa"/>
              <w:end w:w="80" w:type="dxa"/>
            </w:tcMar>
          </w:tcPr>
          <w:p>
            <w:pPr>
              <w:spacing w:before="0" w:after="0" w:line="259" w:lineRule="auto"/>
              <w:jc w:val="left"/>
            </w:pPr>
            <w:r/>
            <w:r>
              <w:rPr>
                <w:rFonts w:ascii="Microsoft YaHei" w:hAnsi="Microsoft YaHei" w:eastAsia="Microsoft YaHei"/>
                <w:b w:val="0"/>
                <w:sz w:val="20"/>
              </w:rPr>
              <w:t>7.  敏感性与一致性检验</w:t>
            </w:r>
          </w:p>
        </w:tc>
      </w:tr>
      <w:tr>
        <w:tc>
          <w:tcPr>
            <w:tcW w:type="dxa" w:w="4535"/>
            <w:vAlign w:val="center"/>
            <w:tcMar>
              <w:top w:w="35" w:type="dxa"/>
              <w:start w:w="80" w:type="dxa"/>
              <w:bottom w:w="35" w:type="dxa"/>
              <w:end w:w="80" w:type="dxa"/>
            </w:tcMar>
          </w:tcPr>
          <w:p>
            <w:pPr>
              <w:spacing w:before="0" w:after="0" w:line="259" w:lineRule="auto"/>
              <w:jc w:val="left"/>
            </w:pPr>
            <w:r/>
            <w:r>
              <w:rPr>
                <w:rFonts w:ascii="Microsoft YaHei" w:hAnsi="Microsoft YaHei" w:eastAsia="Microsoft YaHei"/>
                <w:b w:val="0"/>
                <w:sz w:val="20"/>
              </w:rPr>
              <w:t>4.  问题一：分终点指标筛选与体质贡献</w:t>
            </w:r>
          </w:p>
        </w:tc>
        <w:tc>
          <w:tcPr>
            <w:tcW w:type="dxa" w:w="4535"/>
            <w:vAlign w:val="center"/>
            <w:tcMar>
              <w:top w:w="35" w:type="dxa"/>
              <w:start w:w="80" w:type="dxa"/>
              <w:bottom w:w="35" w:type="dxa"/>
              <w:end w:w="80" w:type="dxa"/>
            </w:tcMar>
          </w:tcPr>
          <w:p>
            <w:pPr>
              <w:spacing w:before="0" w:after="0" w:line="259" w:lineRule="auto"/>
              <w:jc w:val="left"/>
            </w:pPr>
            <w:r/>
            <w:r>
              <w:rPr>
                <w:rFonts w:ascii="Microsoft YaHei" w:hAnsi="Microsoft YaHei" w:eastAsia="Microsoft YaHei"/>
                <w:b w:val="0"/>
                <w:sz w:val="20"/>
              </w:rPr>
              <w:t>8.  模型评价与结论</w:t>
            </w:r>
          </w:p>
        </w:tc>
      </w:tr>
    </w:tbl>
    <w:p>
      <w:r>
        <w:br w:type="page"/>
      </w:r>
    </w:p>
    <w:p>
      <w:pPr>
        <w:pStyle w:val="Heading1"/>
      </w:pPr>
      <w:r>
        <w:t>1 问题重述与建模目标</w:t>
      </w:r>
    </w:p>
    <w:p>
      <w:pPr>
        <w:keepLines w:val="0"/>
      </w:pPr>
      <w:r>
        <w:rPr>
          <w:rFonts w:ascii="Microsoft YaHei" w:hAnsi="Microsoft YaHei" w:eastAsia="Microsoft YaHei"/>
          <w:sz w:val="22"/>
        </w:rPr>
        <w:t>高血脂症是中老年心脑血管疾病的重要危险因素。题目要求同时融合中医体质、日常活动能力、血脂与代谢指标，形成从关键指标识别、三级风险预警到个体化干预优化的完整闭环。三个问题并非彼此独立：问题一提供稳定特征和体质贡献依据，问题二给出人群风险层级，问题三则把风险特征、身体耐受度和经济约束转化为可执行的六个月方案。</w:t>
      </w:r>
    </w:p>
    <w:p>
      <w:pPr>
        <w:pStyle w:val="Heading2"/>
      </w:pPr>
      <w:r>
        <w:t>1.1 三个子问题</w:t>
      </w:r>
    </w:p>
    <w:p>
      <w:pPr>
        <w:pStyle w:val="ListBullet"/>
      </w:pPr>
      <w:r>
        <w:rPr>
          <w:rFonts w:ascii="Microsoft YaHei" w:hAnsi="Microsoft YaHei" w:eastAsia="Microsoft YaHei"/>
          <w:sz w:val="21"/>
        </w:rPr>
        <w:t>问题一：从血常规/代谢指标和活动量表中筛选能同时表征痰湿严重程度与高血脂风险的关键指标，并比较九种体质的贡献差异。</w:t>
      </w:r>
    </w:p>
    <w:p>
      <w:pPr>
        <w:pStyle w:val="ListBullet"/>
      </w:pPr>
      <w:r>
        <w:rPr>
          <w:rFonts w:ascii="Microsoft YaHei" w:hAnsi="Microsoft YaHei" w:eastAsia="Microsoft YaHei"/>
          <w:sz w:val="21"/>
        </w:rPr>
        <w:t>问题二：以训练集折外概率推导唯一低、中、高统计等级，用浅层CART解释特征阈值，并把题面示例规则作为独立临床管理提示。</w:t>
      </w:r>
    </w:p>
    <w:p>
      <w:pPr>
        <w:pStyle w:val="ListBullet"/>
      </w:pPr>
      <w:r>
        <w:rPr>
          <w:rFonts w:ascii="Microsoft YaHei" w:hAnsi="Microsoft YaHei" w:eastAsia="Microsoft YaHei"/>
          <w:sz w:val="21"/>
        </w:rPr>
        <w:t>问题三：对体质标签为5的患者，在年龄、活动能力、频率、成本和疗效约束下优化六个月计划，给出ID 1、2、3方案并归纳匹配规律。</w:t>
      </w:r>
    </w:p>
    <w:p>
      <w:pPr>
        <w:pStyle w:val="Heading2"/>
      </w:pPr>
      <w:r>
        <w:t>1.2 总体技术路线</w:t>
      </w:r>
    </w:p>
    <w:p>
      <w:pPr>
        <w:keepLines w:val="0"/>
      </w:pPr>
      <w:r>
        <w:rPr>
          <w:rFonts w:ascii="Microsoft YaHei" w:hAnsi="Microsoft YaHei" w:eastAsia="Microsoft YaHei"/>
          <w:sz w:val="22"/>
        </w:rPr>
        <w:t>总体路线为：原始附件校验 → 诊断泄漏识别 → 分终点折外筛选与探索性Pareto → 分类体质调整OR与Bootstrap排名 → 非血脂关联概率 → 训练内概率切点 → CART代理阈值 → 痰湿核心组合 → 六阶段Pareto动态规划 → ε-约束推荐 → 灵敏度与约束回代。</w:t>
      </w:r>
    </w:p>
    <w:tbl>
      <w:tblPr>
        <w:tblStyle w:val="TableGrid"/>
        <w:tblW w:type="dxa" w:w="9070"/>
        <w:jc w:val="left"/>
        <w:tblLayout w:type="fixed"/>
        <w:tblLook w:firstColumn="1" w:firstRow="1" w:lastColumn="0" w:lastRow="0" w:noHBand="0" w:noVBand="1" w:val="04A0"/>
        <w:tblInd w:w="120" w:type="dxa"/>
      </w:tblPr>
      <w:tblGrid>
        <w:gridCol w:w="9070"/>
      </w:tblGrid>
      <w:tr>
        <w:tc>
          <w:tcPr>
            <w:tcW w:type="dxa" w:w="9070"/>
            <w:shd w:fill="F4F6F9"/>
            <w:tcMar>
              <w:top w:w="80" w:type="dxa"/>
              <w:start w:w="120" w:type="dxa"/>
              <w:bottom w:w="80" w:type="dxa"/>
              <w:end w:w="120" w:type="dxa"/>
            </w:tcMar>
            <w:vAlign w:val="center"/>
          </w:tcPr>
          <w:p>
            <w:pPr>
              <w:spacing w:before="0" w:after="0"/>
            </w:pPr>
            <w:r>
              <w:rPr>
                <w:rFonts w:ascii="Microsoft YaHei" w:hAnsi="Microsoft YaHei" w:eastAsia="Microsoft YaHei"/>
                <w:b w:val="0"/>
                <w:sz w:val="18"/>
              </w:rPr>
              <w:t>建模边界  附件标签与四项血脂异常规则一致率100%。统计等级由非血脂横断面模型分数确定；题面示例阈值仅作为独立临床管理提示。</w:t>
            </w:r>
          </w:p>
        </w:tc>
      </w:tr>
    </w:tbl>
    <w:p>
      <w:pPr>
        <w:spacing w:after="40"/>
      </w:pPr>
    </w:p>
    <w:p>
      <w:pPr>
        <w:pStyle w:val="Heading1"/>
      </w:pPr>
      <w:r>
        <w:t>2 数据理解与预处理</w:t>
      </w:r>
    </w:p>
    <w:p>
      <w:pPr>
        <w:pStyle w:val="Heading2"/>
      </w:pPr>
      <w:r>
        <w:t>2.1 数据规模与字段</w:t>
      </w:r>
    </w:p>
    <w:tbl>
      <w:tblPr>
        <w:tblStyle w:val="TableGrid"/>
        <w:tblW w:type="dxa" w:w="9070"/>
        <w:jc w:val="left"/>
        <w:tblLayout w:type="fixed"/>
        <w:tblLook w:firstColumn="1" w:firstRow="1" w:lastColumn="0" w:lastRow="0" w:noHBand="0" w:noVBand="1" w:val="04A0"/>
        <w:tblInd w:w="120" w:type="dxa"/>
      </w:tblPr>
      <w:tblGrid>
        <w:gridCol w:w="2500"/>
        <w:gridCol w:w="1700"/>
        <w:gridCol w:w="4870"/>
      </w:tblGrid>
      <w:tr>
        <w:trPr>
          <w:tblHeader w:val="true"/>
          <w:cantSplit/>
        </w:trPr>
        <w:tc>
          <w:tcPr>
            <w:tcW w:type="dxa" w:w="2500"/>
            <w:vAlign w:val="center"/>
            <w:shd w:fill="E8EEF5"/>
            <w:tcMar>
              <w:top w:w="80" w:type="dxa"/>
              <w:start w:w="120" w:type="dxa"/>
              <w:bottom w:w="80" w:type="dxa"/>
              <w:end w:w="120" w:type="dxa"/>
            </w:tcMar>
          </w:tcPr>
          <w:p>
            <w:pPr>
              <w:spacing w:before="0" w:after="0" w:line="259" w:lineRule="auto"/>
              <w:jc w:val="center"/>
            </w:pPr>
            <w:r/>
            <w:r>
              <w:rPr>
                <w:rFonts w:ascii="Microsoft YaHei" w:hAnsi="Microsoft YaHei" w:eastAsia="Microsoft YaHei"/>
                <w:b/>
                <w:color w:val="17365D"/>
                <w:sz w:val="18"/>
              </w:rPr>
              <w:t>检查项</w:t>
            </w:r>
          </w:p>
        </w:tc>
        <w:tc>
          <w:tcPr>
            <w:tcW w:type="dxa" w:w="1700"/>
            <w:vAlign w:val="center"/>
            <w:shd w:fill="E8EEF5"/>
            <w:tcMar>
              <w:top w:w="80" w:type="dxa"/>
              <w:start w:w="120" w:type="dxa"/>
              <w:bottom w:w="80" w:type="dxa"/>
              <w:end w:w="120" w:type="dxa"/>
            </w:tcMar>
          </w:tcPr>
          <w:p>
            <w:pPr>
              <w:spacing w:before="0" w:after="0" w:line="259" w:lineRule="auto"/>
              <w:jc w:val="center"/>
            </w:pPr>
            <w:r/>
            <w:r>
              <w:rPr>
                <w:rFonts w:ascii="Microsoft YaHei" w:hAnsi="Microsoft YaHei" w:eastAsia="Microsoft YaHei"/>
                <w:b/>
                <w:color w:val="17365D"/>
                <w:sz w:val="18"/>
              </w:rPr>
              <w:t>结果</w:t>
            </w:r>
          </w:p>
        </w:tc>
        <w:tc>
          <w:tcPr>
            <w:tcW w:type="dxa" w:w="4870"/>
            <w:vAlign w:val="center"/>
            <w:shd w:fill="E8EEF5"/>
            <w:tcMar>
              <w:top w:w="80" w:type="dxa"/>
              <w:start w:w="120" w:type="dxa"/>
              <w:bottom w:w="80" w:type="dxa"/>
              <w:end w:w="120" w:type="dxa"/>
            </w:tcMar>
          </w:tcPr>
          <w:p>
            <w:pPr>
              <w:spacing w:before="0" w:after="0" w:line="259" w:lineRule="auto"/>
              <w:jc w:val="center"/>
            </w:pPr>
            <w:r/>
            <w:r>
              <w:rPr>
                <w:rFonts w:ascii="Microsoft YaHei" w:hAnsi="Microsoft YaHei" w:eastAsia="Microsoft YaHei"/>
                <w:b/>
                <w:color w:val="17365D"/>
                <w:sz w:val="18"/>
              </w:rPr>
              <w:t>说明</w:t>
            </w:r>
          </w:p>
        </w:tc>
      </w:tr>
      <w:tr>
        <w:trPr>
          <w:cantSplit/>
        </w:trPr>
        <w:tc>
          <w:tcPr>
            <w:tcW w:type="dxa" w:w="250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8"/>
              </w:rPr>
              <w:t>样本规模</w:t>
            </w:r>
          </w:p>
        </w:tc>
        <w:tc>
          <w:tcPr>
            <w:tcW w:type="dxa" w:w="17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8"/>
              </w:rPr>
              <w:t>1000</w:t>
            </w:r>
          </w:p>
        </w:tc>
        <w:tc>
          <w:tcPr>
            <w:tcW w:type="dxa" w:w="487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8"/>
              </w:rPr>
              <w:t>附件1全部个案</w:t>
            </w:r>
          </w:p>
        </w:tc>
      </w:tr>
      <w:tr>
        <w:trPr>
          <w:cantSplit/>
        </w:trPr>
        <w:tc>
          <w:tcPr>
            <w:tcW w:type="dxa" w:w="250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8"/>
              </w:rPr>
              <w:t>体质标签5人数</w:t>
            </w:r>
          </w:p>
        </w:tc>
        <w:tc>
          <w:tcPr>
            <w:tcW w:type="dxa" w:w="17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8"/>
              </w:rPr>
              <w:t>278</w:t>
            </w:r>
          </w:p>
        </w:tc>
        <w:tc>
          <w:tcPr>
            <w:tcW w:type="dxa" w:w="487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8"/>
              </w:rPr>
              <w:t>问题三求解对象</w:t>
            </w:r>
          </w:p>
        </w:tc>
      </w:tr>
      <w:tr>
        <w:trPr>
          <w:cantSplit/>
        </w:trPr>
        <w:tc>
          <w:tcPr>
            <w:tcW w:type="dxa" w:w="250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8"/>
              </w:rPr>
              <w:t>高血脂阳性率</w:t>
            </w:r>
          </w:p>
        </w:tc>
        <w:tc>
          <w:tcPr>
            <w:tcW w:type="dxa" w:w="17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8"/>
              </w:rPr>
              <w:t>79.3%</w:t>
            </w:r>
          </w:p>
        </w:tc>
        <w:tc>
          <w:tcPr>
            <w:tcW w:type="dxa" w:w="487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8"/>
              </w:rPr>
              <w:t>样本患病率较高</w:t>
            </w:r>
          </w:p>
        </w:tc>
      </w:tr>
      <w:tr>
        <w:trPr>
          <w:cantSplit/>
        </w:trPr>
        <w:tc>
          <w:tcPr>
            <w:tcW w:type="dxa" w:w="250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8"/>
              </w:rPr>
              <w:t>缺失值</w:t>
            </w:r>
          </w:p>
        </w:tc>
        <w:tc>
          <w:tcPr>
            <w:tcW w:type="dxa" w:w="17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8"/>
              </w:rPr>
              <w:t>0</w:t>
            </w:r>
          </w:p>
        </w:tc>
        <w:tc>
          <w:tcPr>
            <w:tcW w:type="dxa" w:w="487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8"/>
              </w:rPr>
              <w:t>建模字段完整</w:t>
            </w:r>
          </w:p>
        </w:tc>
      </w:tr>
      <w:tr>
        <w:trPr>
          <w:cantSplit/>
        </w:trPr>
        <w:tc>
          <w:tcPr>
            <w:tcW w:type="dxa" w:w="250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8"/>
              </w:rPr>
              <w:t>重复样本ID</w:t>
            </w:r>
          </w:p>
        </w:tc>
        <w:tc>
          <w:tcPr>
            <w:tcW w:type="dxa" w:w="17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8"/>
              </w:rPr>
              <w:t>0</w:t>
            </w:r>
          </w:p>
        </w:tc>
        <w:tc>
          <w:tcPr>
            <w:tcW w:type="dxa" w:w="487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8"/>
              </w:rPr>
              <w:t>样本ID唯一</w:t>
            </w:r>
          </w:p>
        </w:tc>
      </w:tr>
      <w:tr>
        <w:trPr>
          <w:cantSplit/>
        </w:trPr>
        <w:tc>
          <w:tcPr>
            <w:tcW w:type="dxa" w:w="250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8"/>
              </w:rPr>
              <w:t>活动恒等式最大误差</w:t>
            </w:r>
          </w:p>
        </w:tc>
        <w:tc>
          <w:tcPr>
            <w:tcW w:type="dxa" w:w="17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8"/>
              </w:rPr>
              <w:t>0.0</w:t>
            </w:r>
          </w:p>
        </w:tc>
        <w:tc>
          <w:tcPr>
            <w:tcW w:type="dxa" w:w="487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8"/>
              </w:rPr>
              <w:t>ADL+IADL=活动总分</w:t>
            </w:r>
          </w:p>
        </w:tc>
      </w:tr>
    </w:tbl>
    <w:p>
      <w:pPr>
        <w:spacing w:after="40"/>
      </w:pPr>
    </w:p>
    <w:p>
      <w:pPr>
        <w:spacing w:before="40" w:after="120"/>
      </w:pPr>
      <w:r>
        <w:rPr>
          <w:rFonts w:ascii="Microsoft YaHei" w:hAnsi="Microsoft YaHei" w:eastAsia="Microsoft YaHei"/>
          <w:i/>
          <w:color w:val="666666"/>
          <w:sz w:val="16"/>
        </w:rPr>
        <w:t>数据来源：题目附件1；一致性检查由可复现程序从原始数据自动完成。</w:t>
      </w:r>
    </w:p>
    <w:p>
      <w:pPr>
        <w:pStyle w:val="Heading2"/>
      </w:pPr>
      <w:r>
        <w:t>2.2 临床阈值与派生变量</w:t>
      </w:r>
    </w:p>
    <w:p>
      <w:pPr>
        <w:keepLines w:val="0"/>
      </w:pPr>
      <w:r>
        <w:rPr>
          <w:rFonts w:ascii="Microsoft YaHei" w:hAnsi="Microsoft YaHei" w:eastAsia="Microsoft YaHei"/>
          <w:sz w:val="22"/>
        </w:rPr>
        <w:t>按照题面给出的临床正常范围，定义TC&gt;6.2 mmol/L、TG&gt;1.7 mmol/L、LDL-C&gt;3.1 mmol/L或HDL-C&lt;1.04 mmol/L为相应血脂异常；任一血脂异常即与附件高血脂标签一致。血尿酸根据性别采用不同范围，BMI正常范围为18.5–23.9 kg/m²。</w:t>
      </w:r>
    </w:p>
    <w:p>
      <w:pPr>
        <w:keepLines w:val="0"/>
      </w:pPr>
      <w:r>
        <w:rPr>
          <w:rFonts w:ascii="Microsoft YaHei" w:hAnsi="Microsoft YaHei" w:eastAsia="Microsoft YaHei"/>
          <w:sz w:val="22"/>
        </w:rPr>
        <w:t>为避免完全线性重复，关联筛查模型只使用活动量表总分，不同时放入ADL、IADL及其和。问题二候选模型的标准化、校准、折外概率和切点搜索均限定在训练集；独立测试集只用于一次最终评价。题面示例规则不定义统计等级，仅作为独立临床管理提示。</w:t>
      </w:r>
    </w:p>
    <w:p>
      <w:pPr>
        <w:pStyle w:val="Heading1"/>
      </w:pPr>
      <w:r>
        <w:t>3 模型假设与符号说明</w:t>
      </w:r>
    </w:p>
    <w:p>
      <w:pPr>
        <w:pStyle w:val="Heading2"/>
      </w:pPr>
      <w:r>
        <w:t>3.1 主要假设</w:t>
      </w:r>
    </w:p>
    <w:p>
      <w:pPr>
        <w:pStyle w:val="ListBullet"/>
      </w:pPr>
      <w:r>
        <w:rPr>
          <w:rFonts w:ascii="Microsoft YaHei" w:hAnsi="Microsoft YaHei" w:eastAsia="Microsoft YaHei"/>
          <w:sz w:val="21"/>
        </w:rPr>
        <w:t>附件样本在本研究范围内可用于建立相对风险排序，但不直接代表一般人群绝对患病率。</w:t>
      </w:r>
    </w:p>
    <w:p>
      <w:pPr>
        <w:pStyle w:val="ListBullet"/>
      </w:pPr>
      <w:r>
        <w:rPr>
          <w:rFonts w:ascii="Microsoft YaHei" w:hAnsi="Microsoft YaHei" w:eastAsia="Microsoft YaHei"/>
          <w:sz w:val="21"/>
        </w:rPr>
        <w:t>体质积分、活动评分和体检指标在建模时视为同一时点观测；模型刻画关联与风险排序，不作因果推断。</w:t>
      </w:r>
    </w:p>
    <w:p>
      <w:pPr>
        <w:pStyle w:val="ListBullet"/>
      </w:pPr>
      <w:r>
        <w:rPr>
          <w:rFonts w:ascii="Microsoft YaHei" w:hAnsi="Microsoft YaHei" w:eastAsia="Microsoft YaHei"/>
          <w:sz w:val="21"/>
        </w:rPr>
        <w:t>问题三中年龄组在六个月内不变，活动耐受度按初始活动总分确定；若临床复评后耐受度改变，应重新求解。</w:t>
      </w:r>
    </w:p>
    <w:p>
      <w:pPr>
        <w:pStyle w:val="ListBullet"/>
      </w:pPr>
      <w:r>
        <w:rPr>
          <w:rFonts w:ascii="Microsoft YaHei" w:hAnsi="Microsoft YaHei" w:eastAsia="Microsoft YaHei"/>
          <w:sz w:val="21"/>
        </w:rPr>
        <w:t>题面未给中医调理方式的独立积分下降率，基准方案仅计其必选成本；0%、1%、2%的额外月降幅只用于敏感性分析。</w:t>
      </w:r>
    </w:p>
    <w:p>
      <w:pPr>
        <w:pStyle w:val="ListBullet"/>
      </w:pPr>
      <w:r>
        <w:rPr>
          <w:rFonts w:ascii="Microsoft YaHei" w:hAnsi="Microsoft YaHei" w:eastAsia="Microsoft YaHei"/>
          <w:sz w:val="21"/>
        </w:rPr>
        <w:t>每月按4周、六个月按24周；活动频率1–10次/周，总成本不超过2000元。</w:t>
      </w:r>
    </w:p>
    <w:p>
      <w:r>
        <w:br w:type="page"/>
      </w:r>
    </w:p>
    <w:p>
      <w:pPr>
        <w:pStyle w:val="Heading2"/>
      </w:pPr>
      <w:r>
        <w:t>3.2 主要符号</w:t>
      </w:r>
    </w:p>
    <w:tbl>
      <w:tblPr>
        <w:tblStyle w:val="TableGrid"/>
        <w:tblW w:type="dxa" w:w="9070"/>
        <w:jc w:val="left"/>
        <w:tblLayout w:type="fixed"/>
        <w:tblLook w:firstColumn="1" w:firstRow="1" w:lastColumn="0" w:lastRow="0" w:noHBand="0" w:noVBand="1" w:val="04A0"/>
        <w:tblInd w:w="120" w:type="dxa"/>
      </w:tblPr>
      <w:tblGrid>
        <w:gridCol w:w="1500"/>
        <w:gridCol w:w="5570"/>
        <w:gridCol w:w="2000"/>
      </w:tblGrid>
      <w:tr>
        <w:trPr>
          <w:tblHeader w:val="true"/>
          <w:cantSplit/>
        </w:trPr>
        <w:tc>
          <w:tcPr>
            <w:tcW w:type="dxa" w:w="1500"/>
            <w:vAlign w:val="center"/>
            <w:shd w:fill="E8EEF5"/>
            <w:tcMar>
              <w:top w:w="80" w:type="dxa"/>
              <w:start w:w="120" w:type="dxa"/>
              <w:bottom w:w="80" w:type="dxa"/>
              <w:end w:w="120" w:type="dxa"/>
            </w:tcMar>
          </w:tcPr>
          <w:p>
            <w:pPr>
              <w:spacing w:before="0" w:after="0" w:line="259" w:lineRule="auto"/>
              <w:jc w:val="center"/>
            </w:pPr>
            <w:r/>
            <w:r>
              <w:rPr>
                <w:rFonts w:ascii="Microsoft YaHei" w:hAnsi="Microsoft YaHei" w:eastAsia="Microsoft YaHei"/>
                <w:b/>
                <w:color w:val="17365D"/>
                <w:sz w:val="18"/>
              </w:rPr>
              <w:t>符号</w:t>
            </w:r>
          </w:p>
        </w:tc>
        <w:tc>
          <w:tcPr>
            <w:tcW w:type="dxa" w:w="5570"/>
            <w:vAlign w:val="center"/>
            <w:shd w:fill="E8EEF5"/>
            <w:tcMar>
              <w:top w:w="80" w:type="dxa"/>
              <w:start w:w="120" w:type="dxa"/>
              <w:bottom w:w="80" w:type="dxa"/>
              <w:end w:w="120" w:type="dxa"/>
            </w:tcMar>
          </w:tcPr>
          <w:p>
            <w:pPr>
              <w:spacing w:before="0" w:after="0" w:line="259" w:lineRule="auto"/>
              <w:jc w:val="center"/>
            </w:pPr>
            <w:r/>
            <w:r>
              <w:rPr>
                <w:rFonts w:ascii="Microsoft YaHei" w:hAnsi="Microsoft YaHei" w:eastAsia="Microsoft YaHei"/>
                <w:b/>
                <w:color w:val="17365D"/>
                <w:sz w:val="18"/>
              </w:rPr>
              <w:t>含义</w:t>
            </w:r>
          </w:p>
        </w:tc>
        <w:tc>
          <w:tcPr>
            <w:tcW w:type="dxa" w:w="2000"/>
            <w:vAlign w:val="center"/>
            <w:shd w:fill="E8EEF5"/>
            <w:tcMar>
              <w:top w:w="80" w:type="dxa"/>
              <w:start w:w="120" w:type="dxa"/>
              <w:bottom w:w="80" w:type="dxa"/>
              <w:end w:w="120" w:type="dxa"/>
            </w:tcMar>
          </w:tcPr>
          <w:p>
            <w:pPr>
              <w:spacing w:before="0" w:after="0" w:line="259" w:lineRule="auto"/>
              <w:jc w:val="center"/>
            </w:pPr>
            <w:r/>
            <w:r>
              <w:rPr>
                <w:rFonts w:ascii="Microsoft YaHei" w:hAnsi="Microsoft YaHei" w:eastAsia="Microsoft YaHei"/>
                <w:b/>
                <w:color w:val="17365D"/>
                <w:sz w:val="18"/>
              </w:rPr>
              <w:t>单位/取值</w:t>
            </w:r>
          </w:p>
        </w:tc>
      </w:tr>
      <w:tr>
        <w:trPr>
          <w:cantSplit/>
        </w:trPr>
        <w:tc>
          <w:tcPr>
            <w:tcW w:type="dxa" w:w="15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8"/>
              </w:rPr>
              <w:t>S</w:t>
            </w:r>
          </w:p>
        </w:tc>
        <w:tc>
          <w:tcPr>
            <w:tcW w:type="dxa" w:w="557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8"/>
              </w:rPr>
              <w:t>痰湿体质积分</w:t>
            </w:r>
          </w:p>
        </w:tc>
        <w:tc>
          <w:tcPr>
            <w:tcW w:type="dxa" w:w="20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8"/>
              </w:rPr>
              <w:t>分</w:t>
            </w:r>
          </w:p>
        </w:tc>
      </w:tr>
      <w:tr>
        <w:trPr>
          <w:cantSplit/>
        </w:trPr>
        <w:tc>
          <w:tcPr>
            <w:tcW w:type="dxa" w:w="15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8"/>
              </w:rPr>
              <w:t>Y</w:t>
            </w:r>
          </w:p>
        </w:tc>
        <w:tc>
          <w:tcPr>
            <w:tcW w:type="dxa" w:w="557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8"/>
              </w:rPr>
              <w:t>高血脂二分类标签</w:t>
            </w:r>
          </w:p>
        </w:tc>
        <w:tc>
          <w:tcPr>
            <w:tcW w:type="dxa" w:w="20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8"/>
              </w:rPr>
              <w:t>0/1</w:t>
            </w:r>
          </w:p>
        </w:tc>
      </w:tr>
      <w:tr>
        <w:trPr>
          <w:cantSplit/>
        </w:trPr>
        <w:tc>
          <w:tcPr>
            <w:tcW w:type="dxa" w:w="15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8"/>
              </w:rPr>
              <w:t>Īᵢ,S / Īᵢ,Y</w:t>
            </w:r>
          </w:p>
        </w:tc>
        <w:tc>
          <w:tcPr>
            <w:tcW w:type="dxa" w:w="557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8"/>
              </w:rPr>
              <w:t>指标i在验证折上的平均置换重要性</w:t>
            </w:r>
          </w:p>
        </w:tc>
        <w:tc>
          <w:tcPr>
            <w:tcW w:type="dxa" w:w="20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8"/>
              </w:rPr>
              <w:t>实数</w:t>
            </w:r>
          </w:p>
        </w:tc>
      </w:tr>
      <w:tr>
        <w:trPr>
          <w:cantSplit/>
        </w:trPr>
        <w:tc>
          <w:tcPr>
            <w:tcW w:type="dxa" w:w="15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8"/>
              </w:rPr>
              <w:t>p</w:t>
            </w:r>
          </w:p>
        </w:tc>
        <w:tc>
          <w:tcPr>
            <w:tcW w:type="dxa" w:w="557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8"/>
              </w:rPr>
              <w:t>非血脂关联筛查模型输出概率</w:t>
            </w:r>
          </w:p>
        </w:tc>
        <w:tc>
          <w:tcPr>
            <w:tcW w:type="dxa" w:w="20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8"/>
              </w:rPr>
              <w:t>0–1</w:t>
            </w:r>
          </w:p>
        </w:tc>
      </w:tr>
      <w:tr>
        <w:trPr>
          <w:cantSplit/>
        </w:trPr>
        <w:tc>
          <w:tcPr>
            <w:tcW w:type="dxa" w:w="1500"/>
            <w:vAlign w:val="center"/>
            <w:tcMar>
              <w:top w:w="80" w:type="dxa"/>
              <w:start w:w="120" w:type="dxa"/>
              <w:bottom w:w="80" w:type="dxa"/>
              <w:end w:w="120" w:type="dxa"/>
            </w:tcMar>
          </w:tcPr>
          <w:p>
            <w:r>
              <w:t>R(p)</w:t>
            </w:r>
          </w:p>
        </w:tc>
        <w:tc>
          <w:tcPr>
            <w:tcW w:type="dxa" w:w="5570"/>
            <w:vAlign w:val="center"/>
            <w:tcMar>
              <w:top w:w="80" w:type="dxa"/>
              <w:start w:w="120" w:type="dxa"/>
              <w:bottom w:w="80" w:type="dxa"/>
              <w:end w:w="120" w:type="dxa"/>
            </w:tcMar>
          </w:tcPr>
          <w:p>
            <w:r>
              <w:t>训练折外概率切点生成的统计等级</w:t>
            </w:r>
          </w:p>
        </w:tc>
        <w:tc>
          <w:tcPr>
            <w:tcW w:type="dxa" w:w="2000"/>
            <w:vAlign w:val="center"/>
            <w:tcMar>
              <w:top w:w="80" w:type="dxa"/>
              <w:start w:w="120" w:type="dxa"/>
              <w:bottom w:w="80" w:type="dxa"/>
              <w:end w:w="120" w:type="dxa"/>
            </w:tcMar>
          </w:tcPr>
          <w:p>
            <w:r>
              <w:t>1/2/3</w:t>
            </w:r>
          </w:p>
        </w:tc>
      </w:tr>
      <w:tr>
        <w:trPr>
          <w:cantSplit/>
        </w:trPr>
        <w:tc>
          <w:tcPr>
            <w:tcW w:type="dxa" w:w="15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8"/>
              </w:rPr>
              <w:t>aₜ</w:t>
            </w:r>
          </w:p>
        </w:tc>
        <w:tc>
          <w:tcPr>
            <w:tcW w:type="dxa" w:w="557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8"/>
              </w:rPr>
              <w:t>第t月活动强度</w:t>
            </w:r>
          </w:p>
        </w:tc>
        <w:tc>
          <w:tcPr>
            <w:tcW w:type="dxa" w:w="20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8"/>
              </w:rPr>
              <w:t>1/2/3级</w:t>
            </w:r>
          </w:p>
        </w:tc>
      </w:tr>
      <w:tr>
        <w:trPr>
          <w:cantSplit/>
        </w:trPr>
        <w:tc>
          <w:tcPr>
            <w:tcW w:type="dxa" w:w="15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8"/>
              </w:rPr>
              <w:t>fₜ</w:t>
            </w:r>
          </w:p>
        </w:tc>
        <w:tc>
          <w:tcPr>
            <w:tcW w:type="dxa" w:w="557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8"/>
              </w:rPr>
              <w:t>第t月每周活动频率</w:t>
            </w:r>
          </w:p>
        </w:tc>
        <w:tc>
          <w:tcPr>
            <w:tcW w:type="dxa" w:w="20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8"/>
              </w:rPr>
              <w:t>次/周</w:t>
            </w:r>
          </w:p>
        </w:tc>
      </w:tr>
      <w:tr>
        <w:trPr>
          <w:cantSplit/>
        </w:trPr>
        <w:tc>
          <w:tcPr>
            <w:tcW w:type="dxa" w:w="15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8"/>
              </w:rPr>
              <w:t>Cₜ</w:t>
            </w:r>
          </w:p>
        </w:tc>
        <w:tc>
          <w:tcPr>
            <w:tcW w:type="dxa" w:w="557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8"/>
              </w:rPr>
              <w:t>第t月调理与活动总成本</w:t>
            </w:r>
          </w:p>
        </w:tc>
        <w:tc>
          <w:tcPr>
            <w:tcW w:type="dxa" w:w="20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8"/>
              </w:rPr>
              <w:t>元</w:t>
            </w:r>
          </w:p>
        </w:tc>
      </w:tr>
      <w:tr>
        <w:trPr>
          <w:cantSplit/>
        </w:trPr>
        <w:tc>
          <w:tcPr>
            <w:tcW w:type="dxa" w:w="15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8"/>
              </w:rPr>
              <w:t>Δmax</w:t>
            </w:r>
          </w:p>
        </w:tc>
        <w:tc>
          <w:tcPr>
            <w:tcW w:type="dxa" w:w="557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8"/>
              </w:rPr>
              <w:t>预算内最大可降低积分</w:t>
            </w:r>
          </w:p>
        </w:tc>
        <w:tc>
          <w:tcPr>
            <w:tcW w:type="dxa" w:w="20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8"/>
              </w:rPr>
              <w:t>分</w:t>
            </w:r>
          </w:p>
        </w:tc>
      </w:tr>
    </w:tbl>
    <w:p>
      <w:pPr>
        <w:spacing w:after="40"/>
      </w:pPr>
    </w:p>
    <w:p>
      <w:pPr>
        <w:pStyle w:val="Heading1"/>
      </w:pPr>
      <w:r>
        <w:t>4 问题一：分终点指标筛选与体质贡献</w:t>
      </w:r>
    </w:p>
    <w:p>
      <w:pPr>
        <w:pStyle w:val="Heading2"/>
      </w:pPr>
      <w:r>
        <w:t>4.1 折外证据与泄漏排除</w:t>
      </w:r>
    </w:p>
    <w:p>
      <w:pPr>
        <w:keepLines w:val="0"/>
      </w:pPr>
      <w:r>
        <w:rPr>
          <w:rFonts w:ascii="Microsoft YaHei" w:hAnsi="Microsoft YaHei" w:eastAsia="Microsoft YaHei"/>
          <w:sz w:val="22"/>
        </w:rPr>
        <w:t>痰湿严重度终点考察TC、TG、LDL-C、HDL-C、血糖、血尿酸、BMI和活动总分；高血脂关联终点排除定义标签的四项血脂，只考察血糖、血尿酸、BMI和活动总分。两个终点均采用5折、3次重复交叉验证，并仅在验证折计算置换重要性。</w:t>
      </w:r>
    </w:p>
    <w:p>
      <w:pPr>
        <w:spacing w:before="100" w:after="100"/>
        <w:jc w:val="center"/>
      </w:pPr>
      <w:r>
        <w:rPr>
          <w:rFonts w:ascii="Cambria Math" w:hAnsi="Cambria Math" w:eastAsia="Cambria Math"/>
          <w:i/>
          <w:color w:val="17365D"/>
          <w:sz w:val="22"/>
        </w:rPr>
        <w:t>K = Kₛ ∩ Kᵧ；Kₛ、Kᵧ均由折外性能、置换重要性、关联检验与FDR共同确定    (1)</w:t>
      </w:r>
    </w:p>
    <w:p>
      <w:pPr>
        <w:keepLines w:val="0"/>
      </w:pPr>
      <w:r>
        <w:rPr>
          <w:rFonts w:ascii="Microsoft YaHei" w:hAnsi="Microsoft YaHei" w:eastAsia="Microsoft YaHei"/>
          <w:sz w:val="22"/>
        </w:rPr>
        <w:t>痰湿端要求平均折外R²&gt;0、正重要性频率不低于0.60、|Spearman ρ|≥0.10且FDR q&lt;0.05；高血脂关联端要求平均折外AUC≥0.60、正重要性频率不低于0.60、单指标AUC≥0.60且FDR q&lt;0.05。交集允许为空，避免为满足形式而制造假阳性。</w:t>
      </w:r>
    </w:p>
    <w:tbl>
      <w:tblPr>
        <w:tblStyle w:val="TableGrid"/>
        <w:tblW w:type="dxa" w:w="9070"/>
        <w:jc w:val="left"/>
        <w:tblLayout w:type="fixed"/>
        <w:tblLook w:firstColumn="1" w:firstRow="1" w:lastColumn="0" w:lastRow="0" w:noHBand="0" w:noVBand="1" w:val="04A0"/>
        <w:tblInd w:w="120" w:type="dxa"/>
      </w:tblPr>
      <w:tblGrid>
        <w:gridCol w:w="9070"/>
      </w:tblGrid>
      <w:tr>
        <w:tc>
          <w:tcPr>
            <w:tcW w:type="dxa" w:w="9070"/>
            <w:shd w:fill="F4F6F9"/>
            <w:tcMar>
              <w:top w:w="80" w:type="dxa"/>
              <w:start w:w="120" w:type="dxa"/>
              <w:bottom w:w="80" w:type="dxa"/>
              <w:end w:w="120" w:type="dxa"/>
            </w:tcMar>
          </w:tcPr>
          <w:p>
            <w:pPr>
              <w:spacing w:after="0"/>
            </w:pPr>
            <w:r/>
            <w:r>
              <w:rPr>
                <w:rFonts w:ascii="Microsoft YaHei" w:hAnsi="Microsoft YaHei" w:eastAsia="Microsoft YaHei"/>
                <w:b/>
                <w:color w:val="17365D"/>
                <w:sz w:val="21"/>
              </w:rPr>
              <w:t xml:space="preserve">折外性能  </w:t>
            </w:r>
            <w:r>
              <w:rPr>
                <w:rFonts w:ascii="Microsoft YaHei" w:hAnsi="Microsoft YaHei" w:eastAsia="Microsoft YaHei"/>
                <w:color w:val="17365D"/>
                <w:sz w:val="21"/>
              </w:rPr>
              <w:t>痰湿严重度平均折外R²=-0.056±0.028；非诊断高血脂关联模型平均折外AUC=0.848±0.027。</w:t>
            </w:r>
          </w:p>
        </w:tc>
      </w:tr>
    </w:tbl>
    <w:p>
      <w:pPr>
        <w:spacing w:after="40"/>
      </w:pPr>
    </w:p>
    <w:p>
      <w:r>
        <w:br w:type="page"/>
      </w:r>
    </w:p>
    <w:tbl>
      <w:tblPr>
        <w:tblStyle w:val="TableGrid"/>
        <w:tblW w:type="dxa" w:w="9070"/>
        <w:jc w:val="left"/>
        <w:tblLayout w:type="fixed"/>
        <w:tblLook w:firstColumn="1" w:firstRow="1" w:lastColumn="0" w:lastRow="0" w:noHBand="0" w:noVBand="1" w:val="04A0"/>
        <w:tblInd w:w="120" w:type="dxa"/>
      </w:tblPr>
      <w:tblGrid>
        <w:gridCol w:w="1900"/>
        <w:gridCol w:w="1800"/>
        <w:gridCol w:w="1650"/>
        <w:gridCol w:w="2350"/>
        <w:gridCol w:w="1370"/>
      </w:tblGrid>
      <w:tr>
        <w:trPr>
          <w:tblHeader w:val="true"/>
          <w:cantSplit/>
        </w:trPr>
        <w:tc>
          <w:tcPr>
            <w:tcW w:type="dxa" w:w="1900"/>
            <w:vAlign w:val="center"/>
            <w:shd w:fill="E8EEF5"/>
            <w:tcMar>
              <w:top w:w="80" w:type="dxa"/>
              <w:start w:w="120" w:type="dxa"/>
              <w:bottom w:w="80" w:type="dxa"/>
              <w:end w:w="120" w:type="dxa"/>
            </w:tcMar>
          </w:tcPr>
          <w:p>
            <w:pPr>
              <w:spacing w:before="0" w:after="0" w:line="259" w:lineRule="auto"/>
              <w:jc w:val="center"/>
            </w:pPr>
            <w:r/>
            <w:r>
              <w:rPr>
                <w:rFonts w:ascii="Microsoft YaHei" w:hAnsi="Microsoft YaHei" w:eastAsia="Microsoft YaHei"/>
                <w:b/>
                <w:color w:val="17365D"/>
                <w:sz w:val="16"/>
              </w:rPr>
              <w:t>指标</w:t>
            </w:r>
          </w:p>
        </w:tc>
        <w:tc>
          <w:tcPr>
            <w:tcW w:type="dxa" w:w="1800"/>
            <w:vAlign w:val="center"/>
            <w:shd w:fill="E8EEF5"/>
            <w:tcMar>
              <w:top w:w="80" w:type="dxa"/>
              <w:start w:w="120" w:type="dxa"/>
              <w:bottom w:w="80" w:type="dxa"/>
              <w:end w:w="120" w:type="dxa"/>
            </w:tcMar>
          </w:tcPr>
          <w:p>
            <w:pPr>
              <w:spacing w:before="0" w:after="0" w:line="259" w:lineRule="auto"/>
              <w:jc w:val="center"/>
            </w:pPr>
            <w:r/>
            <w:r>
              <w:rPr>
                <w:rFonts w:ascii="Microsoft YaHei" w:hAnsi="Microsoft YaHei" w:eastAsia="Microsoft YaHei"/>
                <w:b/>
                <w:color w:val="17365D"/>
                <w:sz w:val="16"/>
              </w:rPr>
              <w:t>痰湿ρ / FDR q</w:t>
            </w:r>
          </w:p>
        </w:tc>
        <w:tc>
          <w:tcPr>
            <w:tcW w:type="dxa" w:w="1650"/>
            <w:vAlign w:val="center"/>
            <w:shd w:fill="E8EEF5"/>
            <w:tcMar>
              <w:top w:w="80" w:type="dxa"/>
              <w:start w:w="120" w:type="dxa"/>
              <w:bottom w:w="80" w:type="dxa"/>
              <w:end w:w="120" w:type="dxa"/>
            </w:tcMar>
          </w:tcPr>
          <w:p>
            <w:pPr>
              <w:spacing w:before="0" w:after="0" w:line="259" w:lineRule="auto"/>
              <w:jc w:val="center"/>
            </w:pPr>
            <w:r/>
            <w:r>
              <w:rPr>
                <w:rFonts w:ascii="Microsoft YaHei" w:hAnsi="Microsoft YaHei" w:eastAsia="Microsoft YaHei"/>
                <w:b/>
                <w:color w:val="17365D"/>
                <w:sz w:val="16"/>
              </w:rPr>
              <w:t>痰湿正重要性频率</w:t>
            </w:r>
          </w:p>
        </w:tc>
        <w:tc>
          <w:tcPr>
            <w:tcW w:type="dxa" w:w="2350"/>
            <w:vAlign w:val="center"/>
            <w:shd w:fill="E8EEF5"/>
            <w:tcMar>
              <w:top w:w="80" w:type="dxa"/>
              <w:start w:w="120" w:type="dxa"/>
              <w:bottom w:w="80" w:type="dxa"/>
              <w:end w:w="120" w:type="dxa"/>
            </w:tcMar>
          </w:tcPr>
          <w:p>
            <w:pPr>
              <w:spacing w:before="0" w:after="0" w:line="259" w:lineRule="auto"/>
              <w:jc w:val="center"/>
            </w:pPr>
            <w:r/>
            <w:r>
              <w:rPr>
                <w:rFonts w:ascii="Microsoft YaHei" w:hAnsi="Microsoft YaHei" w:eastAsia="Microsoft YaHei"/>
                <w:b/>
                <w:color w:val="17365D"/>
                <w:sz w:val="16"/>
              </w:rPr>
              <w:t>高血脂关联证据</w:t>
            </w:r>
          </w:p>
        </w:tc>
        <w:tc>
          <w:tcPr>
            <w:tcW w:type="dxa" w:w="1370"/>
            <w:vAlign w:val="center"/>
            <w:shd w:fill="E8EEF5"/>
            <w:tcMar>
              <w:top w:w="80" w:type="dxa"/>
              <w:start w:w="120" w:type="dxa"/>
              <w:bottom w:w="80" w:type="dxa"/>
              <w:end w:w="120" w:type="dxa"/>
            </w:tcMar>
          </w:tcPr>
          <w:p>
            <w:pPr>
              <w:spacing w:before="0" w:after="0" w:line="259" w:lineRule="auto"/>
              <w:jc w:val="center"/>
            </w:pPr>
            <w:r/>
            <w:r>
              <w:rPr>
                <w:rFonts w:ascii="Microsoft YaHei" w:hAnsi="Microsoft YaHei" w:eastAsia="Microsoft YaHei"/>
                <w:b/>
                <w:color w:val="17365D"/>
                <w:sz w:val="16"/>
              </w:rPr>
              <w:t>结论</w:t>
            </w:r>
          </w:p>
        </w:tc>
      </w:tr>
      <w:tr>
        <w:trPr>
          <w:cantSplit/>
        </w:trPr>
        <w:tc>
          <w:tcPr>
            <w:tcW w:type="dxa" w:w="190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6"/>
              </w:rPr>
              <w:t>总胆固醇_TC</w:t>
            </w:r>
          </w:p>
        </w:tc>
        <w:tc>
          <w:tcPr>
            <w:tcW w:type="dxa" w:w="18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-0.035 / 0.761</w:t>
            </w:r>
          </w:p>
        </w:tc>
        <w:tc>
          <w:tcPr>
            <w:tcW w:type="dxa" w:w="16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0.40</w:t>
            </w:r>
          </w:p>
        </w:tc>
        <w:tc>
          <w:tcPr>
            <w:tcW w:type="dxa" w:w="235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6"/>
              </w:rPr>
              <w:t>诊断泄漏排除</w:t>
            </w:r>
          </w:p>
        </w:tc>
        <w:tc>
          <w:tcPr>
            <w:tcW w:type="dxa" w:w="1370"/>
            <w:vAlign w:val="center"/>
            <w:tcMar>
              <w:top w:w="80" w:type="dxa"/>
              <w:start w:w="120" w:type="dxa"/>
              <w:bottom w:w="80" w:type="dxa"/>
              <w:end w:w="120" w:type="dxa"/>
            </w:tcMar>
          </w:tcPr>
          <w:p>
            <w:pPr>
              <w:spacing w:before="0" w:after="0"/>
            </w:pPr>
            <w:r>
              <w:rPr>
                <w:rFonts w:ascii="Microsoft YaHei" w:hAnsi="Microsoft YaHei" w:eastAsia="Microsoft YaHei"/>
                <w:b w:val="0"/>
                <w:sz w:val="15"/>
              </w:rPr>
              <w:t>高血脂端泄漏排除</w:t>
            </w:r>
          </w:p>
        </w:tc>
      </w:tr>
      <w:tr>
        <w:trPr>
          <w:cantSplit/>
        </w:trPr>
        <w:tc>
          <w:tcPr>
            <w:tcW w:type="dxa" w:w="190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6"/>
              </w:rPr>
              <w:t>甘油三酯_TG</w:t>
            </w:r>
          </w:p>
        </w:tc>
        <w:tc>
          <w:tcPr>
            <w:tcW w:type="dxa" w:w="18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-0.016 / 0.761</w:t>
            </w:r>
          </w:p>
        </w:tc>
        <w:tc>
          <w:tcPr>
            <w:tcW w:type="dxa" w:w="16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0.13</w:t>
            </w:r>
          </w:p>
        </w:tc>
        <w:tc>
          <w:tcPr>
            <w:tcW w:type="dxa" w:w="235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6"/>
              </w:rPr>
              <w:t>诊断泄漏排除</w:t>
            </w:r>
          </w:p>
        </w:tc>
        <w:tc>
          <w:tcPr>
            <w:tcW w:type="dxa" w:w="1370"/>
            <w:vAlign w:val="center"/>
            <w:tcMar>
              <w:top w:w="80" w:type="dxa"/>
              <w:start w:w="120" w:type="dxa"/>
              <w:bottom w:w="80" w:type="dxa"/>
              <w:end w:w="120" w:type="dxa"/>
            </w:tcMar>
          </w:tcPr>
          <w:p>
            <w:pPr>
              <w:spacing w:before="0" w:after="0"/>
            </w:pPr>
            <w:r>
              <w:rPr>
                <w:rFonts w:ascii="Microsoft YaHei" w:hAnsi="Microsoft YaHei" w:eastAsia="Microsoft YaHei"/>
                <w:b w:val="0"/>
                <w:sz w:val="15"/>
              </w:rPr>
              <w:t>高血脂端泄漏排除</w:t>
            </w:r>
          </w:p>
        </w:tc>
      </w:tr>
      <w:tr>
        <w:trPr>
          <w:cantSplit/>
        </w:trPr>
        <w:tc>
          <w:tcPr>
            <w:tcW w:type="dxa" w:w="190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6"/>
              </w:rPr>
              <w:t>低密度脂蛋白_LDL_C</w:t>
            </w:r>
          </w:p>
        </w:tc>
        <w:tc>
          <w:tcPr>
            <w:tcW w:type="dxa" w:w="18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0.010 / 0.761</w:t>
            </w:r>
          </w:p>
        </w:tc>
        <w:tc>
          <w:tcPr>
            <w:tcW w:type="dxa" w:w="16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0.20</w:t>
            </w:r>
          </w:p>
        </w:tc>
        <w:tc>
          <w:tcPr>
            <w:tcW w:type="dxa" w:w="235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6"/>
              </w:rPr>
              <w:t>诊断泄漏排除</w:t>
            </w:r>
          </w:p>
        </w:tc>
        <w:tc>
          <w:tcPr>
            <w:tcW w:type="dxa" w:w="1370"/>
            <w:vAlign w:val="center"/>
            <w:tcMar>
              <w:top w:w="80" w:type="dxa"/>
              <w:start w:w="120" w:type="dxa"/>
              <w:bottom w:w="80" w:type="dxa"/>
              <w:end w:w="120" w:type="dxa"/>
            </w:tcMar>
          </w:tcPr>
          <w:p>
            <w:pPr>
              <w:spacing w:before="0" w:after="0"/>
            </w:pPr>
            <w:r>
              <w:rPr>
                <w:rFonts w:ascii="Microsoft YaHei" w:hAnsi="Microsoft YaHei" w:eastAsia="Microsoft YaHei"/>
                <w:b w:val="0"/>
                <w:sz w:val="15"/>
              </w:rPr>
              <w:t>高血脂端泄漏排除</w:t>
            </w:r>
          </w:p>
        </w:tc>
      </w:tr>
      <w:tr>
        <w:trPr>
          <w:cantSplit/>
        </w:trPr>
        <w:tc>
          <w:tcPr>
            <w:tcW w:type="dxa" w:w="190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6"/>
              </w:rPr>
              <w:t>高密度脂蛋白_HDL_C</w:t>
            </w:r>
          </w:p>
        </w:tc>
        <w:tc>
          <w:tcPr>
            <w:tcW w:type="dxa" w:w="18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0.014 / 0.761</w:t>
            </w:r>
          </w:p>
        </w:tc>
        <w:tc>
          <w:tcPr>
            <w:tcW w:type="dxa" w:w="16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0.20</w:t>
            </w:r>
          </w:p>
        </w:tc>
        <w:tc>
          <w:tcPr>
            <w:tcW w:type="dxa" w:w="235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6"/>
              </w:rPr>
              <w:t>诊断泄漏排除</w:t>
            </w:r>
          </w:p>
        </w:tc>
        <w:tc>
          <w:tcPr>
            <w:tcW w:type="dxa" w:w="1370"/>
            <w:vAlign w:val="center"/>
            <w:tcMar>
              <w:top w:w="80" w:type="dxa"/>
              <w:start w:w="120" w:type="dxa"/>
              <w:bottom w:w="80" w:type="dxa"/>
              <w:end w:w="120" w:type="dxa"/>
            </w:tcMar>
          </w:tcPr>
          <w:p>
            <w:pPr>
              <w:spacing w:before="0" w:after="0"/>
            </w:pPr>
            <w:r>
              <w:rPr>
                <w:rFonts w:ascii="Microsoft YaHei" w:hAnsi="Microsoft YaHei" w:eastAsia="Microsoft YaHei"/>
                <w:b w:val="0"/>
                <w:sz w:val="15"/>
              </w:rPr>
              <w:t>高血脂端泄漏排除</w:t>
            </w:r>
          </w:p>
        </w:tc>
      </w:tr>
      <w:tr>
        <w:trPr>
          <w:cantSplit/>
        </w:trPr>
        <w:tc>
          <w:tcPr>
            <w:tcW w:type="dxa" w:w="190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6"/>
              </w:rPr>
              <w:t>血糖</w:t>
            </w:r>
          </w:p>
        </w:tc>
        <w:tc>
          <w:tcPr>
            <w:tcW w:type="dxa" w:w="18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-0.020 / 0.761</w:t>
            </w:r>
          </w:p>
        </w:tc>
        <w:tc>
          <w:tcPr>
            <w:tcW w:type="dxa" w:w="16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0.53</w:t>
            </w:r>
          </w:p>
        </w:tc>
        <w:tc>
          <w:tcPr>
            <w:tcW w:type="dxa" w:w="235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6"/>
              </w:rPr>
              <w:t>AUC 0.529 / q 0.412</w:t>
            </w:r>
          </w:p>
        </w:tc>
        <w:tc>
          <w:tcPr>
            <w:tcW w:type="dxa" w:w="1370"/>
            <w:vAlign w:val="center"/>
            <w:tcMar>
              <w:top w:w="80" w:type="dxa"/>
              <w:start w:w="120" w:type="dxa"/>
              <w:bottom w:w="80" w:type="dxa"/>
              <w:end w:w="120" w:type="dxa"/>
            </w:tcMar>
          </w:tcPr>
          <w:p>
            <w:pPr>
              <w:spacing w:before="0" w:after="0"/>
            </w:pPr>
            <w:r>
              <w:rPr>
                <w:rFonts w:ascii="Microsoft YaHei" w:hAnsi="Microsoft YaHei" w:eastAsia="Microsoft YaHei"/>
                <w:b w:val="0"/>
                <w:sz w:val="15"/>
              </w:rPr>
              <w:t>验证性未入选</w:t>
            </w:r>
          </w:p>
        </w:tc>
      </w:tr>
      <w:tr>
        <w:trPr>
          <w:cantSplit/>
        </w:trPr>
        <w:tc>
          <w:tcPr>
            <w:tcW w:type="dxa" w:w="190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6"/>
              </w:rPr>
              <w:t>血尿酸</w:t>
            </w:r>
          </w:p>
        </w:tc>
        <w:tc>
          <w:tcPr>
            <w:tcW w:type="dxa" w:w="18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-0.010 / 0.761</w:t>
            </w:r>
          </w:p>
        </w:tc>
        <w:tc>
          <w:tcPr>
            <w:tcW w:type="dxa" w:w="16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0.07</w:t>
            </w:r>
          </w:p>
        </w:tc>
        <w:tc>
          <w:tcPr>
            <w:tcW w:type="dxa" w:w="235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6"/>
              </w:rPr>
              <w:t>AUC 0.646 / q 0.000</w:t>
            </w:r>
          </w:p>
        </w:tc>
        <w:tc>
          <w:tcPr>
            <w:tcW w:type="dxa" w:w="1370"/>
            <w:vAlign w:val="center"/>
            <w:tcMar>
              <w:top w:w="80" w:type="dxa"/>
              <w:start w:w="120" w:type="dxa"/>
              <w:bottom w:w="80" w:type="dxa"/>
              <w:end w:w="120" w:type="dxa"/>
            </w:tcMar>
          </w:tcPr>
          <w:p>
            <w:pPr>
              <w:spacing w:before="0" w:after="0"/>
            </w:pPr>
            <w:r>
              <w:rPr>
                <w:rFonts w:ascii="Microsoft YaHei" w:hAnsi="Microsoft YaHei" w:eastAsia="Microsoft YaHei"/>
                <w:b w:val="0"/>
                <w:sz w:val="15"/>
              </w:rPr>
              <w:t>高血脂端入选；探索性Pareto</w:t>
            </w:r>
          </w:p>
        </w:tc>
      </w:tr>
      <w:tr>
        <w:trPr>
          <w:cantSplit/>
        </w:trPr>
        <w:tc>
          <w:tcPr>
            <w:tcW w:type="dxa" w:w="190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6"/>
              </w:rPr>
              <w:t>BMI</w:t>
            </w:r>
          </w:p>
        </w:tc>
        <w:tc>
          <w:tcPr>
            <w:tcW w:type="dxa" w:w="18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-0.022 / 0.761</w:t>
            </w:r>
          </w:p>
        </w:tc>
        <w:tc>
          <w:tcPr>
            <w:tcW w:type="dxa" w:w="16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0.93</w:t>
            </w:r>
          </w:p>
        </w:tc>
        <w:tc>
          <w:tcPr>
            <w:tcW w:type="dxa" w:w="235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6"/>
              </w:rPr>
              <w:t>AUC 0.519 / q 0.520</w:t>
            </w:r>
          </w:p>
        </w:tc>
        <w:tc>
          <w:tcPr>
            <w:tcW w:type="dxa" w:w="1370"/>
            <w:vAlign w:val="center"/>
            <w:tcMar>
              <w:top w:w="80" w:type="dxa"/>
              <w:start w:w="120" w:type="dxa"/>
              <w:bottom w:w="80" w:type="dxa"/>
              <w:end w:w="120" w:type="dxa"/>
            </w:tcMar>
          </w:tcPr>
          <w:p>
            <w:pPr>
              <w:spacing w:before="0" w:after="0"/>
            </w:pPr>
            <w:r>
              <w:rPr>
                <w:rFonts w:ascii="Microsoft YaHei" w:hAnsi="Microsoft YaHei" w:eastAsia="Microsoft YaHei"/>
                <w:b w:val="0"/>
                <w:sz w:val="15"/>
              </w:rPr>
              <w:t>探索性Pareto；验证性未入选</w:t>
            </w:r>
          </w:p>
        </w:tc>
      </w:tr>
      <w:tr>
        <w:trPr>
          <w:cantSplit/>
        </w:trPr>
        <w:tc>
          <w:tcPr>
            <w:tcW w:type="dxa" w:w="190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6"/>
              </w:rPr>
              <w:t>活动量表总分</w:t>
            </w:r>
          </w:p>
        </w:tc>
        <w:tc>
          <w:tcPr>
            <w:tcW w:type="dxa" w:w="18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-0.018 / 0.761</w:t>
            </w:r>
          </w:p>
        </w:tc>
        <w:tc>
          <w:tcPr>
            <w:tcW w:type="dxa" w:w="16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0.27</w:t>
            </w:r>
          </w:p>
        </w:tc>
        <w:tc>
          <w:tcPr>
            <w:tcW w:type="dxa" w:w="235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6"/>
              </w:rPr>
              <w:t>AUC 0.515 / q 0.520</w:t>
            </w:r>
          </w:p>
        </w:tc>
        <w:tc>
          <w:tcPr>
            <w:tcW w:type="dxa" w:w="1370"/>
            <w:vAlign w:val="center"/>
            <w:tcMar>
              <w:top w:w="80" w:type="dxa"/>
              <w:start w:w="120" w:type="dxa"/>
              <w:bottom w:w="80" w:type="dxa"/>
              <w:end w:w="120" w:type="dxa"/>
            </w:tcMar>
          </w:tcPr>
          <w:p>
            <w:pPr>
              <w:spacing w:before="0" w:after="0"/>
            </w:pPr>
            <w:r>
              <w:rPr>
                <w:rFonts w:ascii="Microsoft YaHei" w:hAnsi="Microsoft YaHei" w:eastAsia="Microsoft YaHei"/>
                <w:b w:val="0"/>
                <w:sz w:val="15"/>
              </w:rPr>
              <w:t>验证性未入选</w:t>
            </w:r>
          </w:p>
        </w:tc>
      </w:tr>
    </w:tbl>
    <w:p>
      <w:pPr>
        <w:spacing w:after="40"/>
      </w:pPr>
    </w:p>
    <w:p>
      <w:pPr>
        <w:spacing w:before="40" w:after="120"/>
      </w:pPr>
      <w:r>
        <w:rPr>
          <w:rFonts w:ascii="Microsoft YaHei" w:hAnsi="Microsoft YaHei" w:eastAsia="Microsoft YaHei"/>
          <w:i/>
          <w:color w:val="666666"/>
          <w:sz w:val="16"/>
        </w:rPr>
        <w:t>表1  分终点折外筛选结果。TC、TG、LDL-C、HDL-C在高血脂关联端因定义标签而排除。</w:t>
      </w:r>
    </w:p>
    <w:p>
      <w:pPr>
        <w:keepNext/>
        <w:spacing w:before="80" w:after="0"/>
        <w:jc w:val="center"/>
      </w:pPr>
      <w:r>
        <w:drawing>
          <wp:inline xmlns:a="http://schemas.openxmlformats.org/drawingml/2006/main" xmlns:pic="http://schemas.openxmlformats.org/drawingml/2006/picture">
            <wp:extent cx="5394960" cy="2648586"/>
            <wp:docPr id="1" name="Picture 1"/>
            <wp:cNvGraphicFramePr>
              <a:graphicFrameLocks noChangeAspect="1"/>
            </wp:cNvGraphicFramePr>
            <a:graphic>
              <a:graphicData uri="http://schemas.openxmlformats.org/drawingml/2006/picture">
                <pic:pic>
                  <pic:nvPicPr>
                    <pic:cNvPr id="0" name="问题1_共识得分排序.png"/>
                    <pic:cNvPicPr/>
                  </pic:nvPicPr>
                  <pic:blipFill>
                    <a:blip r:embed="rId11"/>
                    <a:stretch>
                      <a:fillRect/>
                    </a:stretch>
                  </pic:blipFill>
                  <pic:spPr>
                    <a:xfrm>
                      <a:off x="0" y="0"/>
                      <a:ext cx="5394960" cy="2648586"/>
                    </a:xfrm>
                    <a:prstGeom prst="rect"/>
                  </pic:spPr>
                </pic:pic>
              </a:graphicData>
            </a:graphic>
          </wp:inline>
        </w:drawing>
      </w:r>
    </w:p>
    <w:p>
      <w:pPr>
        <w:pStyle w:val="Caption"/>
        <w:keepNext w:val="0"/>
        <w:spacing w:before="60" w:after="140"/>
        <w:jc w:val="center"/>
      </w:pPr>
      <w:r>
        <w:rPr>
          <w:rFonts w:ascii="Microsoft YaHei" w:hAnsi="Microsoft YaHei" w:eastAsia="Microsoft YaHei"/>
          <w:color w:val="666666"/>
          <w:sz w:val="18"/>
        </w:rPr>
        <w:t>图1  两个终点的折外置换重要性</w:t>
      </w:r>
    </w:p>
    <w:p>
      <w:pPr>
        <w:keepLines w:val="0"/>
      </w:pPr>
      <w:r>
        <w:rPr>
          <w:rFonts w:ascii="Microsoft YaHei" w:hAnsi="Microsoft YaHei" w:eastAsia="Microsoft YaHei"/>
          <w:sz w:val="22"/>
        </w:rPr>
        <w:t>痰湿端没有指标通过门槛；高血脂关联端仅血尿酸入选；两集合交集为空。探索性多目标比较把血尿酸和BMI标记为Pareto候选，但该标记不改变验证性阴性结论，也不把TC、TG等诊断同义变量包装为风险发现。</w:t>
      </w:r>
    </w:p>
    <w:p>
      <w:pPr>
        <w:keepNext/>
        <w:spacing w:before="80" w:after="0"/>
        <w:jc w:val="center"/>
      </w:pPr>
      <w:r>
        <w:drawing>
          <wp:inline xmlns:a="http://schemas.openxmlformats.org/drawingml/2006/main" xmlns:pic="http://schemas.openxmlformats.org/drawingml/2006/picture">
            <wp:extent cx="5120640" cy="3845284"/>
            <wp:docPr id="2" name="Picture 2"/>
            <wp:cNvGraphicFramePr>
              <a:graphicFrameLocks noChangeAspect="1"/>
            </wp:cNvGraphicFramePr>
            <a:graphic>
              <a:graphicData uri="http://schemas.openxmlformats.org/drawingml/2006/picture">
                <pic:pic>
                  <pic:nvPicPr>
                    <pic:cNvPr id="0" name="问题1_双终点频率热力图.png"/>
                    <pic:cNvPicPr/>
                  </pic:nvPicPr>
                  <pic:blipFill>
                    <a:blip r:embed="rId12"/>
                    <a:stretch>
                      <a:fillRect/>
                    </a:stretch>
                  </pic:blipFill>
                  <pic:spPr>
                    <a:xfrm>
                      <a:off x="0" y="0"/>
                      <a:ext cx="5120640" cy="3845284"/>
                    </a:xfrm>
                    <a:prstGeom prst="rect"/>
                  </pic:spPr>
                </pic:pic>
              </a:graphicData>
            </a:graphic>
          </wp:inline>
        </w:drawing>
      </w:r>
    </w:p>
    <w:p>
      <w:pPr>
        <w:pStyle w:val="Caption"/>
        <w:keepNext w:val="0"/>
        <w:spacing w:before="60" w:after="140"/>
        <w:jc w:val="center"/>
      </w:pPr>
      <w:r>
        <w:rPr>
          <w:rFonts w:ascii="Microsoft YaHei" w:hAnsi="Microsoft YaHei" w:eastAsia="Microsoft YaHei"/>
          <w:color w:val="666666"/>
          <w:sz w:val="18"/>
        </w:rPr>
        <w:t>图2  候选指标在验证折中的正置换重要性频率</w:t>
      </w:r>
    </w:p>
    <w:p>
      <w:pPr>
        <w:pStyle w:val="Heading2"/>
      </w:pPr>
      <w:r>
        <w:t>4.2 九种体质标签调整优势比</w:t>
      </w:r>
    </w:p>
    <w:p>
      <w:pPr>
        <w:keepLines w:val="0"/>
      </w:pPr>
      <w:r>
        <w:rPr>
          <w:rFonts w:ascii="Microsoft YaHei" w:hAnsi="Microsoft YaHei" w:eastAsia="Microsoft YaHei"/>
          <w:sz w:val="22"/>
        </w:rPr>
        <w:t>九种体质贡献的主分析以体质标签为分类暴露、平和质为参照，调整年龄、性别、烟酒、BMI、活动总分、血糖和血尿酸。整体似然比检验、OR、95%CI和BH-FDR为主要证据；八种偏颇体质另给调整OR点估计名次，并用500次结局分层Bootstrap报告中位名次、95%名次区间与首位频率。</w:t>
      </w:r>
    </w:p>
    <w:p>
      <w:pPr>
        <w:spacing w:before="100" w:after="100"/>
        <w:jc w:val="center"/>
      </w:pPr>
      <w:r>
        <w:rPr>
          <w:rFonts w:ascii="Cambria Math" w:hAnsi="Cambria Math" w:eastAsia="Cambria Math"/>
          <w:i/>
          <w:color w:val="17365D"/>
          <w:sz w:val="22"/>
        </w:rPr>
        <w:t>logit[P(Y=1)] = β₀ + Σₖ₌₂⁹βₖI(T=k) + ΣₘγₘXₘ    (2)</w:t>
      </w:r>
    </w:p>
    <w:p>
      <w:r>
        <w:br w:type="page"/>
      </w:r>
    </w:p>
    <w:tbl>
      <w:tblPr>
        <w:tblStyle w:val="TableGrid"/>
        <w:tblW w:type="dxa" w:w="9070"/>
        <w:jc w:val="left"/>
        <w:tblLayout w:type="fixed"/>
        <w:tblLook w:firstColumn="1" w:firstRow="1" w:lastColumn="0" w:lastRow="0" w:noHBand="0" w:noVBand="1" w:val="04A0"/>
        <w:tblInd w:w="120" w:type="dxa"/>
      </w:tblPr>
      <w:tblGrid>
        <w:gridCol w:w="1350"/>
        <w:gridCol w:w="1050"/>
        <w:gridCol w:w="1350"/>
        <w:gridCol w:w="1100"/>
        <w:gridCol w:w="1800"/>
        <w:gridCol w:w="1100"/>
        <w:gridCol w:w="1320"/>
      </w:tblGrid>
      <w:tr>
        <w:trPr>
          <w:tblHeader w:val="true"/>
          <w:cantSplit/>
        </w:trPr>
        <w:tc>
          <w:tcPr>
            <w:tcW w:type="dxa" w:w="1350"/>
            <w:vAlign w:val="center"/>
            <w:shd w:fill="E8EEF5"/>
            <w:tcMar>
              <w:top w:w="80" w:type="dxa"/>
              <w:start w:w="120" w:type="dxa"/>
              <w:bottom w:w="80" w:type="dxa"/>
              <w:end w:w="120" w:type="dxa"/>
            </w:tcMar>
          </w:tcPr>
          <w:p>
            <w:pPr>
              <w:spacing w:before="0" w:after="0" w:line="259" w:lineRule="auto"/>
              <w:jc w:val="center"/>
            </w:pPr>
            <w:r/>
            <w:r>
              <w:rPr>
                <w:rFonts w:ascii="Microsoft YaHei" w:hAnsi="Microsoft YaHei" w:eastAsia="Microsoft YaHei"/>
                <w:b/>
                <w:color w:val="17365D"/>
                <w:sz w:val="16"/>
              </w:rPr>
              <w:t>体质类型</w:t>
            </w:r>
          </w:p>
        </w:tc>
        <w:tc>
          <w:tcPr>
            <w:tcW w:type="dxa" w:w="1050"/>
            <w:vAlign w:val="center"/>
            <w:shd w:fill="E8EEF5"/>
            <w:tcMar>
              <w:top w:w="80" w:type="dxa"/>
              <w:start w:w="120" w:type="dxa"/>
              <w:bottom w:w="80" w:type="dxa"/>
              <w:end w:w="120" w:type="dxa"/>
            </w:tcMar>
          </w:tcPr>
          <w:p>
            <w:pPr>
              <w:spacing w:before="0" w:after="0" w:line="259" w:lineRule="auto"/>
              <w:jc w:val="center"/>
            </w:pPr>
            <w:r/>
            <w:r>
              <w:rPr>
                <w:rFonts w:ascii="Microsoft YaHei" w:hAnsi="Microsoft YaHei" w:eastAsia="Microsoft YaHei"/>
                <w:b/>
                <w:color w:val="17365D"/>
                <w:sz w:val="16"/>
              </w:rPr>
              <w:t>n</w:t>
            </w:r>
          </w:p>
        </w:tc>
        <w:tc>
          <w:tcPr>
            <w:tcW w:type="dxa" w:w="1350"/>
            <w:vAlign w:val="center"/>
            <w:shd w:fill="E8EEF5"/>
            <w:tcMar>
              <w:top w:w="80" w:type="dxa"/>
              <w:start w:w="120" w:type="dxa"/>
              <w:bottom w:w="80" w:type="dxa"/>
              <w:end w:w="120" w:type="dxa"/>
            </w:tcMar>
          </w:tcPr>
          <w:p>
            <w:pPr>
              <w:spacing w:before="0" w:after="0" w:line="259" w:lineRule="auto"/>
              <w:jc w:val="center"/>
            </w:pPr>
            <w:r/>
            <w:r>
              <w:rPr>
                <w:rFonts w:ascii="Microsoft YaHei" w:hAnsi="Microsoft YaHei" w:eastAsia="Microsoft YaHei"/>
                <w:b/>
                <w:color w:val="17365D"/>
                <w:sz w:val="16"/>
              </w:rPr>
              <w:t>当前异常率</w:t>
            </w:r>
          </w:p>
        </w:tc>
        <w:tc>
          <w:tcPr>
            <w:tcW w:type="dxa" w:w="1100"/>
            <w:vAlign w:val="center"/>
            <w:shd w:fill="E8EEF5"/>
            <w:tcMar>
              <w:top w:w="80" w:type="dxa"/>
              <w:start w:w="120" w:type="dxa"/>
              <w:bottom w:w="80" w:type="dxa"/>
              <w:end w:w="120" w:type="dxa"/>
            </w:tcMar>
          </w:tcPr>
          <w:p>
            <w:pPr>
              <w:spacing w:before="0" w:after="0" w:line="259" w:lineRule="auto"/>
              <w:jc w:val="center"/>
            </w:pPr>
            <w:r/>
            <w:r>
              <w:rPr>
                <w:rFonts w:ascii="Microsoft YaHei" w:hAnsi="Microsoft YaHei" w:eastAsia="Microsoft YaHei"/>
                <w:b/>
                <w:color w:val="17365D"/>
                <w:sz w:val="16"/>
              </w:rPr>
              <w:t>调整OR</w:t>
            </w:r>
          </w:p>
        </w:tc>
        <w:tc>
          <w:tcPr>
            <w:tcW w:type="dxa" w:w="1800"/>
            <w:vAlign w:val="center"/>
            <w:shd w:fill="E8EEF5"/>
            <w:tcMar>
              <w:top w:w="80" w:type="dxa"/>
              <w:start w:w="120" w:type="dxa"/>
              <w:bottom w:w="80" w:type="dxa"/>
              <w:end w:w="120" w:type="dxa"/>
            </w:tcMar>
          </w:tcPr>
          <w:p>
            <w:pPr>
              <w:spacing w:before="0" w:after="0" w:line="259" w:lineRule="auto"/>
              <w:jc w:val="center"/>
            </w:pPr>
            <w:r/>
            <w:r>
              <w:rPr>
                <w:rFonts w:ascii="Microsoft YaHei" w:hAnsi="Microsoft YaHei" w:eastAsia="Microsoft YaHei"/>
                <w:b/>
                <w:color w:val="17365D"/>
                <w:sz w:val="16"/>
              </w:rPr>
              <w:t>95%CI</w:t>
            </w:r>
          </w:p>
        </w:tc>
        <w:tc>
          <w:tcPr>
            <w:tcW w:type="dxa" w:w="1100"/>
            <w:vAlign w:val="center"/>
            <w:shd w:fill="E8EEF5"/>
            <w:tcMar>
              <w:top w:w="80" w:type="dxa"/>
              <w:start w:w="120" w:type="dxa"/>
              <w:bottom w:w="80" w:type="dxa"/>
              <w:end w:w="120" w:type="dxa"/>
            </w:tcMar>
          </w:tcPr>
          <w:p>
            <w:pPr>
              <w:spacing w:before="0" w:after="0" w:line="259" w:lineRule="auto"/>
              <w:jc w:val="center"/>
            </w:pPr>
            <w:r/>
            <w:r>
              <w:rPr>
                <w:rFonts w:ascii="Microsoft YaHei" w:hAnsi="Microsoft YaHei" w:eastAsia="Microsoft YaHei"/>
                <w:b/>
                <w:color w:val="17365D"/>
                <w:sz w:val="16"/>
              </w:rPr>
              <w:t>P值</w:t>
            </w:r>
          </w:p>
        </w:tc>
        <w:tc>
          <w:tcPr>
            <w:tcW w:type="dxa" w:w="1320"/>
            <w:vAlign w:val="center"/>
            <w:shd w:fill="E8EEF5"/>
            <w:tcMar>
              <w:top w:w="80" w:type="dxa"/>
              <w:start w:w="120" w:type="dxa"/>
              <w:bottom w:w="80" w:type="dxa"/>
              <w:end w:w="120" w:type="dxa"/>
            </w:tcMar>
          </w:tcPr>
          <w:p>
            <w:pPr>
              <w:spacing w:before="0" w:after="0"/>
            </w:pPr>
            <w:r>
              <w:rPr>
                <w:rFonts w:ascii="Microsoft YaHei" w:hAnsi="Microsoft YaHei" w:eastAsia="Microsoft YaHei"/>
                <w:b/>
                <w:sz w:val="16"/>
              </w:rPr>
              <w:t>FDR q / 名次</w:t>
            </w:r>
          </w:p>
        </w:tc>
      </w:tr>
      <w:tr>
        <w:trPr>
          <w:cantSplit/>
        </w:trPr>
        <w:tc>
          <w:tcPr>
            <w:tcW w:type="dxa" w:w="135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6"/>
              </w:rPr>
              <w:t>平和质</w:t>
            </w:r>
          </w:p>
        </w:tc>
        <w:tc>
          <w:tcPr>
            <w:tcW w:type="dxa" w:w="10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187</w:t>
            </w:r>
          </w:p>
        </w:tc>
        <w:tc>
          <w:tcPr>
            <w:tcW w:type="dxa" w:w="13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81.8%</w:t>
            </w:r>
          </w:p>
        </w:tc>
        <w:tc>
          <w:tcPr>
            <w:tcW w:type="dxa" w:w="11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1.000</w:t>
            </w:r>
          </w:p>
        </w:tc>
        <w:tc>
          <w:tcPr>
            <w:tcW w:type="dxa" w:w="18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参照</w:t>
            </w:r>
          </w:p>
        </w:tc>
        <w:tc>
          <w:tcPr>
            <w:tcW w:type="dxa" w:w="11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w:t>
            </w:r>
          </w:p>
        </w:tc>
        <w:tc>
          <w:tcPr>
            <w:tcW w:type="dxa" w:w="1320"/>
            <w:vAlign w:val="center"/>
            <w:tcMar>
              <w:top w:w="80" w:type="dxa"/>
              <w:start w:w="120" w:type="dxa"/>
              <w:bottom w:w="80" w:type="dxa"/>
              <w:end w:w="120" w:type="dxa"/>
            </w:tcMar>
          </w:tcPr>
          <w:p>
            <w:pPr>
              <w:spacing w:before="0" w:after="0"/>
            </w:pPr>
            <w:r>
              <w:rPr>
                <w:rFonts w:ascii="Microsoft YaHei" w:hAnsi="Microsoft YaHei" w:eastAsia="Microsoft YaHei"/>
                <w:b w:val="0"/>
                <w:sz w:val="15"/>
              </w:rPr>
              <w:t>—</w:t>
            </w:r>
          </w:p>
        </w:tc>
      </w:tr>
      <w:tr>
        <w:trPr>
          <w:cantSplit/>
        </w:trPr>
        <w:tc>
          <w:tcPr>
            <w:tcW w:type="dxa" w:w="135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6"/>
              </w:rPr>
              <w:t>气虚质</w:t>
            </w:r>
          </w:p>
        </w:tc>
        <w:tc>
          <w:tcPr>
            <w:tcW w:type="dxa" w:w="10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90</w:t>
            </w:r>
          </w:p>
        </w:tc>
        <w:tc>
          <w:tcPr>
            <w:tcW w:type="dxa" w:w="13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80.0%</w:t>
            </w:r>
          </w:p>
        </w:tc>
        <w:tc>
          <w:tcPr>
            <w:tcW w:type="dxa" w:w="11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0.956</w:t>
            </w:r>
          </w:p>
        </w:tc>
        <w:tc>
          <w:tcPr>
            <w:tcW w:type="dxa" w:w="18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0.498–1.837</w:t>
            </w:r>
          </w:p>
        </w:tc>
        <w:tc>
          <w:tcPr>
            <w:tcW w:type="dxa" w:w="11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0.893</w:t>
            </w:r>
          </w:p>
        </w:tc>
        <w:tc>
          <w:tcPr>
            <w:tcW w:type="dxa" w:w="1320"/>
            <w:vAlign w:val="center"/>
            <w:tcMar>
              <w:top w:w="80" w:type="dxa"/>
              <w:start w:w="120" w:type="dxa"/>
              <w:bottom w:w="80" w:type="dxa"/>
              <w:end w:w="120" w:type="dxa"/>
            </w:tcMar>
          </w:tcPr>
          <w:p>
            <w:pPr>
              <w:spacing w:before="0" w:after="0"/>
            </w:pPr>
            <w:r>
              <w:rPr>
                <w:rFonts w:ascii="Microsoft YaHei" w:hAnsi="Microsoft YaHei" w:eastAsia="Microsoft YaHei"/>
                <w:b w:val="0"/>
                <w:sz w:val="15"/>
              </w:rPr>
              <w:t>0.893 / 2</w:t>
            </w:r>
          </w:p>
        </w:tc>
      </w:tr>
      <w:tr>
        <w:trPr>
          <w:cantSplit/>
        </w:trPr>
        <w:tc>
          <w:tcPr>
            <w:tcW w:type="dxa" w:w="135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6"/>
              </w:rPr>
              <w:t>阳虚质</w:t>
            </w:r>
          </w:p>
        </w:tc>
        <w:tc>
          <w:tcPr>
            <w:tcW w:type="dxa" w:w="10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73</w:t>
            </w:r>
          </w:p>
        </w:tc>
        <w:tc>
          <w:tcPr>
            <w:tcW w:type="dxa" w:w="13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86.3%</w:t>
            </w:r>
          </w:p>
        </w:tc>
        <w:tc>
          <w:tcPr>
            <w:tcW w:type="dxa" w:w="11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1.537</w:t>
            </w:r>
          </w:p>
        </w:tc>
        <w:tc>
          <w:tcPr>
            <w:tcW w:type="dxa" w:w="18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0.707–3.344</w:t>
            </w:r>
          </w:p>
        </w:tc>
        <w:tc>
          <w:tcPr>
            <w:tcW w:type="dxa" w:w="11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0.278</w:t>
            </w:r>
          </w:p>
        </w:tc>
        <w:tc>
          <w:tcPr>
            <w:tcW w:type="dxa" w:w="1320"/>
            <w:vAlign w:val="center"/>
            <w:tcMar>
              <w:top w:w="80" w:type="dxa"/>
              <w:start w:w="120" w:type="dxa"/>
              <w:bottom w:w="80" w:type="dxa"/>
              <w:end w:w="120" w:type="dxa"/>
            </w:tcMar>
          </w:tcPr>
          <w:p>
            <w:pPr>
              <w:spacing w:before="0" w:after="0"/>
            </w:pPr>
            <w:r>
              <w:rPr>
                <w:rFonts w:ascii="Microsoft YaHei" w:hAnsi="Microsoft YaHei" w:eastAsia="Microsoft YaHei"/>
                <w:b w:val="0"/>
                <w:sz w:val="15"/>
              </w:rPr>
              <w:t>0.668 / 1</w:t>
            </w:r>
          </w:p>
        </w:tc>
      </w:tr>
      <w:tr>
        <w:trPr>
          <w:cantSplit/>
        </w:trPr>
        <w:tc>
          <w:tcPr>
            <w:tcW w:type="dxa" w:w="135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6"/>
              </w:rPr>
              <w:t>阴虚质</w:t>
            </w:r>
          </w:p>
        </w:tc>
        <w:tc>
          <w:tcPr>
            <w:tcW w:type="dxa" w:w="10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86</w:t>
            </w:r>
          </w:p>
        </w:tc>
        <w:tc>
          <w:tcPr>
            <w:tcW w:type="dxa" w:w="13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79.1%</w:t>
            </w:r>
          </w:p>
        </w:tc>
        <w:tc>
          <w:tcPr>
            <w:tcW w:type="dxa" w:w="11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0.840</w:t>
            </w:r>
          </w:p>
        </w:tc>
        <w:tc>
          <w:tcPr>
            <w:tcW w:type="dxa" w:w="18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0.437–1.613</w:t>
            </w:r>
          </w:p>
        </w:tc>
        <w:tc>
          <w:tcPr>
            <w:tcW w:type="dxa" w:w="11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0.600</w:t>
            </w:r>
          </w:p>
        </w:tc>
        <w:tc>
          <w:tcPr>
            <w:tcW w:type="dxa" w:w="1320"/>
            <w:vAlign w:val="center"/>
            <w:tcMar>
              <w:top w:w="80" w:type="dxa"/>
              <w:start w:w="120" w:type="dxa"/>
              <w:bottom w:w="80" w:type="dxa"/>
              <w:end w:w="120" w:type="dxa"/>
            </w:tcMar>
          </w:tcPr>
          <w:p>
            <w:pPr>
              <w:spacing w:before="0" w:after="0"/>
            </w:pPr>
            <w:r>
              <w:rPr>
                <w:rFonts w:ascii="Microsoft YaHei" w:hAnsi="Microsoft YaHei" w:eastAsia="Microsoft YaHei"/>
                <w:b w:val="0"/>
                <w:sz w:val="15"/>
              </w:rPr>
              <w:t>0.754 / 4</w:t>
            </w:r>
          </w:p>
        </w:tc>
      </w:tr>
      <w:tr>
        <w:trPr>
          <w:cantSplit/>
        </w:trPr>
        <w:tc>
          <w:tcPr>
            <w:tcW w:type="dxa" w:w="135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6"/>
              </w:rPr>
              <w:t>痰湿质</w:t>
            </w:r>
          </w:p>
        </w:tc>
        <w:tc>
          <w:tcPr>
            <w:tcW w:type="dxa" w:w="10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278</w:t>
            </w:r>
          </w:p>
        </w:tc>
        <w:tc>
          <w:tcPr>
            <w:tcW w:type="dxa" w:w="13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77.3%</w:t>
            </w:r>
          </w:p>
        </w:tc>
        <w:tc>
          <w:tcPr>
            <w:tcW w:type="dxa" w:w="11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0.748</w:t>
            </w:r>
          </w:p>
        </w:tc>
        <w:tc>
          <w:tcPr>
            <w:tcW w:type="dxa" w:w="18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0.465–1.203</w:t>
            </w:r>
          </w:p>
        </w:tc>
        <w:tc>
          <w:tcPr>
            <w:tcW w:type="dxa" w:w="11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0.231</w:t>
            </w:r>
          </w:p>
        </w:tc>
        <w:tc>
          <w:tcPr>
            <w:tcW w:type="dxa" w:w="1320"/>
            <w:vAlign w:val="center"/>
            <w:tcMar>
              <w:top w:w="80" w:type="dxa"/>
              <w:start w:w="120" w:type="dxa"/>
              <w:bottom w:w="80" w:type="dxa"/>
              <w:end w:w="120" w:type="dxa"/>
            </w:tcMar>
          </w:tcPr>
          <w:p>
            <w:pPr>
              <w:spacing w:before="0" w:after="0"/>
            </w:pPr>
            <w:r>
              <w:rPr>
                <w:rFonts w:ascii="Microsoft YaHei" w:hAnsi="Microsoft YaHei" w:eastAsia="Microsoft YaHei"/>
                <w:b w:val="0"/>
                <w:sz w:val="15"/>
              </w:rPr>
              <w:t>0.668 / 6</w:t>
            </w:r>
          </w:p>
        </w:tc>
      </w:tr>
      <w:tr>
        <w:trPr>
          <w:cantSplit/>
        </w:trPr>
        <w:tc>
          <w:tcPr>
            <w:tcW w:type="dxa" w:w="135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6"/>
              </w:rPr>
              <w:t>湿热质</w:t>
            </w:r>
          </w:p>
        </w:tc>
        <w:tc>
          <w:tcPr>
            <w:tcW w:type="dxa" w:w="10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77</w:t>
            </w:r>
          </w:p>
        </w:tc>
        <w:tc>
          <w:tcPr>
            <w:tcW w:type="dxa" w:w="13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80.5%</w:t>
            </w:r>
          </w:p>
        </w:tc>
        <w:tc>
          <w:tcPr>
            <w:tcW w:type="dxa" w:w="11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0.857</w:t>
            </w:r>
          </w:p>
        </w:tc>
        <w:tc>
          <w:tcPr>
            <w:tcW w:type="dxa" w:w="18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0.431–1.704</w:t>
            </w:r>
          </w:p>
        </w:tc>
        <w:tc>
          <w:tcPr>
            <w:tcW w:type="dxa" w:w="11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0.660</w:t>
            </w:r>
          </w:p>
        </w:tc>
        <w:tc>
          <w:tcPr>
            <w:tcW w:type="dxa" w:w="1320"/>
            <w:vAlign w:val="center"/>
            <w:tcMar>
              <w:top w:w="80" w:type="dxa"/>
              <w:start w:w="120" w:type="dxa"/>
              <w:bottom w:w="80" w:type="dxa"/>
              <w:end w:w="120" w:type="dxa"/>
            </w:tcMar>
          </w:tcPr>
          <w:p>
            <w:pPr>
              <w:spacing w:before="0" w:after="0"/>
            </w:pPr>
            <w:r>
              <w:rPr>
                <w:rFonts w:ascii="Microsoft YaHei" w:hAnsi="Microsoft YaHei" w:eastAsia="Microsoft YaHei"/>
                <w:b w:val="0"/>
                <w:sz w:val="15"/>
              </w:rPr>
              <w:t>0.754 / 3</w:t>
            </w:r>
          </w:p>
        </w:tc>
      </w:tr>
      <w:tr>
        <w:trPr>
          <w:cantSplit/>
        </w:trPr>
        <w:tc>
          <w:tcPr>
            <w:tcW w:type="dxa" w:w="135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6"/>
              </w:rPr>
              <w:t>血瘀质</w:t>
            </w:r>
          </w:p>
        </w:tc>
        <w:tc>
          <w:tcPr>
            <w:tcW w:type="dxa" w:w="10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79</w:t>
            </w:r>
          </w:p>
        </w:tc>
        <w:tc>
          <w:tcPr>
            <w:tcW w:type="dxa" w:w="13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75.9%</w:t>
            </w:r>
          </w:p>
        </w:tc>
        <w:tc>
          <w:tcPr>
            <w:tcW w:type="dxa" w:w="11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0.724</w:t>
            </w:r>
          </w:p>
        </w:tc>
        <w:tc>
          <w:tcPr>
            <w:tcW w:type="dxa" w:w="18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0.376–1.394</w:t>
            </w:r>
          </w:p>
        </w:tc>
        <w:tc>
          <w:tcPr>
            <w:tcW w:type="dxa" w:w="11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0.334</w:t>
            </w:r>
          </w:p>
        </w:tc>
        <w:tc>
          <w:tcPr>
            <w:tcW w:type="dxa" w:w="1320"/>
            <w:vAlign w:val="center"/>
            <w:tcMar>
              <w:top w:w="80" w:type="dxa"/>
              <w:start w:w="120" w:type="dxa"/>
              <w:bottom w:w="80" w:type="dxa"/>
              <w:end w:w="120" w:type="dxa"/>
            </w:tcMar>
          </w:tcPr>
          <w:p>
            <w:pPr>
              <w:spacing w:before="0" w:after="0"/>
            </w:pPr>
            <w:r>
              <w:rPr>
                <w:rFonts w:ascii="Microsoft YaHei" w:hAnsi="Microsoft YaHei" w:eastAsia="Microsoft YaHei"/>
                <w:b w:val="0"/>
                <w:sz w:val="15"/>
              </w:rPr>
              <w:t>0.668 / 7</w:t>
            </w:r>
          </w:p>
        </w:tc>
      </w:tr>
      <w:tr>
        <w:trPr>
          <w:cantSplit/>
        </w:trPr>
        <w:tc>
          <w:tcPr>
            <w:tcW w:type="dxa" w:w="135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6"/>
              </w:rPr>
              <w:t>气郁质</w:t>
            </w:r>
          </w:p>
        </w:tc>
        <w:tc>
          <w:tcPr>
            <w:tcW w:type="dxa" w:w="10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73</w:t>
            </w:r>
          </w:p>
        </w:tc>
        <w:tc>
          <w:tcPr>
            <w:tcW w:type="dxa" w:w="13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74.0%</w:t>
            </w:r>
          </w:p>
        </w:tc>
        <w:tc>
          <w:tcPr>
            <w:tcW w:type="dxa" w:w="11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0.612</w:t>
            </w:r>
          </w:p>
        </w:tc>
        <w:tc>
          <w:tcPr>
            <w:tcW w:type="dxa" w:w="18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0.317–1.180</w:t>
            </w:r>
          </w:p>
        </w:tc>
        <w:tc>
          <w:tcPr>
            <w:tcW w:type="dxa" w:w="11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0.143</w:t>
            </w:r>
          </w:p>
        </w:tc>
        <w:tc>
          <w:tcPr>
            <w:tcW w:type="dxa" w:w="1320"/>
            <w:vAlign w:val="center"/>
            <w:tcMar>
              <w:top w:w="80" w:type="dxa"/>
              <w:start w:w="120" w:type="dxa"/>
              <w:bottom w:w="80" w:type="dxa"/>
              <w:end w:w="120" w:type="dxa"/>
            </w:tcMar>
          </w:tcPr>
          <w:p>
            <w:pPr>
              <w:spacing w:before="0" w:after="0"/>
            </w:pPr>
            <w:r>
              <w:rPr>
                <w:rFonts w:ascii="Microsoft YaHei" w:hAnsi="Microsoft YaHei" w:eastAsia="Microsoft YaHei"/>
                <w:b w:val="0"/>
                <w:sz w:val="15"/>
              </w:rPr>
              <w:t>0.668 / 8</w:t>
            </w:r>
          </w:p>
        </w:tc>
      </w:tr>
      <w:tr>
        <w:trPr>
          <w:cantSplit/>
        </w:trPr>
        <w:tc>
          <w:tcPr>
            <w:tcW w:type="dxa" w:w="135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6"/>
              </w:rPr>
              <w:t>特禀质</w:t>
            </w:r>
          </w:p>
        </w:tc>
        <w:tc>
          <w:tcPr>
            <w:tcW w:type="dxa" w:w="10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57</w:t>
            </w:r>
          </w:p>
        </w:tc>
        <w:tc>
          <w:tcPr>
            <w:tcW w:type="dxa" w:w="13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80.7%</w:t>
            </w:r>
          </w:p>
        </w:tc>
        <w:tc>
          <w:tcPr>
            <w:tcW w:type="dxa" w:w="11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0.804</w:t>
            </w:r>
          </w:p>
        </w:tc>
        <w:tc>
          <w:tcPr>
            <w:tcW w:type="dxa" w:w="18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0.371–1.741</w:t>
            </w:r>
          </w:p>
        </w:tc>
        <w:tc>
          <w:tcPr>
            <w:tcW w:type="dxa" w:w="11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0.580</w:t>
            </w:r>
          </w:p>
        </w:tc>
        <w:tc>
          <w:tcPr>
            <w:tcW w:type="dxa" w:w="1320"/>
            <w:vAlign w:val="center"/>
            <w:tcMar>
              <w:top w:w="80" w:type="dxa"/>
              <w:start w:w="120" w:type="dxa"/>
              <w:bottom w:w="80" w:type="dxa"/>
              <w:end w:w="120" w:type="dxa"/>
            </w:tcMar>
          </w:tcPr>
          <w:p>
            <w:pPr>
              <w:spacing w:before="0" w:after="0"/>
            </w:pPr>
            <w:r>
              <w:rPr>
                <w:rFonts w:ascii="Microsoft YaHei" w:hAnsi="Microsoft YaHei" w:eastAsia="Microsoft YaHei"/>
                <w:b w:val="0"/>
                <w:sz w:val="15"/>
              </w:rPr>
              <w:t>0.754 / 5</w:t>
            </w:r>
          </w:p>
        </w:tc>
      </w:tr>
    </w:tbl>
    <w:p>
      <w:pPr>
        <w:spacing w:after="40"/>
      </w:pPr>
    </w:p>
    <w:p>
      <w:pPr>
        <w:spacing w:before="40" w:after="120"/>
      </w:pPr>
      <w:r>
        <w:rPr>
          <w:rFonts w:ascii="Microsoft YaHei" w:hAnsi="Microsoft YaHei" w:eastAsia="Microsoft YaHei"/>
          <w:i/>
          <w:color w:val="666666"/>
          <w:sz w:val="16"/>
        </w:rPr>
        <w:t>表2  九种体质标签相对平和质的调整OR；整体似然比检验先于组间解释。</w:t>
      </w:r>
    </w:p>
    <w:p>
      <w:pPr>
        <w:keepNext/>
        <w:spacing w:before="80" w:after="0"/>
        <w:jc w:val="center"/>
      </w:pPr>
      <w:r>
        <w:drawing>
          <wp:inline xmlns:a="http://schemas.openxmlformats.org/drawingml/2006/main" xmlns:pic="http://schemas.openxmlformats.org/drawingml/2006/picture">
            <wp:extent cx="5303520" cy="3397137"/>
            <wp:docPr id="3" name="Picture 3"/>
            <wp:cNvGraphicFramePr>
              <a:graphicFrameLocks noChangeAspect="1"/>
            </wp:cNvGraphicFramePr>
            <a:graphic>
              <a:graphicData uri="http://schemas.openxmlformats.org/drawingml/2006/picture">
                <pic:pic>
                  <pic:nvPicPr>
                    <pic:cNvPr id="0" name="问题1_体质贡献度OR.png"/>
                    <pic:cNvPicPr/>
                  </pic:nvPicPr>
                  <pic:blipFill>
                    <a:blip r:embed="rId13"/>
                    <a:stretch>
                      <a:fillRect/>
                    </a:stretch>
                  </pic:blipFill>
                  <pic:spPr>
                    <a:xfrm>
                      <a:off x="0" y="0"/>
                      <a:ext cx="5303520" cy="3397137"/>
                    </a:xfrm>
                    <a:prstGeom prst="rect"/>
                  </pic:spPr>
                </pic:pic>
              </a:graphicData>
            </a:graphic>
          </wp:inline>
        </w:drawing>
      </w:r>
    </w:p>
    <w:p>
      <w:pPr>
        <w:pStyle w:val="Caption"/>
        <w:keepNext w:val="0"/>
        <w:spacing w:before="60" w:after="140"/>
        <w:jc w:val="center"/>
      </w:pPr>
      <w:r>
        <w:rPr>
          <w:rFonts w:ascii="Microsoft YaHei" w:hAnsi="Microsoft YaHei" w:eastAsia="Microsoft YaHei"/>
          <w:color w:val="666666"/>
          <w:sz w:val="18"/>
        </w:rPr>
        <w:t>图3  八种偏颇体质相对平和质的调整OR及95%置信区间</w:t>
      </w:r>
    </w:p>
    <w:tbl>
      <w:tblPr>
        <w:tblStyle w:val="TableGrid"/>
        <w:tblW w:type="dxa" w:w="9070"/>
        <w:jc w:val="left"/>
        <w:tblLayout w:type="fixed"/>
        <w:tblLook w:firstColumn="1" w:firstRow="1" w:lastColumn="0" w:lastRow="0" w:noHBand="0" w:noVBand="1" w:val="04A0"/>
        <w:tblInd w:w="120" w:type="dxa"/>
      </w:tblPr>
      <w:tblGrid>
        <w:gridCol w:w="9070"/>
      </w:tblGrid>
      <w:tr>
        <w:tc>
          <w:tcPr>
            <w:tcW w:type="dxa" w:w="9070"/>
            <w:shd w:fill="F4F6F9"/>
            <w:tcMar>
              <w:top w:w="80" w:type="dxa"/>
              <w:start w:w="120" w:type="dxa"/>
              <w:bottom w:w="80" w:type="dxa"/>
              <w:end w:w="120" w:type="dxa"/>
            </w:tcMar>
            <w:vAlign w:val="center"/>
          </w:tcPr>
          <w:p>
            <w:pPr>
              <w:spacing w:before="0" w:after="0"/>
            </w:pPr>
            <w:r>
              <w:rPr>
                <w:rFonts w:ascii="Microsoft YaHei" w:hAnsi="Microsoft YaHei" w:eastAsia="Microsoft YaHei"/>
                <w:b w:val="0"/>
                <w:sz w:val="18"/>
              </w:rPr>
              <w:t>统计结论  九体质整体调整检验P=0.562。阳虚质调整OR点估计最高（1.537），500次Bootstrap首位频率71.2%，但95%CI跨1、FDR不显著，故仅作探索性排序。</w:t>
            </w:r>
          </w:p>
        </w:tc>
      </w:tr>
    </w:tbl>
    <w:p>
      <w:pPr>
        <w:spacing w:after="40"/>
      </w:pPr>
    </w:p>
    <w:p>
      <w:pPr>
        <w:pStyle w:val="Heading1"/>
      </w:pPr>
      <w:r>
        <w:t>5 问题二：关联筛查、统计分层与CART解释</w:t>
      </w:r>
    </w:p>
    <w:p>
      <w:pPr>
        <w:pStyle w:val="Heading2"/>
      </w:pPr>
      <w:r>
        <w:t>5.1 四类输出严格分离</w:t>
      </w:r>
    </w:p>
    <w:p>
      <w:pPr>
        <w:keepLines w:val="0"/>
      </w:pPr>
      <w:r>
        <w:rPr>
          <w:rFonts w:ascii="Microsoft YaHei" w:hAnsi="Microsoft YaHei" w:eastAsia="Microsoft YaHei"/>
          <w:sz w:val="22"/>
        </w:rPr>
        <w:t>问题二同时分列四类结果：当前诊断状态由四项血脂阈值确定；非血脂关联概率由体质、活动、代谢和基础信息模型给出；低、中、高统计等级由训练集折外概率切点确定；题面示例规则形成独立临床管理提示。四者分别回答当前状态、关联强弱、筛查分数层级和管理关注条件，不能混为同一口径。</w:t>
      </w:r>
    </w:p>
    <w:tbl>
      <w:tblPr>
        <w:tblStyle w:val="TableGrid"/>
        <w:tblW w:type="dxa" w:w="9070"/>
        <w:jc w:val="left"/>
        <w:tblLayout w:type="fixed"/>
        <w:tblLook w:firstColumn="1" w:firstRow="1" w:lastColumn="0" w:lastRow="0" w:noHBand="0" w:noVBand="1" w:val="04A0"/>
        <w:tblInd w:w="120" w:type="dxa"/>
      </w:tblPr>
      <w:tblGrid>
        <w:gridCol w:w="9070"/>
      </w:tblGrid>
      <w:tr>
        <w:tc>
          <w:tcPr>
            <w:tcW w:type="dxa" w:w="9070"/>
            <w:shd w:fill="F4F6F9"/>
            <w:tcMar>
              <w:top w:w="80" w:type="dxa"/>
              <w:start w:w="120" w:type="dxa"/>
              <w:bottom w:w="80" w:type="dxa"/>
              <w:end w:w="120" w:type="dxa"/>
            </w:tcMar>
            <w:vAlign w:val="center"/>
          </w:tcPr>
          <w:p>
            <w:pPr>
              <w:spacing w:before="0" w:after="0"/>
            </w:pPr>
            <w:r>
              <w:rPr>
                <w:rFonts w:ascii="Microsoft YaHei" w:hAnsi="Microsoft YaHei" w:eastAsia="Microsoft YaHei"/>
                <w:b w:val="0"/>
                <w:sz w:val="18"/>
              </w:rPr>
              <w:t>横断面限制  附件没有随访结局，非血脂概率和三级统计等级不能解释为未来发病概率；CART阈值只解释模型分层结构，不是临床诊断界值。</w:t>
            </w:r>
          </w:p>
        </w:tc>
      </w:tr>
    </w:tbl>
    <w:p>
      <w:pPr>
        <w:spacing w:after="40"/>
      </w:pPr>
    </w:p>
    <w:p>
      <w:pPr>
        <w:pStyle w:val="Heading2"/>
      </w:pPr>
      <w:r>
        <w:t>5.2 非血脂关联模型</w:t>
      </w:r>
    </w:p>
    <w:tbl>
      <w:tblPr>
        <w:tblStyle w:val="TableGrid"/>
        <w:tblW w:type="dxa" w:w="9070"/>
        <w:jc w:val="left"/>
        <w:tblLayout w:type="fixed"/>
        <w:tblLook w:firstColumn="1" w:firstRow="1" w:lastColumn="0" w:lastRow="0" w:noHBand="0" w:noVBand="1" w:val="04A0"/>
        <w:tblInd w:w="120" w:type="dxa"/>
      </w:tblPr>
      <w:tblGrid>
        <w:gridCol w:w="3600"/>
        <w:gridCol w:w="2800"/>
        <w:gridCol w:w="2670"/>
      </w:tblGrid>
      <w:tr>
        <w:trPr>
          <w:tblHeader w:val="true"/>
          <w:cantSplit/>
        </w:trPr>
        <w:tc>
          <w:tcPr>
            <w:tcW w:type="dxa" w:w="3600"/>
            <w:vAlign w:val="center"/>
            <w:shd w:fill="E8EEF5"/>
            <w:tcMar>
              <w:top w:w="80" w:type="dxa"/>
              <w:start w:w="120" w:type="dxa"/>
              <w:bottom w:w="80" w:type="dxa"/>
              <w:end w:w="120" w:type="dxa"/>
            </w:tcMar>
          </w:tcPr>
          <w:p>
            <w:pPr>
              <w:spacing w:before="0" w:after="0"/>
            </w:pPr>
            <w:r>
              <w:rPr>
                <w:rFonts w:ascii="Microsoft YaHei" w:hAnsi="Microsoft YaHei" w:eastAsia="Microsoft YaHei"/>
                <w:b/>
                <w:sz w:val="17"/>
              </w:rPr>
              <w:t>候选模型</w:t>
            </w:r>
          </w:p>
        </w:tc>
        <w:tc>
          <w:tcPr>
            <w:tcW w:type="dxa" w:w="2800"/>
            <w:vAlign w:val="center"/>
            <w:shd w:fill="E8EEF5"/>
            <w:tcMar>
              <w:top w:w="80" w:type="dxa"/>
              <w:start w:w="120" w:type="dxa"/>
              <w:bottom w:w="80" w:type="dxa"/>
              <w:end w:w="120" w:type="dxa"/>
            </w:tcMar>
          </w:tcPr>
          <w:p>
            <w:pPr>
              <w:spacing w:before="0" w:after="0"/>
            </w:pPr>
            <w:r>
              <w:rPr>
                <w:rFonts w:ascii="Microsoft YaHei" w:hAnsi="Microsoft YaHei" w:eastAsia="Microsoft YaHei"/>
                <w:b/>
                <w:sz w:val="17"/>
              </w:rPr>
              <w:t>五折CV AUC均值</w:t>
            </w:r>
          </w:p>
        </w:tc>
        <w:tc>
          <w:tcPr>
            <w:tcW w:type="dxa" w:w="2670"/>
            <w:vAlign w:val="center"/>
            <w:shd w:fill="E8EEF5"/>
            <w:tcMar>
              <w:top w:w="80" w:type="dxa"/>
              <w:start w:w="120" w:type="dxa"/>
              <w:bottom w:w="80" w:type="dxa"/>
              <w:end w:w="120" w:type="dxa"/>
            </w:tcMar>
          </w:tcPr>
          <w:p>
            <w:pPr>
              <w:spacing w:before="0" w:after="0"/>
            </w:pPr>
            <w:r>
              <w:rPr>
                <w:rFonts w:ascii="Microsoft YaHei" w:hAnsi="Microsoft YaHei" w:eastAsia="Microsoft YaHei"/>
                <w:b/>
                <w:sz w:val="17"/>
              </w:rPr>
              <w:t>标准差</w:t>
            </w:r>
          </w:p>
        </w:tc>
      </w:tr>
      <w:tr>
        <w:trPr>
          <w:cantSplit/>
        </w:trPr>
        <w:tc>
          <w:tcPr>
            <w:tcW w:type="dxa" w:w="3600"/>
            <w:vAlign w:val="center"/>
            <w:tcMar>
              <w:top w:w="80" w:type="dxa"/>
              <w:start w:w="120" w:type="dxa"/>
              <w:bottom w:w="80" w:type="dxa"/>
              <w:end w:w="120" w:type="dxa"/>
            </w:tcMar>
          </w:tcPr>
          <w:p>
            <w:pPr>
              <w:spacing w:before="0" w:after="0"/>
            </w:pPr>
            <w:r>
              <w:rPr>
                <w:rFonts w:ascii="Microsoft YaHei" w:hAnsi="Microsoft YaHei" w:eastAsia="Microsoft YaHei"/>
                <w:b w:val="0"/>
                <w:sz w:val="17"/>
              </w:rPr>
              <w:t>随机森林</w:t>
            </w:r>
          </w:p>
        </w:tc>
        <w:tc>
          <w:tcPr>
            <w:tcW w:type="dxa" w:w="2800"/>
            <w:vAlign w:val="center"/>
            <w:tcMar>
              <w:top w:w="80" w:type="dxa"/>
              <w:start w:w="120" w:type="dxa"/>
              <w:bottom w:w="80" w:type="dxa"/>
              <w:end w:w="120" w:type="dxa"/>
            </w:tcMar>
          </w:tcPr>
          <w:p>
            <w:pPr>
              <w:spacing w:before="0" w:after="0"/>
            </w:pPr>
            <w:r>
              <w:rPr>
                <w:rFonts w:ascii="Microsoft YaHei" w:hAnsi="Microsoft YaHei" w:eastAsia="Microsoft YaHei"/>
                <w:b w:val="0"/>
                <w:sz w:val="17"/>
              </w:rPr>
              <w:t>0.865</w:t>
            </w:r>
          </w:p>
        </w:tc>
        <w:tc>
          <w:tcPr>
            <w:tcW w:type="dxa" w:w="2670"/>
            <w:vAlign w:val="center"/>
            <w:tcMar>
              <w:top w:w="80" w:type="dxa"/>
              <w:start w:w="120" w:type="dxa"/>
              <w:bottom w:w="80" w:type="dxa"/>
              <w:end w:w="120" w:type="dxa"/>
            </w:tcMar>
          </w:tcPr>
          <w:p>
            <w:pPr>
              <w:spacing w:before="0" w:after="0"/>
            </w:pPr>
            <w:r>
              <w:rPr>
                <w:rFonts w:ascii="Microsoft YaHei" w:hAnsi="Microsoft YaHei" w:eastAsia="Microsoft YaHei"/>
                <w:b w:val="0"/>
                <w:sz w:val="17"/>
              </w:rPr>
              <w:t>0.030</w:t>
            </w:r>
          </w:p>
        </w:tc>
      </w:tr>
      <w:tr>
        <w:trPr>
          <w:cantSplit/>
        </w:trPr>
        <w:tc>
          <w:tcPr>
            <w:tcW w:type="dxa" w:w="3600"/>
            <w:vAlign w:val="center"/>
            <w:tcMar>
              <w:top w:w="80" w:type="dxa"/>
              <w:start w:w="120" w:type="dxa"/>
              <w:bottom w:w="80" w:type="dxa"/>
              <w:end w:w="120" w:type="dxa"/>
            </w:tcMar>
          </w:tcPr>
          <w:p>
            <w:pPr>
              <w:spacing w:before="0" w:after="0"/>
            </w:pPr>
            <w:r>
              <w:rPr>
                <w:rFonts w:ascii="Microsoft YaHei" w:hAnsi="Microsoft YaHei" w:eastAsia="Microsoft YaHei"/>
                <w:b w:val="0"/>
                <w:sz w:val="17"/>
              </w:rPr>
              <w:t>浅层CART</w:t>
            </w:r>
          </w:p>
        </w:tc>
        <w:tc>
          <w:tcPr>
            <w:tcW w:type="dxa" w:w="2800"/>
            <w:vAlign w:val="center"/>
            <w:tcMar>
              <w:top w:w="80" w:type="dxa"/>
              <w:start w:w="120" w:type="dxa"/>
              <w:bottom w:w="80" w:type="dxa"/>
              <w:end w:w="120" w:type="dxa"/>
            </w:tcMar>
          </w:tcPr>
          <w:p>
            <w:pPr>
              <w:spacing w:before="0" w:after="0"/>
            </w:pPr>
            <w:r>
              <w:rPr>
                <w:rFonts w:ascii="Microsoft YaHei" w:hAnsi="Microsoft YaHei" w:eastAsia="Microsoft YaHei"/>
                <w:b w:val="0"/>
                <w:sz w:val="17"/>
              </w:rPr>
              <w:t>0.842</w:t>
            </w:r>
          </w:p>
        </w:tc>
        <w:tc>
          <w:tcPr>
            <w:tcW w:type="dxa" w:w="2670"/>
            <w:vAlign w:val="center"/>
            <w:tcMar>
              <w:top w:w="80" w:type="dxa"/>
              <w:start w:w="120" w:type="dxa"/>
              <w:bottom w:w="80" w:type="dxa"/>
              <w:end w:w="120" w:type="dxa"/>
            </w:tcMar>
          </w:tcPr>
          <w:p>
            <w:pPr>
              <w:spacing w:before="0" w:after="0"/>
            </w:pPr>
            <w:r>
              <w:rPr>
                <w:rFonts w:ascii="Microsoft YaHei" w:hAnsi="Microsoft YaHei" w:eastAsia="Microsoft YaHei"/>
                <w:b w:val="0"/>
                <w:sz w:val="17"/>
              </w:rPr>
              <w:t>0.041</w:t>
            </w:r>
          </w:p>
        </w:tc>
      </w:tr>
      <w:tr>
        <w:tc>
          <w:tcPr>
            <w:tcW w:type="dxa" w:w="3600"/>
            <w:vAlign w:val="center"/>
          </w:tcPr>
          <w:p>
            <w:pPr>
              <w:spacing w:before="0" w:after="0"/>
            </w:pPr>
            <w:r>
              <w:rPr>
                <w:rFonts w:ascii="Microsoft YaHei" w:hAnsi="Microsoft YaHei" w:eastAsia="Microsoft YaHei"/>
                <w:b w:val="0"/>
                <w:sz w:val="17"/>
              </w:rPr>
              <w:t>加权Logistic</w:t>
            </w:r>
          </w:p>
        </w:tc>
        <w:tc>
          <w:tcPr>
            <w:tcW w:type="dxa" w:w="2800"/>
            <w:vAlign w:val="center"/>
          </w:tcPr>
          <w:p>
            <w:pPr>
              <w:spacing w:before="0" w:after="0"/>
            </w:pPr>
            <w:r>
              <w:rPr>
                <w:rFonts w:ascii="Microsoft YaHei" w:hAnsi="Microsoft YaHei" w:eastAsia="Microsoft YaHei"/>
                <w:b w:val="0"/>
                <w:sz w:val="17"/>
              </w:rPr>
              <w:t>0.635</w:t>
            </w:r>
          </w:p>
        </w:tc>
        <w:tc>
          <w:tcPr>
            <w:tcW w:type="dxa" w:w="2670"/>
            <w:vAlign w:val="center"/>
          </w:tcPr>
          <w:p>
            <w:pPr>
              <w:spacing w:before="0" w:after="0"/>
            </w:pPr>
            <w:r>
              <w:rPr>
                <w:rFonts w:ascii="Microsoft YaHei" w:hAnsi="Microsoft YaHei" w:eastAsia="Microsoft YaHei"/>
                <w:b w:val="0"/>
                <w:sz w:val="17"/>
              </w:rPr>
              <w:t>0.078</w:t>
            </w:r>
          </w:p>
        </w:tc>
      </w:tr>
    </w:tbl>
    <w:p>
      <w:pPr>
        <w:spacing w:after="40"/>
      </w:pPr>
    </w:p>
    <w:p>
      <w:pPr>
        <w:spacing w:before="40" w:after="120"/>
      </w:pPr>
      <w:r>
        <w:rPr>
          <w:rFonts w:ascii="Microsoft YaHei" w:hAnsi="Microsoft YaHei" w:eastAsia="Microsoft YaHei"/>
          <w:i/>
          <w:color w:val="666666"/>
          <w:sz w:val="16"/>
        </w:rPr>
        <w:t>表3  训练集内部候选模型比较。随机森林仅因训练集CV表现更优而被选中。</w:t>
      </w:r>
    </w:p>
    <w:p>
      <w:pPr>
        <w:keepLines w:val="0"/>
      </w:pPr>
      <w:r>
        <w:rPr>
          <w:rFonts w:ascii="Microsoft YaHei" w:hAnsi="Microsoft YaHei" w:eastAsia="Microsoft YaHei"/>
          <w:sz w:val="22"/>
        </w:rPr>
        <w:t>随机森林使用类别平衡抽样、最小叶节点约束和Platt概率校准。训练/测试按7:3分层划分；训练集再以外层五折、内层三折生成折外校准概率。模型比较、校准与切点搜索均不接触测试集，模型特征中不存在四项诊断血脂及其异常派生量。</w:t>
      </w:r>
    </w:p>
    <w:p>
      <w:pPr>
        <w:keepNext/>
        <w:spacing w:before="80" w:after="0"/>
        <w:jc w:val="center"/>
      </w:pPr>
      <w:r>
        <w:drawing>
          <wp:inline xmlns:a="http://schemas.openxmlformats.org/drawingml/2006/main" xmlns:pic="http://schemas.openxmlformats.org/drawingml/2006/picture">
            <wp:extent cx="4937760" cy="3899539"/>
            <wp:docPr id="4" name="Picture 4"/>
            <wp:cNvGraphicFramePr>
              <a:graphicFrameLocks noChangeAspect="1"/>
            </wp:cNvGraphicFramePr>
            <a:graphic>
              <a:graphicData uri="http://schemas.openxmlformats.org/drawingml/2006/picture">
                <pic:pic>
                  <pic:nvPicPr>
                    <pic:cNvPr id="0" name="问题2_筛查模型ROC.png"/>
                    <pic:cNvPicPr/>
                  </pic:nvPicPr>
                  <pic:blipFill>
                    <a:blip r:embed="rId14"/>
                    <a:stretch>
                      <a:fillRect/>
                    </a:stretch>
                  </pic:blipFill>
                  <pic:spPr>
                    <a:xfrm>
                      <a:off x="0" y="0"/>
                      <a:ext cx="4937760" cy="3899539"/>
                    </a:xfrm>
                    <a:prstGeom prst="rect"/>
                  </pic:spPr>
                </pic:pic>
              </a:graphicData>
            </a:graphic>
          </wp:inline>
        </w:drawing>
      </w:r>
    </w:p>
    <w:p>
      <w:pPr>
        <w:pStyle w:val="Caption"/>
        <w:keepNext w:val="0"/>
        <w:spacing w:before="60" w:after="140"/>
        <w:jc w:val="center"/>
      </w:pPr>
      <w:r>
        <w:rPr>
          <w:rFonts w:ascii="Microsoft YaHei" w:hAnsi="Microsoft YaHei" w:eastAsia="Microsoft YaHei"/>
          <w:color w:val="666666"/>
          <w:sz w:val="18"/>
        </w:rPr>
        <w:t>图4  非血脂关联筛查模型独立测试集ROC曲线</w:t>
      </w:r>
    </w:p>
    <w:p>
      <w:pPr>
        <w:keepLines w:val="0"/>
      </w:pPr>
      <w:r>
        <w:rPr>
          <w:rFonts w:ascii="Microsoft YaHei" w:hAnsi="Microsoft YaHei" w:eastAsia="Microsoft YaHei"/>
          <w:sz w:val="22"/>
        </w:rPr>
        <w:t>随机森林独立测试AUC=0.821、AP=0.953、Brier=0.135。该指标评价的是对当前血脂异常的横断面关联筛查能力，而非未来发病预测。浅层CART作为解释代理，测试集与统计等级一致率为71.0%。</w:t>
      </w:r>
    </w:p>
    <w:p>
      <w:pPr>
        <w:pStyle w:val="Heading2"/>
      </w:pPr>
      <w:r>
        <w:t>5.3 训练内统计切点与CART阈值</w:t>
      </w:r>
    </w:p>
    <w:p>
      <w:pPr>
        <w:pStyle w:val="ListBullet"/>
      </w:pPr>
      <w:r>
        <w:rPr>
          <w:rFonts w:ascii="Microsoft YaHei" w:hAnsi="Microsoft YaHei" w:eastAsia="Microsoft YaHei"/>
          <w:sz w:val="21"/>
        </w:rPr>
        <w:t>低危：非血脂筛查概率 p&lt;0.7588。训练折外层患病率54.3%，独立测试层患病率55.9%。</w:t>
      </w:r>
    </w:p>
    <w:p>
      <w:pPr>
        <w:pStyle w:val="ListBullet"/>
      </w:pPr>
      <w:r>
        <w:rPr>
          <w:rFonts w:ascii="Microsoft YaHei" w:hAnsi="Microsoft YaHei" w:eastAsia="Microsoft YaHei"/>
          <w:sz w:val="21"/>
        </w:rPr>
        <w:t>中危：0.7588≤p&lt;0.8717。训练折外层患病率86.9%，独立测试层患病率78.8%。</w:t>
      </w:r>
    </w:p>
    <w:p>
      <w:pPr>
        <w:pStyle w:val="ListBullet"/>
      </w:pPr>
      <w:r>
        <w:rPr>
          <w:rFonts w:ascii="Microsoft YaHei" w:hAnsi="Microsoft YaHei" w:eastAsia="Microsoft YaHei"/>
          <w:sz w:val="21"/>
        </w:rPr>
        <w:t>高危：p≥0.8717。训练折外层患病率99.0%，独立测试层患病率96.2%。</w:t>
      </w:r>
    </w:p>
    <w:p>
      <w:pPr>
        <w:spacing w:before="100" w:after="100"/>
        <w:jc w:val="center"/>
      </w:pPr>
      <w:r>
        <w:rPr>
          <w:rFonts w:ascii="Cambria Math" w:hAnsi="Cambria Math" w:eastAsia="Cambria Math"/>
          <w:i/>
          <w:color w:val="17365D"/>
          <w:sz w:val="22"/>
        </w:rPr>
        <w:t>R(p)=1（p&lt;0.7588）；R(p)=2（0.7588≤p&lt;0.8717）；R(p)=3（p≥0.8717）。切点搜索要求训练集各层不少于15%且患病率单调。CART仅作为特征阈值代理，题面规则另列为临床提示。    (3)</w:t>
      </w:r>
    </w:p>
    <w:tbl>
      <w:tblPr>
        <w:tblStyle w:val="TableGrid"/>
        <w:tblW w:type="dxa" w:w="9070"/>
        <w:jc w:val="left"/>
        <w:tblLayout w:type="fixed"/>
        <w:tblLook w:firstColumn="1" w:firstRow="1" w:lastColumn="0" w:lastRow="0" w:noHBand="0" w:noVBand="1" w:val="04A0"/>
        <w:tblInd w:w="120" w:type="dxa"/>
      </w:tblPr>
      <w:tblGrid>
        <w:gridCol w:w="1600"/>
        <w:gridCol w:w="1300"/>
        <w:gridCol w:w="1500"/>
        <w:gridCol w:w="1900"/>
        <w:gridCol w:w="2770"/>
      </w:tblGrid>
      <w:tr>
        <w:trPr>
          <w:tblHeader w:val="true"/>
          <w:cantSplit/>
        </w:trPr>
        <w:tc>
          <w:tcPr>
            <w:tcW w:type="dxa" w:w="1600"/>
            <w:vAlign w:val="center"/>
            <w:shd w:fill="E8EEF5"/>
            <w:tcMar>
              <w:top w:w="80" w:type="dxa"/>
              <w:start w:w="120" w:type="dxa"/>
              <w:bottom w:w="80" w:type="dxa"/>
              <w:end w:w="120" w:type="dxa"/>
            </w:tcMar>
          </w:tcPr>
          <w:p>
            <w:pPr>
              <w:spacing w:before="0" w:after="0"/>
            </w:pPr>
            <w:r>
              <w:rPr>
                <w:rFonts w:ascii="Microsoft YaHei" w:hAnsi="Microsoft YaHei" w:eastAsia="Microsoft YaHei"/>
                <w:b/>
                <w:sz w:val="16"/>
              </w:rPr>
              <w:t>统计等级</w:t>
            </w:r>
          </w:p>
        </w:tc>
        <w:tc>
          <w:tcPr>
            <w:tcW w:type="dxa" w:w="1300"/>
            <w:vAlign w:val="center"/>
            <w:shd w:fill="E8EEF5"/>
            <w:tcMar>
              <w:top w:w="80" w:type="dxa"/>
              <w:start w:w="120" w:type="dxa"/>
              <w:bottom w:w="80" w:type="dxa"/>
              <w:end w:w="120" w:type="dxa"/>
            </w:tcMar>
          </w:tcPr>
          <w:p>
            <w:pPr>
              <w:spacing w:before="0" w:after="0"/>
            </w:pPr>
            <w:r>
              <w:rPr>
                <w:rFonts w:ascii="Microsoft YaHei" w:hAnsi="Microsoft YaHei" w:eastAsia="Microsoft YaHei"/>
                <w:b/>
                <w:sz w:val="16"/>
              </w:rPr>
              <w:t>人数</w:t>
            </w:r>
          </w:p>
        </w:tc>
        <w:tc>
          <w:tcPr>
            <w:tcW w:type="dxa" w:w="1500"/>
            <w:vAlign w:val="center"/>
            <w:shd w:fill="E8EEF5"/>
            <w:tcMar>
              <w:top w:w="80" w:type="dxa"/>
              <w:start w:w="120" w:type="dxa"/>
              <w:bottom w:w="80" w:type="dxa"/>
              <w:end w:w="120" w:type="dxa"/>
            </w:tcMar>
          </w:tcPr>
          <w:p>
            <w:pPr>
              <w:spacing w:before="0" w:after="0"/>
            </w:pPr>
            <w:r>
              <w:rPr>
                <w:rFonts w:ascii="Microsoft YaHei" w:hAnsi="Microsoft YaHei" w:eastAsia="Microsoft YaHei"/>
                <w:b/>
                <w:sz w:val="16"/>
              </w:rPr>
              <w:t>占比</w:t>
            </w:r>
          </w:p>
        </w:tc>
        <w:tc>
          <w:tcPr>
            <w:tcW w:type="dxa" w:w="1900"/>
            <w:vAlign w:val="center"/>
            <w:shd w:fill="E8EEF5"/>
            <w:tcMar>
              <w:top w:w="80" w:type="dxa"/>
              <w:start w:w="120" w:type="dxa"/>
              <w:bottom w:w="80" w:type="dxa"/>
              <w:end w:w="120" w:type="dxa"/>
            </w:tcMar>
          </w:tcPr>
          <w:p>
            <w:pPr>
              <w:spacing w:before="0" w:after="0"/>
            </w:pPr>
            <w:r>
              <w:rPr>
                <w:rFonts w:ascii="Microsoft YaHei" w:hAnsi="Microsoft YaHei" w:eastAsia="Microsoft YaHei"/>
                <w:b/>
                <w:sz w:val="16"/>
              </w:rPr>
              <w:t>当前异常率</w:t>
            </w:r>
          </w:p>
        </w:tc>
        <w:tc>
          <w:tcPr>
            <w:tcW w:type="dxa" w:w="2770"/>
            <w:vAlign w:val="center"/>
            <w:shd w:fill="E8EEF5"/>
            <w:tcMar>
              <w:top w:w="80" w:type="dxa"/>
              <w:start w:w="120" w:type="dxa"/>
              <w:bottom w:w="80" w:type="dxa"/>
              <w:end w:w="120" w:type="dxa"/>
            </w:tcMar>
          </w:tcPr>
          <w:p>
            <w:pPr>
              <w:spacing w:before="0" w:after="0"/>
            </w:pPr>
            <w:r>
              <w:rPr>
                <w:rFonts w:ascii="Microsoft YaHei" w:hAnsi="Microsoft YaHei" w:eastAsia="Microsoft YaHei"/>
                <w:b/>
                <w:sz w:val="16"/>
              </w:rPr>
              <w:t>异常率95%CI</w:t>
            </w:r>
          </w:p>
        </w:tc>
      </w:tr>
      <w:tr>
        <w:trPr>
          <w:cantSplit/>
        </w:trPr>
        <w:tc>
          <w:tcPr>
            <w:tcW w:type="dxa" w:w="1600"/>
            <w:vAlign w:val="center"/>
            <w:tcMar>
              <w:top w:w="80" w:type="dxa"/>
              <w:start w:w="120" w:type="dxa"/>
              <w:bottom w:w="80" w:type="dxa"/>
              <w:end w:w="120" w:type="dxa"/>
            </w:tcMar>
          </w:tcPr>
          <w:p>
            <w:pPr>
              <w:spacing w:before="0" w:after="0"/>
            </w:pPr>
            <w:r>
              <w:rPr>
                <w:rFonts w:ascii="Microsoft YaHei" w:hAnsi="Microsoft YaHei" w:eastAsia="Microsoft YaHei"/>
                <w:b w:val="0"/>
                <w:sz w:val="16"/>
              </w:rPr>
              <w:t>低危</w:t>
            </w:r>
          </w:p>
        </w:tc>
        <w:tc>
          <w:tcPr>
            <w:tcW w:type="dxa" w:w="1300"/>
            <w:vAlign w:val="center"/>
            <w:tcMar>
              <w:top w:w="80" w:type="dxa"/>
              <w:start w:w="120" w:type="dxa"/>
              <w:bottom w:w="80" w:type="dxa"/>
              <w:end w:w="120" w:type="dxa"/>
            </w:tcMar>
          </w:tcPr>
          <w:p>
            <w:pPr>
              <w:spacing w:before="0" w:after="0"/>
            </w:pPr>
            <w:r>
              <w:rPr>
                <w:rFonts w:ascii="Microsoft YaHei" w:hAnsi="Microsoft YaHei" w:eastAsia="Microsoft YaHei"/>
                <w:b w:val="0"/>
                <w:sz w:val="16"/>
              </w:rPr>
              <w:t>111</w:t>
            </w:r>
          </w:p>
        </w:tc>
        <w:tc>
          <w:tcPr>
            <w:tcW w:type="dxa" w:w="1500"/>
            <w:vAlign w:val="center"/>
            <w:tcMar>
              <w:top w:w="80" w:type="dxa"/>
              <w:start w:w="120" w:type="dxa"/>
              <w:bottom w:w="80" w:type="dxa"/>
              <w:end w:w="120" w:type="dxa"/>
            </w:tcMar>
          </w:tcPr>
          <w:p>
            <w:pPr>
              <w:spacing w:before="0" w:after="0"/>
            </w:pPr>
            <w:r>
              <w:rPr>
                <w:rFonts w:ascii="Microsoft YaHei" w:hAnsi="Microsoft YaHei" w:eastAsia="Microsoft YaHei"/>
                <w:b w:val="0"/>
                <w:sz w:val="16"/>
              </w:rPr>
              <w:t>37.0%</w:t>
            </w:r>
          </w:p>
        </w:tc>
        <w:tc>
          <w:tcPr>
            <w:tcW w:type="dxa" w:w="1900"/>
            <w:vAlign w:val="center"/>
            <w:tcMar>
              <w:top w:w="80" w:type="dxa"/>
              <w:start w:w="120" w:type="dxa"/>
              <w:bottom w:w="80" w:type="dxa"/>
              <w:end w:w="120" w:type="dxa"/>
            </w:tcMar>
          </w:tcPr>
          <w:p>
            <w:pPr>
              <w:spacing w:before="0" w:after="0"/>
            </w:pPr>
            <w:r>
              <w:rPr>
                <w:rFonts w:ascii="Microsoft YaHei" w:hAnsi="Microsoft YaHei" w:eastAsia="Microsoft YaHei"/>
                <w:b w:val="0"/>
                <w:sz w:val="16"/>
              </w:rPr>
              <w:t>55.9%</w:t>
            </w:r>
          </w:p>
        </w:tc>
        <w:tc>
          <w:tcPr>
            <w:tcW w:type="dxa" w:w="2770"/>
            <w:vAlign w:val="center"/>
            <w:tcMar>
              <w:top w:w="80" w:type="dxa"/>
              <w:start w:w="120" w:type="dxa"/>
              <w:bottom w:w="80" w:type="dxa"/>
              <w:end w:w="120" w:type="dxa"/>
            </w:tcMar>
          </w:tcPr>
          <w:p>
            <w:pPr>
              <w:spacing w:before="0" w:after="0"/>
            </w:pPr>
            <w:r>
              <w:rPr>
                <w:rFonts w:ascii="Microsoft YaHei" w:hAnsi="Microsoft YaHei" w:eastAsia="Microsoft YaHei"/>
                <w:b w:val="0"/>
                <w:sz w:val="16"/>
              </w:rPr>
              <w:t>46.6%–64.8%</w:t>
            </w:r>
          </w:p>
        </w:tc>
      </w:tr>
      <w:tr>
        <w:trPr>
          <w:cantSplit/>
        </w:trPr>
        <w:tc>
          <w:tcPr>
            <w:tcW w:type="dxa" w:w="1600"/>
            <w:vAlign w:val="center"/>
            <w:tcMar>
              <w:top w:w="80" w:type="dxa"/>
              <w:start w:w="120" w:type="dxa"/>
              <w:bottom w:w="80" w:type="dxa"/>
              <w:end w:w="120" w:type="dxa"/>
            </w:tcMar>
          </w:tcPr>
          <w:p>
            <w:pPr>
              <w:spacing w:before="0" w:after="0"/>
            </w:pPr>
            <w:r>
              <w:rPr>
                <w:rFonts w:ascii="Microsoft YaHei" w:hAnsi="Microsoft YaHei" w:eastAsia="Microsoft YaHei"/>
                <w:b w:val="0"/>
                <w:sz w:val="16"/>
              </w:rPr>
              <w:t>中危</w:t>
            </w:r>
          </w:p>
        </w:tc>
        <w:tc>
          <w:tcPr>
            <w:tcW w:type="dxa" w:w="1300"/>
            <w:vAlign w:val="center"/>
            <w:tcMar>
              <w:top w:w="80" w:type="dxa"/>
              <w:start w:w="120" w:type="dxa"/>
              <w:bottom w:w="80" w:type="dxa"/>
              <w:end w:w="120" w:type="dxa"/>
            </w:tcMar>
          </w:tcPr>
          <w:p>
            <w:pPr>
              <w:spacing w:before="0" w:after="0"/>
            </w:pPr>
            <w:r>
              <w:rPr>
                <w:rFonts w:ascii="Microsoft YaHei" w:hAnsi="Microsoft YaHei" w:eastAsia="Microsoft YaHei"/>
                <w:b w:val="0"/>
                <w:sz w:val="16"/>
              </w:rPr>
              <w:t>33</w:t>
            </w:r>
          </w:p>
        </w:tc>
        <w:tc>
          <w:tcPr>
            <w:tcW w:type="dxa" w:w="1500"/>
            <w:vAlign w:val="center"/>
            <w:tcMar>
              <w:top w:w="80" w:type="dxa"/>
              <w:start w:w="120" w:type="dxa"/>
              <w:bottom w:w="80" w:type="dxa"/>
              <w:end w:w="120" w:type="dxa"/>
            </w:tcMar>
          </w:tcPr>
          <w:p>
            <w:pPr>
              <w:spacing w:before="0" w:after="0"/>
            </w:pPr>
            <w:r>
              <w:rPr>
                <w:rFonts w:ascii="Microsoft YaHei" w:hAnsi="Microsoft YaHei" w:eastAsia="Microsoft YaHei"/>
                <w:b w:val="0"/>
                <w:sz w:val="16"/>
              </w:rPr>
              <w:t>11.0%</w:t>
            </w:r>
          </w:p>
        </w:tc>
        <w:tc>
          <w:tcPr>
            <w:tcW w:type="dxa" w:w="1900"/>
            <w:vAlign w:val="center"/>
            <w:tcMar>
              <w:top w:w="80" w:type="dxa"/>
              <w:start w:w="120" w:type="dxa"/>
              <w:bottom w:w="80" w:type="dxa"/>
              <w:end w:w="120" w:type="dxa"/>
            </w:tcMar>
          </w:tcPr>
          <w:p>
            <w:pPr>
              <w:spacing w:before="0" w:after="0"/>
            </w:pPr>
            <w:r>
              <w:rPr>
                <w:rFonts w:ascii="Microsoft YaHei" w:hAnsi="Microsoft YaHei" w:eastAsia="Microsoft YaHei"/>
                <w:b w:val="0"/>
                <w:sz w:val="16"/>
              </w:rPr>
              <w:t>78.8%</w:t>
            </w:r>
          </w:p>
        </w:tc>
        <w:tc>
          <w:tcPr>
            <w:tcW w:type="dxa" w:w="2770"/>
            <w:vAlign w:val="center"/>
            <w:tcMar>
              <w:top w:w="80" w:type="dxa"/>
              <w:start w:w="120" w:type="dxa"/>
              <w:bottom w:w="80" w:type="dxa"/>
              <w:end w:w="120" w:type="dxa"/>
            </w:tcMar>
          </w:tcPr>
          <w:p>
            <w:pPr>
              <w:spacing w:before="0" w:after="0"/>
            </w:pPr>
            <w:r>
              <w:rPr>
                <w:rFonts w:ascii="Microsoft YaHei" w:hAnsi="Microsoft YaHei" w:eastAsia="Microsoft YaHei"/>
                <w:b w:val="0"/>
                <w:sz w:val="16"/>
              </w:rPr>
              <w:t>62.8%–90.0%</w:t>
            </w:r>
          </w:p>
        </w:tc>
      </w:tr>
      <w:tr>
        <w:trPr>
          <w:cantSplit/>
        </w:trPr>
        <w:tc>
          <w:tcPr>
            <w:tcW w:type="dxa" w:w="1600"/>
            <w:vAlign w:val="center"/>
            <w:tcMar>
              <w:top w:w="80" w:type="dxa"/>
              <w:start w:w="120" w:type="dxa"/>
              <w:bottom w:w="80" w:type="dxa"/>
              <w:end w:w="120" w:type="dxa"/>
            </w:tcMar>
          </w:tcPr>
          <w:p>
            <w:pPr>
              <w:spacing w:before="0" w:after="0"/>
            </w:pPr>
            <w:r>
              <w:rPr>
                <w:rFonts w:ascii="Microsoft YaHei" w:hAnsi="Microsoft YaHei" w:eastAsia="Microsoft YaHei"/>
                <w:b w:val="0"/>
                <w:sz w:val="16"/>
              </w:rPr>
              <w:t>高危</w:t>
            </w:r>
          </w:p>
        </w:tc>
        <w:tc>
          <w:tcPr>
            <w:tcW w:type="dxa" w:w="1300"/>
            <w:vAlign w:val="center"/>
            <w:tcMar>
              <w:top w:w="80" w:type="dxa"/>
              <w:start w:w="120" w:type="dxa"/>
              <w:bottom w:w="80" w:type="dxa"/>
              <w:end w:w="120" w:type="dxa"/>
            </w:tcMar>
          </w:tcPr>
          <w:p>
            <w:pPr>
              <w:spacing w:before="0" w:after="0"/>
            </w:pPr>
            <w:r>
              <w:rPr>
                <w:rFonts w:ascii="Microsoft YaHei" w:hAnsi="Microsoft YaHei" w:eastAsia="Microsoft YaHei"/>
                <w:b w:val="0"/>
                <w:sz w:val="16"/>
              </w:rPr>
              <w:t>156</w:t>
            </w:r>
          </w:p>
        </w:tc>
        <w:tc>
          <w:tcPr>
            <w:tcW w:type="dxa" w:w="1500"/>
            <w:vAlign w:val="center"/>
            <w:tcMar>
              <w:top w:w="80" w:type="dxa"/>
              <w:start w:w="120" w:type="dxa"/>
              <w:bottom w:w="80" w:type="dxa"/>
              <w:end w:w="120" w:type="dxa"/>
            </w:tcMar>
          </w:tcPr>
          <w:p>
            <w:pPr>
              <w:spacing w:before="0" w:after="0"/>
            </w:pPr>
            <w:r>
              <w:rPr>
                <w:rFonts w:ascii="Microsoft YaHei" w:hAnsi="Microsoft YaHei" w:eastAsia="Microsoft YaHei"/>
                <w:b w:val="0"/>
                <w:sz w:val="16"/>
              </w:rPr>
              <w:t>52.0%</w:t>
            </w:r>
          </w:p>
        </w:tc>
        <w:tc>
          <w:tcPr>
            <w:tcW w:type="dxa" w:w="1900"/>
            <w:vAlign w:val="center"/>
            <w:tcMar>
              <w:top w:w="80" w:type="dxa"/>
              <w:start w:w="120" w:type="dxa"/>
              <w:bottom w:w="80" w:type="dxa"/>
              <w:end w:w="120" w:type="dxa"/>
            </w:tcMar>
          </w:tcPr>
          <w:p>
            <w:pPr>
              <w:spacing w:before="0" w:after="0"/>
            </w:pPr>
            <w:r>
              <w:rPr>
                <w:rFonts w:ascii="Microsoft YaHei" w:hAnsi="Microsoft YaHei" w:eastAsia="Microsoft YaHei"/>
                <w:b w:val="0"/>
                <w:sz w:val="16"/>
              </w:rPr>
              <w:t>96.2%</w:t>
            </w:r>
          </w:p>
        </w:tc>
        <w:tc>
          <w:tcPr>
            <w:tcW w:type="dxa" w:w="2770"/>
            <w:vAlign w:val="center"/>
            <w:tcMar>
              <w:top w:w="80" w:type="dxa"/>
              <w:start w:w="120" w:type="dxa"/>
              <w:bottom w:w="80" w:type="dxa"/>
              <w:end w:w="120" w:type="dxa"/>
            </w:tcMar>
          </w:tcPr>
          <w:p>
            <w:pPr>
              <w:spacing w:before="0" w:after="0"/>
            </w:pPr>
            <w:r>
              <w:rPr>
                <w:rFonts w:ascii="Microsoft YaHei" w:hAnsi="Microsoft YaHei" w:eastAsia="Microsoft YaHei"/>
                <w:b w:val="0"/>
                <w:sz w:val="16"/>
              </w:rPr>
              <w:t>92.2%–98.4%</w:t>
            </w:r>
          </w:p>
        </w:tc>
      </w:tr>
    </w:tbl>
    <w:p>
      <w:pPr>
        <w:spacing w:after="40"/>
      </w:pPr>
    </w:p>
    <w:p>
      <w:pPr>
        <w:spacing w:before="40" w:after="120"/>
      </w:pPr>
      <w:r>
        <w:rPr>
          <w:rFonts w:ascii="Microsoft YaHei" w:hAnsi="Microsoft YaHei" w:eastAsia="Microsoft YaHei"/>
          <w:i/>
          <w:color w:val="666666"/>
          <w:sz w:val="16"/>
        </w:rPr>
        <w:t>表4  独立测试集三级管理结果。异常率因规则使用当前诊断状态而仅作横断面一致性核查。</w:t>
      </w:r>
    </w:p>
    <w:p>
      <w:pPr>
        <w:keepNext/>
        <w:spacing w:before="80" w:after="0"/>
        <w:jc w:val="center"/>
      </w:pPr>
      <w:r>
        <w:drawing>
          <wp:inline xmlns:a="http://schemas.openxmlformats.org/drawingml/2006/main" xmlns:pic="http://schemas.openxmlformats.org/drawingml/2006/picture">
            <wp:extent cx="4937760" cy="3624626"/>
            <wp:docPr id="5" name="Picture 5"/>
            <wp:cNvGraphicFramePr>
              <a:graphicFrameLocks noChangeAspect="1"/>
            </wp:cNvGraphicFramePr>
            <a:graphic>
              <a:graphicData uri="http://schemas.openxmlformats.org/drawingml/2006/picture">
                <pic:pic>
                  <pic:nvPicPr>
                    <pic:cNvPr id="0" name="问题2_三级风险分布.png"/>
                    <pic:cNvPicPr/>
                  </pic:nvPicPr>
                  <pic:blipFill>
                    <a:blip r:embed="rId15"/>
                    <a:stretch>
                      <a:fillRect/>
                    </a:stretch>
                  </pic:blipFill>
                  <pic:spPr>
                    <a:xfrm>
                      <a:off x="0" y="0"/>
                      <a:ext cx="4937760" cy="3624626"/>
                    </a:xfrm>
                    <a:prstGeom prst="rect"/>
                  </pic:spPr>
                </pic:pic>
              </a:graphicData>
            </a:graphic>
          </wp:inline>
        </w:drawing>
      </w:r>
    </w:p>
    <w:p>
      <w:pPr>
        <w:pStyle w:val="Caption"/>
        <w:keepNext w:val="0"/>
        <w:spacing w:before="60" w:after="140"/>
        <w:jc w:val="center"/>
      </w:pPr>
      <w:r>
        <w:rPr>
          <w:rFonts w:ascii="Microsoft YaHei" w:hAnsi="Microsoft YaHei" w:eastAsia="Microsoft YaHei"/>
          <w:color w:val="666666"/>
          <w:sz w:val="18"/>
        </w:rPr>
        <w:t>图5  独立测试集三级管理人数与当前血脂异常率</w:t>
      </w:r>
    </w:p>
    <w:p>
      <w:pPr>
        <w:keepLines w:val="0"/>
      </w:pPr>
      <w:r>
        <w:rPr>
          <w:rFonts w:ascii="Microsoft YaHei" w:hAnsi="Microsoft YaHei" w:eastAsia="Microsoft YaHei"/>
          <w:sz w:val="22"/>
        </w:rPr>
        <w:t>低危与中危Fisher精确检验P=0.0244，中危与高危P=0.00214。测试集三层异常率依次为55.9%、78.8%和96.2%；由于附件没有随访结局，三级应称为筛查分数层级，而非已验证的未来风险群。</w:t>
      </w:r>
    </w:p>
    <w:p>
      <w:pPr>
        <w:keepNext/>
        <w:spacing w:before="80" w:after="0"/>
        <w:jc w:val="center"/>
      </w:pPr>
      <w:r>
        <w:drawing>
          <wp:inline xmlns:a="http://schemas.openxmlformats.org/drawingml/2006/main" xmlns:pic="http://schemas.openxmlformats.org/drawingml/2006/picture">
            <wp:extent cx="4937760" cy="3899539"/>
            <wp:docPr id="6" name="Picture 6"/>
            <wp:cNvGraphicFramePr>
              <a:graphicFrameLocks noChangeAspect="1"/>
            </wp:cNvGraphicFramePr>
            <a:graphic>
              <a:graphicData uri="http://schemas.openxmlformats.org/drawingml/2006/picture">
                <pic:pic>
                  <pic:nvPicPr>
                    <pic:cNvPr id="0" name="问题2_校准曲线.png"/>
                    <pic:cNvPicPr/>
                  </pic:nvPicPr>
                  <pic:blipFill>
                    <a:blip r:embed="rId16"/>
                    <a:stretch>
                      <a:fillRect/>
                    </a:stretch>
                  </pic:blipFill>
                  <pic:spPr>
                    <a:xfrm>
                      <a:off x="0" y="0"/>
                      <a:ext cx="4937760" cy="3899539"/>
                    </a:xfrm>
                    <a:prstGeom prst="rect"/>
                  </pic:spPr>
                </pic:pic>
              </a:graphicData>
            </a:graphic>
          </wp:inline>
        </w:drawing>
      </w:r>
    </w:p>
    <w:p>
      <w:pPr>
        <w:pStyle w:val="Caption"/>
        <w:keepNext w:val="0"/>
        <w:spacing w:before="60" w:after="140"/>
        <w:jc w:val="center"/>
      </w:pPr>
      <w:r>
        <w:rPr>
          <w:rFonts w:ascii="Microsoft YaHei" w:hAnsi="Microsoft YaHei" w:eastAsia="Microsoft YaHei"/>
          <w:color w:val="666666"/>
          <w:sz w:val="18"/>
        </w:rPr>
        <w:t>图6  非血脂关联筛查模型独立测试集校准曲线</w:t>
      </w:r>
    </w:p>
    <w:p>
      <w:pPr>
        <w:pStyle w:val="Heading2"/>
      </w:pPr>
      <w:r>
        <w:t>5.4 痰湿质高危核心组合</w:t>
      </w:r>
    </w:p>
    <w:p>
      <w:pPr>
        <w:keepLines w:val="0"/>
      </w:pPr>
      <w:r>
        <w:rPr>
          <w:rFonts w:ascii="Microsoft YaHei" w:hAnsi="Microsoft YaHei" w:eastAsia="Microsoft YaHei"/>
          <w:sz w:val="22"/>
        </w:rPr>
        <w:t>在独立测试集内固定“体质标签=5”，以统计高危层为结局，再组合痰湿积分、低活动量、BMI、血糖、尿酸、年龄与烟酒阈值。规则前件排除四项诊断血脂及其异常标记，报告支持度、置信度、Jeffreys 95%CI和提升度。</w:t>
      </w:r>
    </w:p>
    <w:p>
      <w:r>
        <w:br w:type="page"/>
      </w:r>
    </w:p>
    <w:tbl>
      <w:tblPr>
        <w:tblStyle w:val="TableGrid"/>
        <w:tblW w:type="dxa" w:w="9070"/>
        <w:jc w:val="left"/>
        <w:tblLayout w:type="fixed"/>
        <w:tblLook w:firstColumn="1" w:firstRow="1" w:lastColumn="0" w:lastRow="0" w:noHBand="0" w:noVBand="1" w:val="04A0"/>
        <w:tblInd w:w="120" w:type="dxa"/>
      </w:tblPr>
      <w:tblGrid>
        <w:gridCol w:w="3650"/>
        <w:gridCol w:w="1000"/>
        <w:gridCol w:w="1000"/>
        <w:gridCol w:w="2250"/>
        <w:gridCol w:w="1170"/>
      </w:tblGrid>
      <w:tr>
        <w:trPr>
          <w:tblHeader w:val="true"/>
          <w:cantSplit/>
        </w:trPr>
        <w:tc>
          <w:tcPr>
            <w:tcW w:type="dxa" w:w="3650"/>
            <w:vAlign w:val="center"/>
            <w:shd w:fill="E8EEF5"/>
            <w:tcMar>
              <w:top w:w="80" w:type="dxa"/>
              <w:start w:w="120" w:type="dxa"/>
              <w:bottom w:w="80" w:type="dxa"/>
              <w:end w:w="120" w:type="dxa"/>
            </w:tcMar>
          </w:tcPr>
          <w:p>
            <w:pPr>
              <w:spacing w:before="0" w:after="0" w:line="259" w:lineRule="auto"/>
              <w:jc w:val="center"/>
            </w:pPr>
            <w:r/>
            <w:r>
              <w:rPr>
                <w:rFonts w:ascii="Microsoft YaHei" w:hAnsi="Microsoft YaHei" w:eastAsia="Microsoft YaHei"/>
                <w:b/>
                <w:color w:val="17365D"/>
                <w:sz w:val="16"/>
              </w:rPr>
              <w:t>核心特征组合</w:t>
            </w:r>
          </w:p>
        </w:tc>
        <w:tc>
          <w:tcPr>
            <w:tcW w:type="dxa" w:w="1000"/>
            <w:vAlign w:val="center"/>
            <w:shd w:fill="E8EEF5"/>
            <w:tcMar>
              <w:top w:w="80" w:type="dxa"/>
              <w:start w:w="120" w:type="dxa"/>
              <w:bottom w:w="80" w:type="dxa"/>
              <w:end w:w="120" w:type="dxa"/>
            </w:tcMar>
          </w:tcPr>
          <w:p>
            <w:pPr>
              <w:spacing w:before="0" w:after="0" w:line="259" w:lineRule="auto"/>
              <w:jc w:val="center"/>
            </w:pPr>
            <w:r/>
            <w:r>
              <w:rPr>
                <w:rFonts w:ascii="Microsoft YaHei" w:hAnsi="Microsoft YaHei" w:eastAsia="Microsoft YaHei"/>
                <w:b/>
                <w:color w:val="17365D"/>
                <w:sz w:val="16"/>
              </w:rPr>
              <w:t>覆盖人数</w:t>
            </w:r>
          </w:p>
        </w:tc>
        <w:tc>
          <w:tcPr>
            <w:tcW w:type="dxa" w:w="1000"/>
            <w:vAlign w:val="center"/>
            <w:shd w:fill="E8EEF5"/>
            <w:tcMar>
              <w:top w:w="80" w:type="dxa"/>
              <w:start w:w="120" w:type="dxa"/>
              <w:bottom w:w="80" w:type="dxa"/>
              <w:end w:w="120" w:type="dxa"/>
            </w:tcMar>
          </w:tcPr>
          <w:p>
            <w:pPr>
              <w:spacing w:before="0" w:after="0" w:line="259" w:lineRule="auto"/>
              <w:jc w:val="center"/>
            </w:pPr>
            <w:r/>
            <w:r>
              <w:rPr>
                <w:rFonts w:ascii="Microsoft YaHei" w:hAnsi="Microsoft YaHei" w:eastAsia="Microsoft YaHei"/>
                <w:b/>
                <w:color w:val="17365D"/>
                <w:sz w:val="16"/>
              </w:rPr>
              <w:t>高危人数</w:t>
            </w:r>
          </w:p>
        </w:tc>
        <w:tc>
          <w:tcPr>
            <w:tcW w:type="dxa" w:w="2250"/>
            <w:vAlign w:val="center"/>
            <w:shd w:fill="E8EEF5"/>
            <w:tcMar>
              <w:top w:w="80" w:type="dxa"/>
              <w:start w:w="120" w:type="dxa"/>
              <w:bottom w:w="80" w:type="dxa"/>
              <w:end w:w="120" w:type="dxa"/>
            </w:tcMar>
          </w:tcPr>
          <w:p>
            <w:pPr>
              <w:spacing w:before="0" w:after="0" w:line="259" w:lineRule="auto"/>
              <w:jc w:val="center"/>
            </w:pPr>
            <w:r/>
            <w:r>
              <w:rPr>
                <w:rFonts w:ascii="Microsoft YaHei" w:hAnsi="Microsoft YaHei" w:eastAsia="Microsoft YaHei"/>
                <w:b/>
                <w:color w:val="17365D"/>
                <w:sz w:val="16"/>
              </w:rPr>
              <w:t>置信度（95%CI）</w:t>
            </w:r>
          </w:p>
        </w:tc>
        <w:tc>
          <w:tcPr>
            <w:tcW w:type="dxa" w:w="1170"/>
            <w:vAlign w:val="center"/>
            <w:shd w:fill="E8EEF5"/>
            <w:tcMar>
              <w:top w:w="80" w:type="dxa"/>
              <w:start w:w="120" w:type="dxa"/>
              <w:bottom w:w="80" w:type="dxa"/>
              <w:end w:w="120" w:type="dxa"/>
            </w:tcMar>
          </w:tcPr>
          <w:p>
            <w:pPr>
              <w:spacing w:before="0" w:after="0" w:line="259" w:lineRule="auto"/>
              <w:jc w:val="center"/>
            </w:pPr>
            <w:r/>
            <w:r>
              <w:rPr>
                <w:rFonts w:ascii="Microsoft YaHei" w:hAnsi="Microsoft YaHei" w:eastAsia="Microsoft YaHei"/>
                <w:b/>
                <w:color w:val="17365D"/>
                <w:sz w:val="16"/>
              </w:rPr>
              <w:t>提升度</w:t>
            </w:r>
          </w:p>
        </w:tc>
      </w:tr>
      <w:tr>
        <w:trPr>
          <w:cantSplit/>
        </w:trPr>
        <w:tc>
          <w:tcPr>
            <w:tcW w:type="dxa" w:w="3650"/>
            <w:vAlign w:val="center"/>
            <w:tcMar>
              <w:top w:w="80" w:type="dxa"/>
              <w:start w:w="120" w:type="dxa"/>
              <w:bottom w:w="80" w:type="dxa"/>
              <w:end w:w="120" w:type="dxa"/>
            </w:tcMar>
          </w:tcPr>
          <w:p>
            <w:pPr>
              <w:spacing w:before="0" w:after="0"/>
            </w:pPr>
            <w:r>
              <w:rPr>
                <w:rFonts w:ascii="Microsoft YaHei" w:hAnsi="Microsoft YaHei" w:eastAsia="Microsoft YaHei"/>
                <w:b w:val="0"/>
                <w:sz w:val="15"/>
              </w:rPr>
              <w:t>痰湿体质 + 痰湿积分≥60 + 尿酸异常</w:t>
            </w:r>
          </w:p>
        </w:tc>
        <w:tc>
          <w:tcPr>
            <w:tcW w:type="dxa" w:w="1000"/>
            <w:vAlign w:val="center"/>
            <w:tcMar>
              <w:top w:w="80" w:type="dxa"/>
              <w:start w:w="120" w:type="dxa"/>
              <w:bottom w:w="80" w:type="dxa"/>
              <w:end w:w="120" w:type="dxa"/>
            </w:tcMar>
          </w:tcPr>
          <w:p>
            <w:pPr>
              <w:spacing w:before="0" w:after="0"/>
            </w:pPr>
            <w:r>
              <w:rPr>
                <w:rFonts w:ascii="Microsoft YaHei" w:hAnsi="Microsoft YaHei" w:eastAsia="Microsoft YaHei"/>
                <w:b w:val="0"/>
                <w:sz w:val="15"/>
              </w:rPr>
              <w:t>27</w:t>
            </w:r>
          </w:p>
        </w:tc>
        <w:tc>
          <w:tcPr>
            <w:tcW w:type="dxa" w:w="1000"/>
            <w:vAlign w:val="center"/>
            <w:tcMar>
              <w:top w:w="80" w:type="dxa"/>
              <w:start w:w="120" w:type="dxa"/>
              <w:bottom w:w="80" w:type="dxa"/>
              <w:end w:w="120" w:type="dxa"/>
            </w:tcMar>
          </w:tcPr>
          <w:p>
            <w:pPr>
              <w:spacing w:before="0" w:after="0"/>
            </w:pPr>
            <w:r>
              <w:rPr>
                <w:rFonts w:ascii="Microsoft YaHei" w:hAnsi="Microsoft YaHei" w:eastAsia="Microsoft YaHei"/>
                <w:b w:val="0"/>
                <w:sz w:val="15"/>
              </w:rPr>
              <w:t>24</w:t>
            </w:r>
          </w:p>
        </w:tc>
        <w:tc>
          <w:tcPr>
            <w:tcW w:type="dxa" w:w="2250"/>
            <w:vAlign w:val="center"/>
            <w:tcMar>
              <w:top w:w="80" w:type="dxa"/>
              <w:start w:w="120" w:type="dxa"/>
              <w:bottom w:w="80" w:type="dxa"/>
              <w:end w:w="120" w:type="dxa"/>
            </w:tcMar>
          </w:tcPr>
          <w:p>
            <w:pPr>
              <w:spacing w:before="0" w:after="0"/>
            </w:pPr>
            <w:r>
              <w:rPr>
                <w:rFonts w:ascii="Microsoft YaHei" w:hAnsi="Microsoft YaHei" w:eastAsia="Microsoft YaHei"/>
                <w:b w:val="0"/>
                <w:sz w:val="15"/>
              </w:rPr>
              <w:t>88.9%（73.2%–96.8%）</w:t>
            </w:r>
          </w:p>
        </w:tc>
        <w:tc>
          <w:tcPr>
            <w:tcW w:type="dxa" w:w="1170"/>
            <w:vAlign w:val="center"/>
            <w:tcMar>
              <w:top w:w="80" w:type="dxa"/>
              <w:start w:w="120" w:type="dxa"/>
              <w:bottom w:w="80" w:type="dxa"/>
              <w:end w:w="120" w:type="dxa"/>
            </w:tcMar>
          </w:tcPr>
          <w:p>
            <w:pPr>
              <w:spacing w:before="0" w:after="0"/>
            </w:pPr>
            <w:r>
              <w:rPr>
                <w:rFonts w:ascii="Microsoft YaHei" w:hAnsi="Microsoft YaHei" w:eastAsia="Microsoft YaHei"/>
                <w:b w:val="0"/>
                <w:sz w:val="15"/>
              </w:rPr>
              <w:t>1.46</w:t>
            </w:r>
          </w:p>
        </w:tc>
      </w:tr>
      <w:tr>
        <w:trPr>
          <w:cantSplit/>
        </w:trPr>
        <w:tc>
          <w:tcPr>
            <w:tcW w:type="dxa" w:w="3650"/>
            <w:vAlign w:val="center"/>
            <w:tcMar>
              <w:top w:w="80" w:type="dxa"/>
              <w:start w:w="120" w:type="dxa"/>
              <w:bottom w:w="80" w:type="dxa"/>
              <w:end w:w="120" w:type="dxa"/>
            </w:tcMar>
          </w:tcPr>
          <w:p>
            <w:pPr>
              <w:spacing w:before="0" w:after="0"/>
            </w:pPr>
            <w:r>
              <w:rPr>
                <w:rFonts w:ascii="Microsoft YaHei" w:hAnsi="Microsoft YaHei" w:eastAsia="Microsoft YaHei"/>
                <w:b w:val="0"/>
                <w:sz w:val="15"/>
              </w:rPr>
              <w:t>痰湿体质 + 活动总分&lt;40 + 尿酸异常</w:t>
            </w:r>
          </w:p>
        </w:tc>
        <w:tc>
          <w:tcPr>
            <w:tcW w:type="dxa" w:w="1000"/>
            <w:vAlign w:val="center"/>
            <w:tcMar>
              <w:top w:w="80" w:type="dxa"/>
              <w:start w:w="120" w:type="dxa"/>
              <w:bottom w:w="80" w:type="dxa"/>
              <w:end w:w="120" w:type="dxa"/>
            </w:tcMar>
          </w:tcPr>
          <w:p>
            <w:pPr>
              <w:spacing w:before="0" w:after="0"/>
            </w:pPr>
            <w:r>
              <w:rPr>
                <w:rFonts w:ascii="Microsoft YaHei" w:hAnsi="Microsoft YaHei" w:eastAsia="Microsoft YaHei"/>
                <w:b w:val="0"/>
                <w:sz w:val="15"/>
              </w:rPr>
              <w:t>14</w:t>
            </w:r>
          </w:p>
        </w:tc>
        <w:tc>
          <w:tcPr>
            <w:tcW w:type="dxa" w:w="1000"/>
            <w:vAlign w:val="center"/>
            <w:tcMar>
              <w:top w:w="80" w:type="dxa"/>
              <w:start w:w="120" w:type="dxa"/>
              <w:bottom w:w="80" w:type="dxa"/>
              <w:end w:w="120" w:type="dxa"/>
            </w:tcMar>
          </w:tcPr>
          <w:p>
            <w:pPr>
              <w:spacing w:before="0" w:after="0"/>
            </w:pPr>
            <w:r>
              <w:rPr>
                <w:rFonts w:ascii="Microsoft YaHei" w:hAnsi="Microsoft YaHei" w:eastAsia="Microsoft YaHei"/>
                <w:b w:val="0"/>
                <w:sz w:val="15"/>
              </w:rPr>
              <w:t>12</w:t>
            </w:r>
          </w:p>
        </w:tc>
        <w:tc>
          <w:tcPr>
            <w:tcW w:type="dxa" w:w="2250"/>
            <w:vAlign w:val="center"/>
            <w:tcMar>
              <w:top w:w="80" w:type="dxa"/>
              <w:start w:w="120" w:type="dxa"/>
              <w:bottom w:w="80" w:type="dxa"/>
              <w:end w:w="120" w:type="dxa"/>
            </w:tcMar>
          </w:tcPr>
          <w:p>
            <w:pPr>
              <w:spacing w:before="0" w:after="0"/>
            </w:pPr>
            <w:r>
              <w:rPr>
                <w:rFonts w:ascii="Microsoft YaHei" w:hAnsi="Microsoft YaHei" w:eastAsia="Microsoft YaHei"/>
                <w:b w:val="0"/>
                <w:sz w:val="15"/>
              </w:rPr>
              <w:t>85.7%（61.5%–96.9%）</w:t>
            </w:r>
          </w:p>
        </w:tc>
        <w:tc>
          <w:tcPr>
            <w:tcW w:type="dxa" w:w="1170"/>
            <w:vAlign w:val="center"/>
            <w:tcMar>
              <w:top w:w="80" w:type="dxa"/>
              <w:start w:w="120" w:type="dxa"/>
              <w:bottom w:w="80" w:type="dxa"/>
              <w:end w:w="120" w:type="dxa"/>
            </w:tcMar>
          </w:tcPr>
          <w:p>
            <w:pPr>
              <w:spacing w:before="0" w:after="0"/>
            </w:pPr>
            <w:r>
              <w:rPr>
                <w:rFonts w:ascii="Microsoft YaHei" w:hAnsi="Microsoft YaHei" w:eastAsia="Microsoft YaHei"/>
                <w:b w:val="0"/>
                <w:sz w:val="15"/>
              </w:rPr>
              <w:t>1.41</w:t>
            </w:r>
          </w:p>
        </w:tc>
      </w:tr>
      <w:tr>
        <w:trPr>
          <w:cantSplit/>
        </w:trPr>
        <w:tc>
          <w:tcPr>
            <w:tcW w:type="dxa" w:w="3650"/>
            <w:vAlign w:val="center"/>
            <w:tcMar>
              <w:top w:w="80" w:type="dxa"/>
              <w:start w:w="120" w:type="dxa"/>
              <w:bottom w:w="80" w:type="dxa"/>
              <w:end w:w="120" w:type="dxa"/>
            </w:tcMar>
          </w:tcPr>
          <w:p>
            <w:pPr>
              <w:spacing w:before="0" w:after="0"/>
            </w:pPr>
            <w:r>
              <w:rPr>
                <w:rFonts w:ascii="Microsoft YaHei" w:hAnsi="Microsoft YaHei" w:eastAsia="Microsoft YaHei"/>
                <w:b w:val="0"/>
                <w:sz w:val="15"/>
              </w:rPr>
              <w:t>痰湿体质 + 尿酸异常</w:t>
            </w:r>
          </w:p>
        </w:tc>
        <w:tc>
          <w:tcPr>
            <w:tcW w:type="dxa" w:w="1000"/>
            <w:vAlign w:val="center"/>
            <w:tcMar>
              <w:top w:w="80" w:type="dxa"/>
              <w:start w:w="120" w:type="dxa"/>
              <w:bottom w:w="80" w:type="dxa"/>
              <w:end w:w="120" w:type="dxa"/>
            </w:tcMar>
          </w:tcPr>
          <w:p>
            <w:pPr>
              <w:spacing w:before="0" w:after="0"/>
            </w:pPr>
            <w:r>
              <w:rPr>
                <w:rFonts w:ascii="Microsoft YaHei" w:hAnsi="Microsoft YaHei" w:eastAsia="Microsoft YaHei"/>
                <w:b w:val="0"/>
                <w:sz w:val="15"/>
              </w:rPr>
              <w:t>55</w:t>
            </w:r>
          </w:p>
        </w:tc>
        <w:tc>
          <w:tcPr>
            <w:tcW w:type="dxa" w:w="1000"/>
            <w:vAlign w:val="center"/>
            <w:tcMar>
              <w:top w:w="80" w:type="dxa"/>
              <w:start w:w="120" w:type="dxa"/>
              <w:bottom w:w="80" w:type="dxa"/>
              <w:end w:w="120" w:type="dxa"/>
            </w:tcMar>
          </w:tcPr>
          <w:p>
            <w:pPr>
              <w:spacing w:before="0" w:after="0"/>
            </w:pPr>
            <w:r>
              <w:rPr>
                <w:rFonts w:ascii="Microsoft YaHei" w:hAnsi="Microsoft YaHei" w:eastAsia="Microsoft YaHei"/>
                <w:b w:val="0"/>
                <w:sz w:val="15"/>
              </w:rPr>
              <w:t>47</w:t>
            </w:r>
          </w:p>
        </w:tc>
        <w:tc>
          <w:tcPr>
            <w:tcW w:type="dxa" w:w="2250"/>
            <w:vAlign w:val="center"/>
            <w:tcMar>
              <w:top w:w="80" w:type="dxa"/>
              <w:start w:w="120" w:type="dxa"/>
              <w:bottom w:w="80" w:type="dxa"/>
              <w:end w:w="120" w:type="dxa"/>
            </w:tcMar>
          </w:tcPr>
          <w:p>
            <w:pPr>
              <w:spacing w:before="0" w:after="0"/>
            </w:pPr>
            <w:r>
              <w:rPr>
                <w:rFonts w:ascii="Microsoft YaHei" w:hAnsi="Microsoft YaHei" w:eastAsia="Microsoft YaHei"/>
                <w:b w:val="0"/>
                <w:sz w:val="15"/>
              </w:rPr>
              <w:t>85.5%（74.4%–92.9%）</w:t>
            </w:r>
          </w:p>
        </w:tc>
        <w:tc>
          <w:tcPr>
            <w:tcW w:type="dxa" w:w="1170"/>
            <w:vAlign w:val="center"/>
            <w:tcMar>
              <w:top w:w="80" w:type="dxa"/>
              <w:start w:w="120" w:type="dxa"/>
              <w:bottom w:w="80" w:type="dxa"/>
              <w:end w:w="120" w:type="dxa"/>
            </w:tcMar>
          </w:tcPr>
          <w:p>
            <w:pPr>
              <w:spacing w:before="0" w:after="0"/>
            </w:pPr>
            <w:r>
              <w:rPr>
                <w:rFonts w:ascii="Microsoft YaHei" w:hAnsi="Microsoft YaHei" w:eastAsia="Microsoft YaHei"/>
                <w:b w:val="0"/>
                <w:sz w:val="15"/>
              </w:rPr>
              <w:t>1.41</w:t>
            </w:r>
          </w:p>
        </w:tc>
      </w:tr>
      <w:tr>
        <w:trPr>
          <w:cantSplit/>
        </w:trPr>
        <w:tc>
          <w:tcPr>
            <w:tcW w:type="dxa" w:w="3650"/>
            <w:vAlign w:val="center"/>
            <w:tcMar>
              <w:top w:w="80" w:type="dxa"/>
              <w:start w:w="120" w:type="dxa"/>
              <w:bottom w:w="80" w:type="dxa"/>
              <w:end w:w="120" w:type="dxa"/>
            </w:tcMar>
          </w:tcPr>
          <w:p>
            <w:pPr>
              <w:spacing w:before="0" w:after="0"/>
            </w:pPr>
            <w:r>
              <w:rPr>
                <w:rFonts w:ascii="Microsoft YaHei" w:hAnsi="Microsoft YaHei" w:eastAsia="Microsoft YaHei"/>
                <w:b w:val="0"/>
                <w:sz w:val="15"/>
              </w:rPr>
              <w:t>痰湿体质 + 血糖异常 + 尿酸异常</w:t>
            </w:r>
          </w:p>
        </w:tc>
        <w:tc>
          <w:tcPr>
            <w:tcW w:type="dxa" w:w="1000"/>
            <w:vAlign w:val="center"/>
            <w:tcMar>
              <w:top w:w="80" w:type="dxa"/>
              <w:start w:w="120" w:type="dxa"/>
              <w:bottom w:w="80" w:type="dxa"/>
              <w:end w:w="120" w:type="dxa"/>
            </w:tcMar>
          </w:tcPr>
          <w:p>
            <w:pPr>
              <w:spacing w:before="0" w:after="0"/>
            </w:pPr>
            <w:r>
              <w:rPr>
                <w:rFonts w:ascii="Microsoft YaHei" w:hAnsi="Microsoft YaHei" w:eastAsia="Microsoft YaHei"/>
                <w:b w:val="0"/>
                <w:sz w:val="15"/>
              </w:rPr>
              <w:t>17</w:t>
            </w:r>
          </w:p>
        </w:tc>
        <w:tc>
          <w:tcPr>
            <w:tcW w:type="dxa" w:w="1000"/>
            <w:vAlign w:val="center"/>
            <w:tcMar>
              <w:top w:w="80" w:type="dxa"/>
              <w:start w:w="120" w:type="dxa"/>
              <w:bottom w:w="80" w:type="dxa"/>
              <w:end w:w="120" w:type="dxa"/>
            </w:tcMar>
          </w:tcPr>
          <w:p>
            <w:pPr>
              <w:spacing w:before="0" w:after="0"/>
            </w:pPr>
            <w:r>
              <w:rPr>
                <w:rFonts w:ascii="Microsoft YaHei" w:hAnsi="Microsoft YaHei" w:eastAsia="Microsoft YaHei"/>
                <w:b w:val="0"/>
                <w:sz w:val="15"/>
              </w:rPr>
              <w:t>14</w:t>
            </w:r>
          </w:p>
        </w:tc>
        <w:tc>
          <w:tcPr>
            <w:tcW w:type="dxa" w:w="2250"/>
            <w:vAlign w:val="center"/>
            <w:tcMar>
              <w:top w:w="80" w:type="dxa"/>
              <w:start w:w="120" w:type="dxa"/>
              <w:bottom w:w="80" w:type="dxa"/>
              <w:end w:w="120" w:type="dxa"/>
            </w:tcMar>
          </w:tcPr>
          <w:p>
            <w:pPr>
              <w:spacing w:before="0" w:after="0"/>
            </w:pPr>
            <w:r>
              <w:rPr>
                <w:rFonts w:ascii="Microsoft YaHei" w:hAnsi="Microsoft YaHei" w:eastAsia="Microsoft YaHei"/>
                <w:b w:val="0"/>
                <w:sz w:val="15"/>
              </w:rPr>
              <w:t>82.4%（60.0%–94.8%）</w:t>
            </w:r>
          </w:p>
        </w:tc>
        <w:tc>
          <w:tcPr>
            <w:tcW w:type="dxa" w:w="1170"/>
            <w:vAlign w:val="center"/>
            <w:tcMar>
              <w:top w:w="80" w:type="dxa"/>
              <w:start w:w="120" w:type="dxa"/>
              <w:bottom w:w="80" w:type="dxa"/>
              <w:end w:w="120" w:type="dxa"/>
            </w:tcMar>
          </w:tcPr>
          <w:p>
            <w:pPr>
              <w:spacing w:before="0" w:after="0"/>
            </w:pPr>
            <w:r>
              <w:rPr>
                <w:rFonts w:ascii="Microsoft YaHei" w:hAnsi="Microsoft YaHei" w:eastAsia="Microsoft YaHei"/>
                <w:b w:val="0"/>
                <w:sz w:val="15"/>
              </w:rPr>
              <w:t>1.36</w:t>
            </w:r>
          </w:p>
        </w:tc>
      </w:tr>
      <w:tr>
        <w:trPr>
          <w:cantSplit/>
        </w:trPr>
        <w:tc>
          <w:tcPr>
            <w:tcW w:type="dxa" w:w="3650"/>
            <w:vAlign w:val="center"/>
            <w:tcMar>
              <w:top w:w="80" w:type="dxa"/>
              <w:start w:w="120" w:type="dxa"/>
              <w:bottom w:w="80" w:type="dxa"/>
              <w:end w:w="120" w:type="dxa"/>
            </w:tcMar>
          </w:tcPr>
          <w:p>
            <w:pPr>
              <w:spacing w:before="0" w:after="0"/>
            </w:pPr>
            <w:r>
              <w:rPr>
                <w:rFonts w:ascii="Microsoft YaHei" w:hAnsi="Microsoft YaHei" w:eastAsia="Microsoft YaHei"/>
                <w:b w:val="0"/>
                <w:sz w:val="15"/>
              </w:rPr>
              <w:t>痰湿体质 + 尿酸异常 + 饮酒史</w:t>
            </w:r>
          </w:p>
        </w:tc>
        <w:tc>
          <w:tcPr>
            <w:tcW w:type="dxa" w:w="1000"/>
            <w:vAlign w:val="center"/>
            <w:tcMar>
              <w:top w:w="80" w:type="dxa"/>
              <w:start w:w="120" w:type="dxa"/>
              <w:bottom w:w="80" w:type="dxa"/>
              <w:end w:w="120" w:type="dxa"/>
            </w:tcMar>
          </w:tcPr>
          <w:p>
            <w:pPr>
              <w:spacing w:before="0" w:after="0"/>
            </w:pPr>
            <w:r>
              <w:rPr>
                <w:rFonts w:ascii="Microsoft YaHei" w:hAnsi="Microsoft YaHei" w:eastAsia="Microsoft YaHei"/>
                <w:b w:val="0"/>
                <w:sz w:val="15"/>
              </w:rPr>
              <w:t>32</w:t>
            </w:r>
          </w:p>
        </w:tc>
        <w:tc>
          <w:tcPr>
            <w:tcW w:type="dxa" w:w="1000"/>
            <w:vAlign w:val="center"/>
            <w:tcMar>
              <w:top w:w="80" w:type="dxa"/>
              <w:start w:w="120" w:type="dxa"/>
              <w:bottom w:w="80" w:type="dxa"/>
              <w:end w:w="120" w:type="dxa"/>
            </w:tcMar>
          </w:tcPr>
          <w:p>
            <w:pPr>
              <w:spacing w:before="0" w:after="0"/>
            </w:pPr>
            <w:r>
              <w:rPr>
                <w:rFonts w:ascii="Microsoft YaHei" w:hAnsi="Microsoft YaHei" w:eastAsia="Microsoft YaHei"/>
                <w:b w:val="0"/>
                <w:sz w:val="15"/>
              </w:rPr>
              <w:t>26</w:t>
            </w:r>
          </w:p>
        </w:tc>
        <w:tc>
          <w:tcPr>
            <w:tcW w:type="dxa" w:w="2250"/>
            <w:vAlign w:val="center"/>
            <w:tcMar>
              <w:top w:w="80" w:type="dxa"/>
              <w:start w:w="120" w:type="dxa"/>
              <w:bottom w:w="80" w:type="dxa"/>
              <w:end w:w="120" w:type="dxa"/>
            </w:tcMar>
          </w:tcPr>
          <w:p>
            <w:pPr>
              <w:spacing w:before="0" w:after="0"/>
            </w:pPr>
            <w:r>
              <w:rPr>
                <w:rFonts w:ascii="Microsoft YaHei" w:hAnsi="Microsoft YaHei" w:eastAsia="Microsoft YaHei"/>
                <w:b w:val="0"/>
                <w:sz w:val="15"/>
              </w:rPr>
              <w:t>81.2%（65.4%–91.8%）</w:t>
            </w:r>
          </w:p>
        </w:tc>
        <w:tc>
          <w:tcPr>
            <w:tcW w:type="dxa" w:w="1170"/>
            <w:vAlign w:val="center"/>
            <w:tcMar>
              <w:top w:w="80" w:type="dxa"/>
              <w:start w:w="120" w:type="dxa"/>
              <w:bottom w:w="80" w:type="dxa"/>
              <w:end w:w="120" w:type="dxa"/>
            </w:tcMar>
          </w:tcPr>
          <w:p>
            <w:pPr>
              <w:spacing w:before="0" w:after="0"/>
            </w:pPr>
            <w:r>
              <w:rPr>
                <w:rFonts w:ascii="Microsoft YaHei" w:hAnsi="Microsoft YaHei" w:eastAsia="Microsoft YaHei"/>
                <w:b w:val="0"/>
                <w:sz w:val="15"/>
              </w:rPr>
              <w:t>1.34</w:t>
            </w:r>
          </w:p>
        </w:tc>
      </w:tr>
    </w:tbl>
    <w:p>
      <w:pPr>
        <w:spacing w:after="40"/>
      </w:pPr>
    </w:p>
    <w:p>
      <w:pPr>
        <w:spacing w:before="40" w:after="120"/>
      </w:pPr>
      <w:r>
        <w:rPr>
          <w:rFonts w:ascii="Microsoft YaHei" w:hAnsi="Microsoft YaHei" w:eastAsia="Microsoft YaHei"/>
          <w:i/>
          <w:color w:val="666666"/>
          <w:sz w:val="16"/>
        </w:rPr>
        <w:t>表5  痰湿质高危管理组合前5位。提升度相对痰湿质人群的基准高危比例计算。</w:t>
      </w:r>
    </w:p>
    <w:tbl>
      <w:tblPr>
        <w:tblStyle w:val="TableGrid"/>
        <w:tblW w:type="dxa" w:w="9070"/>
        <w:jc w:val="left"/>
        <w:tblLayout w:type="fixed"/>
        <w:tblLook w:firstColumn="1" w:firstRow="1" w:lastColumn="0" w:lastRow="0" w:noHBand="0" w:noVBand="1" w:val="04A0"/>
        <w:tblInd w:w="120" w:type="dxa"/>
      </w:tblPr>
      <w:tblGrid>
        <w:gridCol w:w="9070"/>
      </w:tblGrid>
      <w:tr>
        <w:tc>
          <w:tcPr>
            <w:tcW w:type="dxa" w:w="9070"/>
            <w:shd w:fill="FFF4D6"/>
            <w:tcMar>
              <w:top w:w="80" w:type="dxa"/>
              <w:start w:w="120" w:type="dxa"/>
              <w:bottom w:w="80" w:type="dxa"/>
              <w:end w:w="120" w:type="dxa"/>
            </w:tcMar>
            <w:vAlign w:val="center"/>
          </w:tcPr>
          <w:p>
            <w:pPr>
              <w:spacing w:before="0" w:after="0"/>
            </w:pPr>
            <w:r>
              <w:rPr>
                <w:rFonts w:ascii="Microsoft YaHei" w:hAnsi="Microsoft YaHei" w:eastAsia="Microsoft YaHei"/>
                <w:b w:val="0"/>
                <w:sz w:val="18"/>
              </w:rPr>
              <w:t>首位组合  “痰湿体质 + 痰湿积分≥60 + 尿酸异常”覆盖27人，其中统计高危24人，置信度88.9%（95%CI 73.2%–96.8%），提升度1.46；前件不含诊断血脂。</w:t>
            </w:r>
          </w:p>
        </w:tc>
      </w:tr>
    </w:tbl>
    <w:p>
      <w:pPr>
        <w:spacing w:after="40"/>
      </w:pPr>
    </w:p>
    <w:p>
      <w:pPr>
        <w:pStyle w:val="Heading1"/>
      </w:pPr>
      <w:r>
        <w:t>6 问题三：六个月个体化干预优化</w:t>
      </w:r>
    </w:p>
    <w:p>
      <w:pPr>
        <w:pStyle w:val="Heading2"/>
      </w:pPr>
      <w:r>
        <w:t>6.1 决策变量与约束</w:t>
      </w:r>
    </w:p>
    <w:p>
      <w:pPr>
        <w:keepLines w:val="0"/>
      </w:pPr>
      <w:r>
        <w:rPr>
          <w:rFonts w:ascii="Microsoft YaHei" w:hAnsi="Microsoft YaHei" w:eastAsia="Microsoft YaHei"/>
          <w:sz w:val="22"/>
        </w:rPr>
        <w:t>研究对象为全部278名体质标签5患者。第t月决策包括活动强度aₜ∈{1,2,3}和每周频率fₜ∈{1,…,10}；中医调理等级由月初痰湿积分自动确定。强度上界同时受年龄和活动评分约束：40–59岁最高3级、60–79岁最高2级、80–89岁最高1级；活动总分&lt;40最高1级，40–59最高2级，≥60最高3级。</w:t>
      </w:r>
    </w:p>
    <w:p>
      <w:pPr>
        <w:spacing w:before="100" w:after="100"/>
        <w:jc w:val="center"/>
      </w:pPr>
      <w:r>
        <w:rPr>
          <w:rFonts w:ascii="Cambria Math" w:hAnsi="Cambria Math" w:eastAsia="Cambria Math"/>
          <w:i/>
          <w:color w:val="17365D"/>
          <w:sz w:val="22"/>
        </w:rPr>
        <w:t>Cost = Σₜ(Cost调理,t + 4·fₜ·Cost活动,aₜ) ≤ 2000    (4)</w:t>
      </w:r>
    </w:p>
    <w:p>
      <w:pPr>
        <w:pStyle w:val="Heading2"/>
      </w:pPr>
      <w:r>
        <w:t>6.2 状态转移</w:t>
      </w:r>
    </w:p>
    <w:p>
      <w:pPr>
        <w:keepLines w:val="0"/>
      </w:pPr>
      <w:r>
        <w:rPr>
          <w:rFonts w:ascii="Microsoft YaHei" w:hAnsi="Microsoft YaHei" w:eastAsia="Microsoft YaHei"/>
          <w:sz w:val="22"/>
        </w:rPr>
        <w:t>根据题面，当每周训练少于5次时积分基本稳定；达到5次后，每提高一级强度每月下降约3%，同一强度下每周增加1次训练每月多下降约1%。</w:t>
      </w:r>
    </w:p>
    <w:p>
      <w:pPr>
        <w:spacing w:before="100" w:after="100"/>
        <w:jc w:val="center"/>
      </w:pPr>
      <w:r>
        <w:rPr>
          <w:rFonts w:ascii="Cambria Math" w:hAnsi="Cambria Math" w:eastAsia="Cambria Math"/>
          <w:i/>
          <w:color w:val="17365D"/>
          <w:sz w:val="22"/>
        </w:rPr>
        <w:t>r(a,f)=0 (f&lt;5)；r(a,f)=0.03(a−1)+0.01(f−5) (f≥5)    (5)</w:t>
      </w:r>
    </w:p>
    <w:p>
      <w:pPr>
        <w:spacing w:before="100" w:after="100"/>
        <w:jc w:val="center"/>
      </w:pPr>
      <w:r>
        <w:rPr>
          <w:rFonts w:ascii="Cambria Math" w:hAnsi="Cambria Math" w:eastAsia="Cambria Math"/>
          <w:i/>
          <w:color w:val="17365D"/>
          <w:sz w:val="22"/>
        </w:rPr>
        <w:t>Sₜ₊₁ = Sₜ·[1−r(aₜ,fₜ)]    (6)</w:t>
      </w:r>
    </w:p>
    <w:p>
      <w:pPr>
        <w:keepLines w:val="0"/>
      </w:pPr>
      <w:r>
        <w:rPr>
          <w:rFonts w:ascii="Microsoft YaHei" w:hAnsi="Microsoft YaHei" w:eastAsia="Microsoft YaHei"/>
          <w:sz w:val="22"/>
        </w:rPr>
        <w:t>积分以0.5分为步长离散。对同一积分只保留最低成本状态，并删除“积分更高且成本不低”的支配状态，从而得到每月Pareto前沿。</w:t>
      </w:r>
    </w:p>
    <w:p>
      <w:pPr>
        <w:pStyle w:val="Heading2"/>
      </w:pPr>
      <w:r>
        <w:t>6.3 ε-约束推荐规则</w:t>
      </w:r>
    </w:p>
    <w:p>
      <w:pPr>
        <w:keepLines w:val="0"/>
      </w:pPr>
      <w:r>
        <w:rPr>
          <w:rFonts w:ascii="Microsoft YaHei" w:hAnsi="Microsoft YaHei" w:eastAsia="Microsoft YaHei"/>
          <w:sz w:val="22"/>
        </w:rPr>
        <w:t>若仅以最终积分最小为目标，方案会倾向耗尽预算。为兼顾效果和经济性，先求2000元预算内最大可降幅Δmax，再从达到其90%以上的可行方案中选择成本最低者。</w:t>
      </w:r>
    </w:p>
    <w:p>
      <w:pPr>
        <w:spacing w:before="100" w:after="100"/>
        <w:jc w:val="center"/>
      </w:pPr>
      <w:r>
        <w:rPr>
          <w:rFonts w:ascii="Cambria Math" w:hAnsi="Cambria Math" w:eastAsia="Cambria Math"/>
          <w:i/>
          <w:color w:val="17365D"/>
          <w:sz w:val="22"/>
        </w:rPr>
        <w:t>min Cost，s.t. Δ ≥ 0.90·Δmax，Cost ≤ 2000    (7)</w:t>
      </w:r>
    </w:p>
    <w:tbl>
      <w:tblPr>
        <w:tblStyle w:val="TableGrid"/>
        <w:tblW w:type="dxa" w:w="9070"/>
        <w:jc w:val="left"/>
        <w:tblLayout w:type="fixed"/>
        <w:tblLook w:firstColumn="1" w:firstRow="1" w:lastColumn="0" w:lastRow="0" w:noHBand="0" w:noVBand="1" w:val="04A0"/>
        <w:tblInd w:w="120" w:type="dxa"/>
      </w:tblPr>
      <w:tblGrid>
        <w:gridCol w:w="9070"/>
      </w:tblGrid>
      <w:tr>
        <w:tc>
          <w:tcPr>
            <w:tcW w:type="dxa" w:w="9070"/>
            <w:shd w:fill="F4F6F9"/>
            <w:tcMar>
              <w:top w:w="80" w:type="dxa"/>
              <w:start w:w="120" w:type="dxa"/>
              <w:bottom w:w="80" w:type="dxa"/>
              <w:end w:w="120" w:type="dxa"/>
            </w:tcMar>
            <w:vAlign w:val="center"/>
          </w:tcPr>
          <w:p>
            <w:pPr>
              <w:spacing w:before="0" w:after="0"/>
            </w:pPr>
            <w:r>
              <w:rPr>
                <w:rFonts w:ascii="Microsoft YaHei" w:hAnsi="Microsoft YaHei" w:eastAsia="Microsoft YaHei"/>
                <w:b w:val="0"/>
                <w:sz w:val="18"/>
              </w:rPr>
              <w:t>方案含义  推荐点在对应Pareto前沿上，是达到最大可降幅90%以上后的最低成本方案，而非机械耗尽2000元预算。</w:t>
            </w:r>
          </w:p>
        </w:tc>
      </w:tr>
    </w:tbl>
    <w:p>
      <w:pPr>
        <w:spacing w:after="40"/>
      </w:pPr>
    </w:p>
    <w:p>
      <w:pPr>
        <w:pStyle w:val="Heading2"/>
      </w:pPr>
      <w:r>
        <w:t>6.4 样本1、2、3结果</w:t>
      </w:r>
    </w:p>
    <w:tbl>
      <w:tblPr>
        <w:tblStyle w:val="TableGrid"/>
        <w:tblW w:type="dxa" w:w="9070"/>
        <w:jc w:val="left"/>
        <w:tblLayout w:type="fixed"/>
        <w:tblLook w:firstColumn="1" w:firstRow="1" w:lastColumn="0" w:lastRow="0" w:noHBand="0" w:noVBand="1" w:val="04A0"/>
        <w:tblInd w:w="120" w:type="dxa"/>
      </w:tblPr>
      <w:tblGrid>
        <w:gridCol w:w="900"/>
        <w:gridCol w:w="1050"/>
        <w:gridCol w:w="950"/>
        <w:gridCol w:w="1100"/>
        <w:gridCol w:w="1050"/>
        <w:gridCol w:w="1050"/>
        <w:gridCol w:w="1050"/>
        <w:gridCol w:w="1920"/>
      </w:tblGrid>
      <w:tr>
        <w:trPr>
          <w:tblHeader w:val="true"/>
          <w:cantSplit/>
        </w:trPr>
        <w:tc>
          <w:tcPr>
            <w:tcW w:type="dxa" w:w="900"/>
            <w:vAlign w:val="center"/>
            <w:shd w:fill="E8EEF5"/>
            <w:tcMar>
              <w:top w:w="80" w:type="dxa"/>
              <w:start w:w="120" w:type="dxa"/>
              <w:bottom w:w="80" w:type="dxa"/>
              <w:end w:w="120" w:type="dxa"/>
            </w:tcMar>
          </w:tcPr>
          <w:p>
            <w:pPr>
              <w:spacing w:before="0" w:after="0" w:line="259" w:lineRule="auto"/>
              <w:jc w:val="center"/>
            </w:pPr>
            <w:r/>
            <w:r>
              <w:rPr>
                <w:rFonts w:ascii="Microsoft YaHei" w:hAnsi="Microsoft YaHei" w:eastAsia="Microsoft YaHei"/>
                <w:b/>
                <w:color w:val="17365D"/>
                <w:sz w:val="17"/>
              </w:rPr>
              <w:t>ID</w:t>
            </w:r>
          </w:p>
        </w:tc>
        <w:tc>
          <w:tcPr>
            <w:tcW w:type="dxa" w:w="1050"/>
            <w:vAlign w:val="center"/>
            <w:shd w:fill="E8EEF5"/>
            <w:tcMar>
              <w:top w:w="80" w:type="dxa"/>
              <w:start w:w="120" w:type="dxa"/>
              <w:bottom w:w="80" w:type="dxa"/>
              <w:end w:w="120" w:type="dxa"/>
            </w:tcMar>
          </w:tcPr>
          <w:p>
            <w:pPr>
              <w:spacing w:before="0" w:after="0" w:line="259" w:lineRule="auto"/>
              <w:jc w:val="center"/>
            </w:pPr>
            <w:r/>
            <w:r>
              <w:rPr>
                <w:rFonts w:ascii="Microsoft YaHei" w:hAnsi="Microsoft YaHei" w:eastAsia="Microsoft YaHei"/>
                <w:b/>
                <w:color w:val="17365D"/>
                <w:sz w:val="17"/>
              </w:rPr>
              <w:t>初始积分</w:t>
            </w:r>
          </w:p>
        </w:tc>
        <w:tc>
          <w:tcPr>
            <w:tcW w:type="dxa" w:w="950"/>
            <w:vAlign w:val="center"/>
            <w:shd w:fill="E8EEF5"/>
            <w:tcMar>
              <w:top w:w="80" w:type="dxa"/>
              <w:start w:w="120" w:type="dxa"/>
              <w:bottom w:w="80" w:type="dxa"/>
              <w:end w:w="120" w:type="dxa"/>
            </w:tcMar>
          </w:tcPr>
          <w:p>
            <w:pPr>
              <w:spacing w:before="0" w:after="0" w:line="259" w:lineRule="auto"/>
              <w:jc w:val="center"/>
            </w:pPr>
            <w:r/>
            <w:r>
              <w:rPr>
                <w:rFonts w:ascii="Microsoft YaHei" w:hAnsi="Microsoft YaHei" w:eastAsia="Microsoft YaHei"/>
                <w:b/>
                <w:color w:val="17365D"/>
                <w:sz w:val="17"/>
              </w:rPr>
              <w:t>年龄组</w:t>
            </w:r>
          </w:p>
        </w:tc>
        <w:tc>
          <w:tcPr>
            <w:tcW w:type="dxa" w:w="1100"/>
            <w:vAlign w:val="center"/>
            <w:shd w:fill="E8EEF5"/>
            <w:tcMar>
              <w:top w:w="80" w:type="dxa"/>
              <w:start w:w="120" w:type="dxa"/>
              <w:bottom w:w="80" w:type="dxa"/>
              <w:end w:w="120" w:type="dxa"/>
            </w:tcMar>
          </w:tcPr>
          <w:p>
            <w:pPr>
              <w:spacing w:before="0" w:after="0" w:line="259" w:lineRule="auto"/>
              <w:jc w:val="center"/>
            </w:pPr>
            <w:r/>
            <w:r>
              <w:rPr>
                <w:rFonts w:ascii="Microsoft YaHei" w:hAnsi="Microsoft YaHei" w:eastAsia="Microsoft YaHei"/>
                <w:b/>
                <w:color w:val="17365D"/>
                <w:sz w:val="17"/>
              </w:rPr>
              <w:t>活动总分</w:t>
            </w:r>
          </w:p>
        </w:tc>
        <w:tc>
          <w:tcPr>
            <w:tcW w:type="dxa" w:w="1050"/>
            <w:vAlign w:val="center"/>
            <w:shd w:fill="E8EEF5"/>
            <w:tcMar>
              <w:top w:w="80" w:type="dxa"/>
              <w:start w:w="120" w:type="dxa"/>
              <w:bottom w:w="80" w:type="dxa"/>
              <w:end w:w="120" w:type="dxa"/>
            </w:tcMar>
          </w:tcPr>
          <w:p>
            <w:pPr>
              <w:spacing w:before="0" w:after="0" w:line="259" w:lineRule="auto"/>
              <w:jc w:val="center"/>
            </w:pPr>
            <w:r/>
            <w:r>
              <w:rPr>
                <w:rFonts w:ascii="Microsoft YaHei" w:hAnsi="Microsoft YaHei" w:eastAsia="Microsoft YaHei"/>
                <w:b/>
                <w:color w:val="17365D"/>
                <w:sz w:val="17"/>
              </w:rPr>
              <w:t>最大强度</w:t>
            </w:r>
          </w:p>
        </w:tc>
        <w:tc>
          <w:tcPr>
            <w:tcW w:type="dxa" w:w="1050"/>
            <w:vAlign w:val="center"/>
            <w:shd w:fill="E8EEF5"/>
            <w:tcMar>
              <w:top w:w="80" w:type="dxa"/>
              <w:start w:w="120" w:type="dxa"/>
              <w:bottom w:w="80" w:type="dxa"/>
              <w:end w:w="120" w:type="dxa"/>
            </w:tcMar>
          </w:tcPr>
          <w:p>
            <w:pPr>
              <w:spacing w:before="0" w:after="0" w:line="259" w:lineRule="auto"/>
              <w:jc w:val="center"/>
            </w:pPr>
            <w:r/>
            <w:r>
              <w:rPr>
                <w:rFonts w:ascii="Microsoft YaHei" w:hAnsi="Microsoft YaHei" w:eastAsia="Microsoft YaHei"/>
                <w:b/>
                <w:color w:val="17365D"/>
                <w:sz w:val="17"/>
              </w:rPr>
              <w:t>最终积分</w:t>
            </w:r>
          </w:p>
        </w:tc>
        <w:tc>
          <w:tcPr>
            <w:tcW w:type="dxa" w:w="1050"/>
            <w:vAlign w:val="center"/>
            <w:shd w:fill="E8EEF5"/>
            <w:tcMar>
              <w:top w:w="80" w:type="dxa"/>
              <w:start w:w="120" w:type="dxa"/>
              <w:bottom w:w="80" w:type="dxa"/>
              <w:end w:w="120" w:type="dxa"/>
            </w:tcMar>
          </w:tcPr>
          <w:p>
            <w:pPr>
              <w:spacing w:before="0" w:after="0" w:line="259" w:lineRule="auto"/>
              <w:jc w:val="center"/>
            </w:pPr>
            <w:r/>
            <w:r>
              <w:rPr>
                <w:rFonts w:ascii="Microsoft YaHei" w:hAnsi="Microsoft YaHei" w:eastAsia="Microsoft YaHei"/>
                <w:b/>
                <w:color w:val="17365D"/>
                <w:sz w:val="17"/>
              </w:rPr>
              <w:t>降低分数</w:t>
            </w:r>
          </w:p>
        </w:tc>
        <w:tc>
          <w:tcPr>
            <w:tcW w:type="dxa" w:w="1920"/>
            <w:vAlign w:val="center"/>
            <w:shd w:fill="E8EEF5"/>
            <w:tcMar>
              <w:top w:w="80" w:type="dxa"/>
              <w:start w:w="120" w:type="dxa"/>
              <w:bottom w:w="80" w:type="dxa"/>
              <w:end w:w="120" w:type="dxa"/>
            </w:tcMar>
          </w:tcPr>
          <w:p>
            <w:pPr>
              <w:spacing w:before="0" w:after="0" w:line="259" w:lineRule="auto"/>
              <w:jc w:val="center"/>
            </w:pPr>
            <w:r/>
            <w:r>
              <w:rPr>
                <w:rFonts w:ascii="Microsoft YaHei" w:hAnsi="Microsoft YaHei" w:eastAsia="Microsoft YaHei"/>
                <w:b/>
                <w:color w:val="17365D"/>
                <w:sz w:val="17"/>
              </w:rPr>
              <w:t>总成本/元</w:t>
            </w:r>
          </w:p>
        </w:tc>
      </w:tr>
      <w:tr>
        <w:trPr>
          <w:cantSplit/>
        </w:trPr>
        <w:tc>
          <w:tcPr>
            <w:tcW w:type="dxa" w:w="9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1</w:t>
            </w:r>
          </w:p>
        </w:tc>
        <w:tc>
          <w:tcPr>
            <w:tcW w:type="dxa" w:w="10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64.0</w:t>
            </w:r>
          </w:p>
        </w:tc>
        <w:tc>
          <w:tcPr>
            <w:tcW w:type="dxa" w:w="9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2</w:t>
            </w:r>
          </w:p>
        </w:tc>
        <w:tc>
          <w:tcPr>
            <w:tcW w:type="dxa" w:w="11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38.0</w:t>
            </w:r>
          </w:p>
        </w:tc>
        <w:tc>
          <w:tcPr>
            <w:tcW w:type="dxa" w:w="10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1</w:t>
            </w:r>
          </w:p>
        </w:tc>
        <w:tc>
          <w:tcPr>
            <w:tcW w:type="dxa" w:w="10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48.5</w:t>
            </w:r>
          </w:p>
        </w:tc>
        <w:tc>
          <w:tcPr>
            <w:tcW w:type="dxa" w:w="10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15.5</w:t>
            </w:r>
          </w:p>
        </w:tc>
        <w:tc>
          <w:tcPr>
            <w:tcW w:type="dxa" w:w="192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1014</w:t>
            </w:r>
          </w:p>
        </w:tc>
      </w:tr>
      <w:tr>
        <w:trPr>
          <w:cantSplit/>
        </w:trPr>
        <w:tc>
          <w:tcPr>
            <w:tcW w:type="dxa" w:w="9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2</w:t>
            </w:r>
          </w:p>
        </w:tc>
        <w:tc>
          <w:tcPr>
            <w:tcW w:type="dxa" w:w="10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58.0</w:t>
            </w:r>
          </w:p>
        </w:tc>
        <w:tc>
          <w:tcPr>
            <w:tcW w:type="dxa" w:w="9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1</w:t>
            </w:r>
          </w:p>
        </w:tc>
        <w:tc>
          <w:tcPr>
            <w:tcW w:type="dxa" w:w="11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40.0</w:t>
            </w:r>
          </w:p>
        </w:tc>
        <w:tc>
          <w:tcPr>
            <w:tcW w:type="dxa" w:w="10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2</w:t>
            </w:r>
          </w:p>
        </w:tc>
        <w:tc>
          <w:tcPr>
            <w:tcW w:type="dxa" w:w="10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37.0</w:t>
            </w:r>
          </w:p>
        </w:tc>
        <w:tc>
          <w:tcPr>
            <w:tcW w:type="dxa" w:w="10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21.0</w:t>
            </w:r>
          </w:p>
        </w:tc>
        <w:tc>
          <w:tcPr>
            <w:tcW w:type="dxa" w:w="192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1240</w:t>
            </w:r>
          </w:p>
        </w:tc>
      </w:tr>
      <w:tr>
        <w:trPr>
          <w:cantSplit/>
        </w:trPr>
        <w:tc>
          <w:tcPr>
            <w:tcW w:type="dxa" w:w="9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3</w:t>
            </w:r>
          </w:p>
        </w:tc>
        <w:tc>
          <w:tcPr>
            <w:tcW w:type="dxa" w:w="10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59.0</w:t>
            </w:r>
          </w:p>
        </w:tc>
        <w:tc>
          <w:tcPr>
            <w:tcW w:type="dxa" w:w="9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1</w:t>
            </w:r>
          </w:p>
        </w:tc>
        <w:tc>
          <w:tcPr>
            <w:tcW w:type="dxa" w:w="11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63.0</w:t>
            </w:r>
          </w:p>
        </w:tc>
        <w:tc>
          <w:tcPr>
            <w:tcW w:type="dxa" w:w="10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3</w:t>
            </w:r>
          </w:p>
        </w:tc>
        <w:tc>
          <w:tcPr>
            <w:tcW w:type="dxa" w:w="10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33.0</w:t>
            </w:r>
          </w:p>
        </w:tc>
        <w:tc>
          <w:tcPr>
            <w:tcW w:type="dxa" w:w="10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26.0</w:t>
            </w:r>
          </w:p>
        </w:tc>
        <w:tc>
          <w:tcPr>
            <w:tcW w:type="dxa" w:w="192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1674</w:t>
            </w:r>
          </w:p>
        </w:tc>
      </w:tr>
    </w:tbl>
    <w:p>
      <w:pPr>
        <w:spacing w:after="40"/>
      </w:pPr>
    </w:p>
    <w:p>
      <w:pPr>
        <w:spacing w:before="40" w:after="120"/>
      </w:pPr>
      <w:r>
        <w:rPr>
          <w:rFonts w:ascii="Microsoft YaHei" w:hAnsi="Microsoft YaHei" w:eastAsia="Microsoft YaHei"/>
          <w:i/>
          <w:color w:val="666666"/>
          <w:sz w:val="16"/>
        </w:rPr>
        <w:t>表6  附件样本ID 1、2、3的真实参数与推荐结果。</w:t>
      </w:r>
    </w:p>
    <w:p>
      <w:pPr>
        <w:keepNext/>
        <w:spacing w:before="80" w:after="0"/>
        <w:jc w:val="center"/>
      </w:pPr>
      <w:r>
        <w:drawing>
          <wp:inline xmlns:a="http://schemas.openxmlformats.org/drawingml/2006/main" xmlns:pic="http://schemas.openxmlformats.org/drawingml/2006/picture">
            <wp:extent cx="5303520" cy="3457957"/>
            <wp:docPr id="7" name="Picture 7"/>
            <wp:cNvGraphicFramePr>
              <a:graphicFrameLocks noChangeAspect="1"/>
            </wp:cNvGraphicFramePr>
            <a:graphic>
              <a:graphicData uri="http://schemas.openxmlformats.org/drawingml/2006/picture">
                <pic:pic>
                  <pic:nvPicPr>
                    <pic:cNvPr id="0" name="问题3_积分变化曲线.png"/>
                    <pic:cNvPicPr/>
                  </pic:nvPicPr>
                  <pic:blipFill>
                    <a:blip r:embed="rId17"/>
                    <a:stretch>
                      <a:fillRect/>
                    </a:stretch>
                  </pic:blipFill>
                  <pic:spPr>
                    <a:xfrm>
                      <a:off x="0" y="0"/>
                      <a:ext cx="5303520" cy="3457957"/>
                    </a:xfrm>
                    <a:prstGeom prst="rect"/>
                  </pic:spPr>
                </pic:pic>
              </a:graphicData>
            </a:graphic>
          </wp:inline>
        </w:drawing>
      </w:r>
    </w:p>
    <w:p>
      <w:pPr>
        <w:pStyle w:val="Caption"/>
        <w:keepNext w:val="0"/>
        <w:spacing w:before="60" w:after="140"/>
        <w:jc w:val="center"/>
      </w:pPr>
      <w:r>
        <w:rPr>
          <w:rFonts w:ascii="Microsoft YaHei" w:hAnsi="Microsoft YaHei" w:eastAsia="Microsoft YaHei"/>
          <w:color w:val="666666"/>
          <w:sz w:val="18"/>
        </w:rPr>
        <w:t>图7  三位患者六个月痰湿积分变化</w:t>
      </w:r>
    </w:p>
    <w:p>
      <w:pPr>
        <w:keepLines w:val="0"/>
      </w:pPr>
      <w:r>
        <w:rPr>
          <w:rFonts w:ascii="Microsoft YaHei" w:hAnsi="Microsoft YaHei" w:eastAsia="Microsoft YaHei"/>
          <w:sz w:val="22"/>
        </w:rPr>
        <w:t>样本1活动总分38，只允许1级强度，最终由64分降至48.5分；样本2活动总分40，可用2级强度，在1240元成本下由58分降至37分；样本3活动总分63且年龄组1，可耐受3级强度，由59分降至33分。三个ε-约束选择点均位于对应成本—积分降幅Pareto前沿。</w:t>
      </w:r>
    </w:p>
    <w:p>
      <w:pPr>
        <w:keepNext/>
        <w:spacing w:before="80" w:after="0"/>
        <w:jc w:val="center"/>
      </w:pPr>
      <w:r>
        <w:drawing>
          <wp:inline xmlns:a="http://schemas.openxmlformats.org/drawingml/2006/main" xmlns:pic="http://schemas.openxmlformats.org/drawingml/2006/picture">
            <wp:extent cx="5303520" cy="3460734"/>
            <wp:docPr id="8" name="Picture 8"/>
            <wp:cNvGraphicFramePr>
              <a:graphicFrameLocks noChangeAspect="1"/>
            </wp:cNvGraphicFramePr>
            <a:graphic>
              <a:graphicData uri="http://schemas.openxmlformats.org/drawingml/2006/picture">
                <pic:pic>
                  <pic:nvPicPr>
                    <pic:cNvPr id="0" name="问题3_成本效果对比.png"/>
                    <pic:cNvPicPr/>
                  </pic:nvPicPr>
                  <pic:blipFill>
                    <a:blip r:embed="rId18"/>
                    <a:stretch>
                      <a:fillRect/>
                    </a:stretch>
                  </pic:blipFill>
                  <pic:spPr>
                    <a:xfrm>
                      <a:off x="0" y="0"/>
                      <a:ext cx="5303520" cy="3460734"/>
                    </a:xfrm>
                    <a:prstGeom prst="rect"/>
                  </pic:spPr>
                </pic:pic>
              </a:graphicData>
            </a:graphic>
          </wp:inline>
        </w:drawing>
      </w:r>
    </w:p>
    <w:p>
      <w:pPr>
        <w:pStyle w:val="Caption"/>
        <w:keepNext w:val="0"/>
        <w:spacing w:before="60" w:after="140"/>
        <w:jc w:val="center"/>
      </w:pPr>
      <w:r>
        <w:rPr>
          <w:rFonts w:ascii="Microsoft YaHei" w:hAnsi="Microsoft YaHei" w:eastAsia="Microsoft YaHei"/>
          <w:color w:val="666666"/>
          <w:sz w:val="18"/>
        </w:rPr>
        <w:t>图8  三位患者推荐方案成本与效果对比</w:t>
      </w:r>
    </w:p>
    <w:p>
      <w:pPr>
        <w:jc w:val="center"/>
      </w:pPr>
      <w:r>
        <w:drawing>
          <wp:inline xmlns:a="http://schemas.openxmlformats.org/drawingml/2006/main" xmlns:pic="http://schemas.openxmlformats.org/drawingml/2006/picture">
            <wp:extent cx="5623560" cy="3715994"/>
            <wp:docPr id="9" name="Picture 9"/>
            <wp:cNvGraphicFramePr>
              <a:graphicFrameLocks noChangeAspect="1"/>
            </wp:cNvGraphicFramePr>
            <a:graphic>
              <a:graphicData uri="http://schemas.openxmlformats.org/drawingml/2006/picture">
                <pic:pic>
                  <pic:nvPicPr>
                    <pic:cNvPr id="0" name="_word_pareto.png"/>
                    <pic:cNvPicPr/>
                  </pic:nvPicPr>
                  <pic:blipFill>
                    <a:blip r:embed="rId19"/>
                    <a:stretch>
                      <a:fillRect/>
                    </a:stretch>
                  </pic:blipFill>
                  <pic:spPr>
                    <a:xfrm>
                      <a:off x="0" y="0"/>
                      <a:ext cx="5623560" cy="3715994"/>
                    </a:xfrm>
                    <a:prstGeom prst="rect"/>
                  </pic:spPr>
                </pic:pic>
              </a:graphicData>
            </a:graphic>
          </wp:inline>
        </w:drawing>
      </w:r>
    </w:p>
    <w:p>
      <w:pPr>
        <w:pStyle w:val="Caption"/>
        <w:jc w:val="center"/>
      </w:pPr>
      <w:r>
        <w:t>图9  三位患者成本—痰湿积分降幅Pareto前沿与ε-约束选择点</w:t>
      </w:r>
    </w:p>
    <w:p>
      <w:pPr>
        <w:pStyle w:val="Heading2"/>
      </w:pPr>
      <w:r>
        <w:t>6.5 患者特征—最优方案匹配规律</w:t>
      </w:r>
    </w:p>
    <w:tbl>
      <w:tblPr>
        <w:tblStyle w:val="TableGrid"/>
        <w:tblW w:type="dxa" w:w="9070"/>
        <w:jc w:val="left"/>
        <w:tblLayout w:type="fixed"/>
        <w:tblLook w:firstColumn="1" w:firstRow="1" w:lastColumn="0" w:lastRow="0" w:noHBand="0" w:noVBand="1" w:val="04A0"/>
        <w:tblInd w:w="120" w:type="dxa"/>
      </w:tblPr>
      <w:tblGrid>
        <w:gridCol w:w="1900"/>
        <w:gridCol w:w="950"/>
        <w:gridCol w:w="850"/>
        <w:gridCol w:w="1600"/>
        <w:gridCol w:w="1300"/>
        <w:gridCol w:w="1200"/>
        <w:gridCol w:w="1270"/>
      </w:tblGrid>
      <w:tr>
        <w:trPr>
          <w:tblHeader w:val="true"/>
          <w:cantSplit/>
        </w:trPr>
        <w:tc>
          <w:tcPr>
            <w:tcW w:type="dxa" w:w="1900"/>
            <w:vAlign w:val="center"/>
            <w:shd w:fill="E8EEF5"/>
            <w:tcMar>
              <w:top w:w="80" w:type="dxa"/>
              <w:start w:w="120" w:type="dxa"/>
              <w:bottom w:w="80" w:type="dxa"/>
              <w:end w:w="120" w:type="dxa"/>
            </w:tcMar>
          </w:tcPr>
          <w:p>
            <w:pPr>
              <w:spacing w:before="0" w:after="0" w:line="259" w:lineRule="auto"/>
              <w:jc w:val="center"/>
            </w:pPr>
            <w:r/>
            <w:r>
              <w:rPr>
                <w:rFonts w:ascii="Microsoft YaHei" w:hAnsi="Microsoft YaHei" w:eastAsia="Microsoft YaHei"/>
                <w:b/>
                <w:color w:val="17365D"/>
                <w:sz w:val="16"/>
              </w:rPr>
              <w:t>初始分层</w:t>
            </w:r>
          </w:p>
        </w:tc>
        <w:tc>
          <w:tcPr>
            <w:tcW w:type="dxa" w:w="950"/>
            <w:vAlign w:val="center"/>
            <w:shd w:fill="E8EEF5"/>
            <w:tcMar>
              <w:top w:w="80" w:type="dxa"/>
              <w:start w:w="120" w:type="dxa"/>
              <w:bottom w:w="80" w:type="dxa"/>
              <w:end w:w="120" w:type="dxa"/>
            </w:tcMar>
          </w:tcPr>
          <w:p>
            <w:pPr>
              <w:spacing w:before="0" w:after="0" w:line="259" w:lineRule="auto"/>
              <w:jc w:val="center"/>
            </w:pPr>
            <w:r/>
            <w:r>
              <w:rPr>
                <w:rFonts w:ascii="Microsoft YaHei" w:hAnsi="Microsoft YaHei" w:eastAsia="Microsoft YaHei"/>
                <w:b/>
                <w:color w:val="17365D"/>
                <w:sz w:val="16"/>
              </w:rPr>
              <w:t>耐受上限</w:t>
            </w:r>
          </w:p>
        </w:tc>
        <w:tc>
          <w:tcPr>
            <w:tcW w:type="dxa" w:w="850"/>
            <w:vAlign w:val="center"/>
            <w:shd w:fill="E8EEF5"/>
            <w:tcMar>
              <w:top w:w="80" w:type="dxa"/>
              <w:start w:w="120" w:type="dxa"/>
              <w:bottom w:w="80" w:type="dxa"/>
              <w:end w:w="120" w:type="dxa"/>
            </w:tcMar>
          </w:tcPr>
          <w:p>
            <w:pPr>
              <w:spacing w:before="0" w:after="0" w:line="259" w:lineRule="auto"/>
              <w:jc w:val="center"/>
            </w:pPr>
            <w:r/>
            <w:r>
              <w:rPr>
                <w:rFonts w:ascii="Microsoft YaHei" w:hAnsi="Microsoft YaHei" w:eastAsia="Microsoft YaHei"/>
                <w:b/>
                <w:color w:val="17365D"/>
                <w:sz w:val="16"/>
              </w:rPr>
              <w:t>人数</w:t>
            </w:r>
          </w:p>
        </w:tc>
        <w:tc>
          <w:tcPr>
            <w:tcW w:type="dxa" w:w="1600"/>
            <w:vAlign w:val="center"/>
            <w:shd w:fill="E8EEF5"/>
            <w:tcMar>
              <w:top w:w="80" w:type="dxa"/>
              <w:start w:w="120" w:type="dxa"/>
              <w:bottom w:w="80" w:type="dxa"/>
              <w:end w:w="120" w:type="dxa"/>
            </w:tcMar>
          </w:tcPr>
          <w:p>
            <w:pPr>
              <w:spacing w:before="0" w:after="0" w:line="259" w:lineRule="auto"/>
              <w:jc w:val="center"/>
            </w:pPr>
            <w:r/>
            <w:r>
              <w:rPr>
                <w:rFonts w:ascii="Microsoft YaHei" w:hAnsi="Microsoft YaHei" w:eastAsia="Microsoft YaHei"/>
                <w:b/>
                <w:color w:val="17365D"/>
                <w:sz w:val="16"/>
              </w:rPr>
              <w:t>典型首月方案</w:t>
            </w:r>
          </w:p>
        </w:tc>
        <w:tc>
          <w:tcPr>
            <w:tcW w:type="dxa" w:w="1300"/>
            <w:vAlign w:val="center"/>
            <w:shd w:fill="E8EEF5"/>
            <w:tcMar>
              <w:top w:w="80" w:type="dxa"/>
              <w:start w:w="120" w:type="dxa"/>
              <w:bottom w:w="80" w:type="dxa"/>
              <w:end w:w="120" w:type="dxa"/>
            </w:tcMar>
          </w:tcPr>
          <w:p>
            <w:pPr>
              <w:spacing w:before="0" w:after="0" w:line="259" w:lineRule="auto"/>
              <w:jc w:val="center"/>
            </w:pPr>
            <w:r/>
            <w:r>
              <w:rPr>
                <w:rFonts w:ascii="Microsoft YaHei" w:hAnsi="Microsoft YaHei" w:eastAsia="Microsoft YaHei"/>
                <w:b/>
                <w:color w:val="17365D"/>
                <w:sz w:val="16"/>
              </w:rPr>
              <w:t>成本中位数</w:t>
            </w:r>
          </w:p>
        </w:tc>
        <w:tc>
          <w:tcPr>
            <w:tcW w:type="dxa" w:w="1200"/>
            <w:vAlign w:val="center"/>
            <w:shd w:fill="E8EEF5"/>
            <w:tcMar>
              <w:top w:w="80" w:type="dxa"/>
              <w:start w:w="120" w:type="dxa"/>
              <w:bottom w:w="80" w:type="dxa"/>
              <w:end w:w="120" w:type="dxa"/>
            </w:tcMar>
          </w:tcPr>
          <w:p>
            <w:pPr>
              <w:spacing w:before="0" w:after="0" w:line="259" w:lineRule="auto"/>
              <w:jc w:val="center"/>
            </w:pPr>
            <w:r/>
            <w:r>
              <w:rPr>
                <w:rFonts w:ascii="Microsoft YaHei" w:hAnsi="Microsoft YaHei" w:eastAsia="Microsoft YaHei"/>
                <w:b/>
                <w:color w:val="17365D"/>
                <w:sz w:val="16"/>
              </w:rPr>
              <w:t>降分中位数</w:t>
            </w:r>
          </w:p>
        </w:tc>
        <w:tc>
          <w:tcPr>
            <w:tcW w:type="dxa" w:w="1270"/>
            <w:vAlign w:val="center"/>
            <w:shd w:fill="E8EEF5"/>
            <w:tcMar>
              <w:top w:w="80" w:type="dxa"/>
              <w:start w:w="120" w:type="dxa"/>
              <w:bottom w:w="80" w:type="dxa"/>
              <w:end w:w="120" w:type="dxa"/>
            </w:tcMar>
          </w:tcPr>
          <w:p>
            <w:pPr>
              <w:spacing w:before="0" w:after="0" w:line="259" w:lineRule="auto"/>
              <w:jc w:val="center"/>
            </w:pPr>
            <w:r/>
            <w:r>
              <w:rPr>
                <w:rFonts w:ascii="Microsoft YaHei" w:hAnsi="Microsoft YaHei" w:eastAsia="Microsoft YaHei"/>
                <w:b/>
                <w:color w:val="17365D"/>
                <w:sz w:val="16"/>
              </w:rPr>
              <w:t>效果保留率</w:t>
            </w:r>
          </w:p>
        </w:tc>
      </w:tr>
      <w:tr>
        <w:trPr>
          <w:cantSplit/>
        </w:trPr>
        <w:tc>
          <w:tcPr>
            <w:tcW w:type="dxa" w:w="190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6"/>
              </w:rPr>
              <w:t>中度调理(59-61)</w:t>
            </w:r>
          </w:p>
        </w:tc>
        <w:tc>
          <w:tcPr>
            <w:tcW w:type="dxa" w:w="9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w:t>
            </w:r>
          </w:p>
        </w:tc>
        <w:tc>
          <w:tcPr>
            <w:tcW w:type="dxa" w:w="8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30</w:t>
            </w:r>
          </w:p>
        </w:tc>
        <w:tc>
          <w:tcPr>
            <w:tcW w:type="dxa" w:w="16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1级/10次</w:t>
            </w:r>
          </w:p>
        </w:tc>
        <w:tc>
          <w:tcPr>
            <w:tcW w:type="dxa" w:w="13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914</w:t>
            </w:r>
          </w:p>
        </w:tc>
        <w:tc>
          <w:tcPr>
            <w:tcW w:type="dxa" w:w="12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14.5</w:t>
            </w:r>
          </w:p>
        </w:tc>
        <w:tc>
          <w:tcPr>
            <w:tcW w:type="dxa" w:w="127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90.6%</w:t>
            </w:r>
          </w:p>
        </w:tc>
      </w:tr>
      <w:tr>
        <w:trPr>
          <w:cantSplit/>
        </w:trPr>
        <w:tc>
          <w:tcPr>
            <w:tcW w:type="dxa" w:w="190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6"/>
              </w:rPr>
              <w:t>基础调理(≤58)</w:t>
            </w:r>
          </w:p>
        </w:tc>
        <w:tc>
          <w:tcPr>
            <w:tcW w:type="dxa" w:w="9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w:t>
            </w:r>
          </w:p>
        </w:tc>
        <w:tc>
          <w:tcPr>
            <w:tcW w:type="dxa" w:w="8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29</w:t>
            </w:r>
          </w:p>
        </w:tc>
        <w:tc>
          <w:tcPr>
            <w:tcW w:type="dxa" w:w="16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1级/10次</w:t>
            </w:r>
          </w:p>
        </w:tc>
        <w:tc>
          <w:tcPr>
            <w:tcW w:type="dxa" w:w="13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852</w:t>
            </w:r>
          </w:p>
        </w:tc>
        <w:tc>
          <w:tcPr>
            <w:tcW w:type="dxa" w:w="12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13.5</w:t>
            </w:r>
          </w:p>
        </w:tc>
        <w:tc>
          <w:tcPr>
            <w:tcW w:type="dxa" w:w="127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90.3%</w:t>
            </w:r>
          </w:p>
        </w:tc>
      </w:tr>
      <w:tr>
        <w:trPr>
          <w:cantSplit/>
        </w:trPr>
        <w:tc>
          <w:tcPr>
            <w:tcW w:type="dxa" w:w="190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6"/>
              </w:rPr>
              <w:t>强化调理(≥62)</w:t>
            </w:r>
          </w:p>
        </w:tc>
        <w:tc>
          <w:tcPr>
            <w:tcW w:type="dxa" w:w="9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w:t>
            </w:r>
          </w:p>
        </w:tc>
        <w:tc>
          <w:tcPr>
            <w:tcW w:type="dxa" w:w="8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33</w:t>
            </w:r>
          </w:p>
        </w:tc>
        <w:tc>
          <w:tcPr>
            <w:tcW w:type="dxa" w:w="16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1级/10次</w:t>
            </w:r>
          </w:p>
        </w:tc>
        <w:tc>
          <w:tcPr>
            <w:tcW w:type="dxa" w:w="13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1002</w:t>
            </w:r>
          </w:p>
        </w:tc>
        <w:tc>
          <w:tcPr>
            <w:tcW w:type="dxa" w:w="12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15.0</w:t>
            </w:r>
          </w:p>
        </w:tc>
        <w:tc>
          <w:tcPr>
            <w:tcW w:type="dxa" w:w="127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90.9%</w:t>
            </w:r>
          </w:p>
        </w:tc>
      </w:tr>
      <w:tr>
        <w:trPr>
          <w:cantSplit/>
        </w:trPr>
        <w:tc>
          <w:tcPr>
            <w:tcW w:type="dxa" w:w="190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6"/>
              </w:rPr>
              <w:t>中度调理(59-61)</w:t>
            </w:r>
          </w:p>
        </w:tc>
        <w:tc>
          <w:tcPr>
            <w:tcW w:type="dxa" w:w="9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2</w:t>
            </w:r>
          </w:p>
        </w:tc>
        <w:tc>
          <w:tcPr>
            <w:tcW w:type="dxa" w:w="8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55</w:t>
            </w:r>
          </w:p>
        </w:tc>
        <w:tc>
          <w:tcPr>
            <w:tcW w:type="dxa" w:w="16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2级/9次</w:t>
            </w:r>
          </w:p>
        </w:tc>
        <w:tc>
          <w:tcPr>
            <w:tcW w:type="dxa" w:w="13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1258</w:t>
            </w:r>
          </w:p>
        </w:tc>
        <w:tc>
          <w:tcPr>
            <w:tcW w:type="dxa" w:w="12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21.5</w:t>
            </w:r>
          </w:p>
        </w:tc>
        <w:tc>
          <w:tcPr>
            <w:tcW w:type="dxa" w:w="127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91.5%</w:t>
            </w:r>
          </w:p>
        </w:tc>
      </w:tr>
      <w:tr>
        <w:trPr>
          <w:cantSplit/>
        </w:trPr>
        <w:tc>
          <w:tcPr>
            <w:tcW w:type="dxa" w:w="190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6"/>
              </w:rPr>
              <w:t>基础调理(≤58)</w:t>
            </w:r>
          </w:p>
        </w:tc>
        <w:tc>
          <w:tcPr>
            <w:tcW w:type="dxa" w:w="9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2</w:t>
            </w:r>
          </w:p>
        </w:tc>
        <w:tc>
          <w:tcPr>
            <w:tcW w:type="dxa" w:w="8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64</w:t>
            </w:r>
          </w:p>
        </w:tc>
        <w:tc>
          <w:tcPr>
            <w:tcW w:type="dxa" w:w="16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2级/10次</w:t>
            </w:r>
          </w:p>
        </w:tc>
        <w:tc>
          <w:tcPr>
            <w:tcW w:type="dxa" w:w="13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1220</w:t>
            </w:r>
          </w:p>
        </w:tc>
        <w:tc>
          <w:tcPr>
            <w:tcW w:type="dxa" w:w="12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20.5</w:t>
            </w:r>
          </w:p>
        </w:tc>
        <w:tc>
          <w:tcPr>
            <w:tcW w:type="dxa" w:w="127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91.1%</w:t>
            </w:r>
          </w:p>
        </w:tc>
      </w:tr>
      <w:tr>
        <w:trPr>
          <w:cantSplit/>
        </w:trPr>
        <w:tc>
          <w:tcPr>
            <w:tcW w:type="dxa" w:w="190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6"/>
              </w:rPr>
              <w:t>强化调理(≥62)</w:t>
            </w:r>
          </w:p>
        </w:tc>
        <w:tc>
          <w:tcPr>
            <w:tcW w:type="dxa" w:w="9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2</w:t>
            </w:r>
          </w:p>
        </w:tc>
        <w:tc>
          <w:tcPr>
            <w:tcW w:type="dxa" w:w="8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52</w:t>
            </w:r>
          </w:p>
        </w:tc>
        <w:tc>
          <w:tcPr>
            <w:tcW w:type="dxa" w:w="16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2级/10次</w:t>
            </w:r>
          </w:p>
        </w:tc>
        <w:tc>
          <w:tcPr>
            <w:tcW w:type="dxa" w:w="13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1320</w:t>
            </w:r>
          </w:p>
        </w:tc>
        <w:tc>
          <w:tcPr>
            <w:tcW w:type="dxa" w:w="12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22.5</w:t>
            </w:r>
          </w:p>
        </w:tc>
        <w:tc>
          <w:tcPr>
            <w:tcW w:type="dxa" w:w="127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90.0%</w:t>
            </w:r>
          </w:p>
        </w:tc>
      </w:tr>
      <w:tr>
        <w:trPr>
          <w:cantSplit/>
        </w:trPr>
        <w:tc>
          <w:tcPr>
            <w:tcW w:type="dxa" w:w="190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6"/>
              </w:rPr>
              <w:t>中度调理(59-61)</w:t>
            </w:r>
          </w:p>
        </w:tc>
        <w:tc>
          <w:tcPr>
            <w:tcW w:type="dxa" w:w="9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3</w:t>
            </w:r>
          </w:p>
        </w:tc>
        <w:tc>
          <w:tcPr>
            <w:tcW w:type="dxa" w:w="8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3</w:t>
            </w:r>
          </w:p>
        </w:tc>
        <w:tc>
          <w:tcPr>
            <w:tcW w:type="dxa" w:w="16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3级/10次</w:t>
            </w:r>
          </w:p>
        </w:tc>
        <w:tc>
          <w:tcPr>
            <w:tcW w:type="dxa" w:w="13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1702</w:t>
            </w:r>
          </w:p>
        </w:tc>
        <w:tc>
          <w:tcPr>
            <w:tcW w:type="dxa" w:w="12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27.0</w:t>
            </w:r>
          </w:p>
        </w:tc>
        <w:tc>
          <w:tcPr>
            <w:tcW w:type="dxa" w:w="127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91.5%</w:t>
            </w:r>
          </w:p>
        </w:tc>
      </w:tr>
      <w:tr>
        <w:trPr>
          <w:cantSplit/>
        </w:trPr>
        <w:tc>
          <w:tcPr>
            <w:tcW w:type="dxa" w:w="190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6"/>
              </w:rPr>
              <w:t>基础调理(≤58)</w:t>
            </w:r>
          </w:p>
        </w:tc>
        <w:tc>
          <w:tcPr>
            <w:tcW w:type="dxa" w:w="9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3</w:t>
            </w:r>
          </w:p>
        </w:tc>
        <w:tc>
          <w:tcPr>
            <w:tcW w:type="dxa" w:w="8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7</w:t>
            </w:r>
          </w:p>
        </w:tc>
        <w:tc>
          <w:tcPr>
            <w:tcW w:type="dxa" w:w="16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3级/10次</w:t>
            </w:r>
          </w:p>
        </w:tc>
        <w:tc>
          <w:tcPr>
            <w:tcW w:type="dxa" w:w="13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1644</w:t>
            </w:r>
          </w:p>
        </w:tc>
        <w:tc>
          <w:tcPr>
            <w:tcW w:type="dxa" w:w="12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25.5</w:t>
            </w:r>
          </w:p>
        </w:tc>
        <w:tc>
          <w:tcPr>
            <w:tcW w:type="dxa" w:w="127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91.1%</w:t>
            </w:r>
          </w:p>
        </w:tc>
      </w:tr>
      <w:tr>
        <w:trPr>
          <w:cantSplit/>
        </w:trPr>
        <w:tc>
          <w:tcPr>
            <w:tcW w:type="dxa" w:w="190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6"/>
              </w:rPr>
              <w:t>强化调理(≥62)</w:t>
            </w:r>
          </w:p>
        </w:tc>
        <w:tc>
          <w:tcPr>
            <w:tcW w:type="dxa" w:w="9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3</w:t>
            </w:r>
          </w:p>
        </w:tc>
        <w:tc>
          <w:tcPr>
            <w:tcW w:type="dxa" w:w="8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5</w:t>
            </w:r>
          </w:p>
        </w:tc>
        <w:tc>
          <w:tcPr>
            <w:tcW w:type="dxa" w:w="16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2级/10次</w:t>
            </w:r>
          </w:p>
        </w:tc>
        <w:tc>
          <w:tcPr>
            <w:tcW w:type="dxa" w:w="13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1688</w:t>
            </w:r>
          </w:p>
        </w:tc>
        <w:tc>
          <w:tcPr>
            <w:tcW w:type="dxa" w:w="12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27.0</w:t>
            </w:r>
          </w:p>
        </w:tc>
        <w:tc>
          <w:tcPr>
            <w:tcW w:type="dxa" w:w="127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91.5%</w:t>
            </w:r>
          </w:p>
        </w:tc>
      </w:tr>
    </w:tbl>
    <w:p>
      <w:pPr>
        <w:spacing w:after="40"/>
      </w:pPr>
    </w:p>
    <w:p>
      <w:pPr>
        <w:spacing w:before="40" w:after="120"/>
      </w:pPr>
      <w:r>
        <w:rPr>
          <w:rFonts w:ascii="Microsoft YaHei" w:hAnsi="Microsoft YaHei" w:eastAsia="Microsoft YaHei"/>
          <w:i/>
          <w:color w:val="666666"/>
          <w:sz w:val="16"/>
        </w:rPr>
        <w:t>表7  全部278名痰湿质患者的分层匹配规律。典型首月方案取组内众数。</w:t>
      </w:r>
    </w:p>
    <w:p>
      <w:pPr>
        <w:keepLines w:val="0"/>
      </w:pPr>
      <w:r>
        <w:rPr>
          <w:rFonts w:ascii="Microsoft YaHei" w:hAnsi="Microsoft YaHei" w:eastAsia="Microsoft YaHei"/>
          <w:sz w:val="22"/>
        </w:rPr>
        <w:t>匹配规律表明，最大允许强度是首月活动方案和成本效果的主要分层变量：耐受上限1级者典型方案为1级、每周10次；上限2级者多采用2级、每周9–10次；上限3级者优先使用高强度，但强化调理组可能为节约成本在部分月份回落至2级。初始痰湿分层主要影响调理成本，而耐受上限主要决定可实现的降幅。</w:t>
      </w:r>
    </w:p>
    <w:p>
      <w:pPr>
        <w:pStyle w:val="Heading1"/>
      </w:pPr>
      <w:r>
        <w:t>7 敏感性与一致性检验</w:t>
      </w:r>
    </w:p>
    <w:p>
      <w:pPr>
        <w:pStyle w:val="Heading2"/>
      </w:pPr>
      <w:r>
        <w:t>7.1 问题二阈值与CART代理稳定性</w:t>
      </w:r>
    </w:p>
    <w:p>
      <w:pPr>
        <w:keepLines w:val="0"/>
      </w:pPr>
      <w:r>
        <w:rPr>
          <w:rFonts w:ascii="Microsoft YaHei" w:hAnsi="Microsoft YaHei" w:eastAsia="Microsoft YaHei"/>
          <w:sz w:val="22"/>
        </w:rPr>
        <w:t>三级切点只在700例训练样本的折外概率上搜索，低、中、高层人数为280、107、313，观察异常率依次为54.3%、86.9%、99.0%。独立测试集不参与切点优化。CART在深度2—4、最小叶节点比例5%/10%的网格内以宏平均F1和一致率选择。</w:t>
      </w:r>
    </w:p>
    <w:tbl>
      <w:tblPr>
        <w:tblStyle w:val="TableGrid"/>
        <w:tblW w:type="dxa" w:w="9070"/>
        <w:jc w:val="left"/>
        <w:tblLayout w:type="fixed"/>
        <w:tblLook w:firstColumn="1" w:firstRow="1" w:lastColumn="0" w:lastRow="0" w:noHBand="0" w:noVBand="1" w:val="04A0"/>
        <w:tblInd w:w="120" w:type="dxa"/>
      </w:tblPr>
      <w:tblGrid>
        <w:gridCol w:w="1700"/>
        <w:gridCol w:w="1900"/>
        <w:gridCol w:w="2400"/>
        <w:gridCol w:w="3070"/>
      </w:tblGrid>
      <w:tr>
        <w:trPr>
          <w:tblHeader w:val="true"/>
          <w:cantSplit/>
        </w:trPr>
        <w:tc>
          <w:tcPr>
            <w:tcW w:type="dxa" w:w="1700"/>
            <w:vAlign w:val="center"/>
            <w:shd w:fill="E8EEF5"/>
            <w:tcMar>
              <w:top w:w="80" w:type="dxa"/>
              <w:start w:w="120" w:type="dxa"/>
              <w:bottom w:w="80" w:type="dxa"/>
              <w:end w:w="120" w:type="dxa"/>
            </w:tcMar>
          </w:tcPr>
          <w:p>
            <w:pPr>
              <w:spacing w:before="0" w:after="0"/>
            </w:pPr>
            <w:r>
              <w:rPr>
                <w:rFonts w:ascii="Microsoft YaHei" w:hAnsi="Microsoft YaHei" w:eastAsia="Microsoft YaHei"/>
                <w:b/>
                <w:sz w:val="15"/>
              </w:rPr>
              <w:t>CART叶节点规则</w:t>
            </w:r>
          </w:p>
        </w:tc>
        <w:tc>
          <w:tcPr>
            <w:tcW w:type="dxa" w:w="1900"/>
            <w:vAlign w:val="center"/>
            <w:shd w:fill="E8EEF5"/>
            <w:tcMar>
              <w:top w:w="80" w:type="dxa"/>
              <w:start w:w="120" w:type="dxa"/>
              <w:bottom w:w="80" w:type="dxa"/>
              <w:end w:w="120" w:type="dxa"/>
            </w:tcMar>
          </w:tcPr>
          <w:p>
            <w:pPr>
              <w:spacing w:before="0" w:after="0"/>
            </w:pPr>
            <w:r>
              <w:rPr>
                <w:rFonts w:ascii="Microsoft YaHei" w:hAnsi="Microsoft YaHei" w:eastAsia="Microsoft YaHei"/>
                <w:b/>
                <w:sz w:val="15"/>
              </w:rPr>
              <w:t>代理等级</w:t>
            </w:r>
          </w:p>
        </w:tc>
        <w:tc>
          <w:tcPr>
            <w:tcW w:type="dxa" w:w="2400"/>
            <w:vAlign w:val="center"/>
            <w:shd w:fill="E8EEF5"/>
            <w:tcMar>
              <w:top w:w="80" w:type="dxa"/>
              <w:start w:w="120" w:type="dxa"/>
              <w:bottom w:w="80" w:type="dxa"/>
              <w:end w:w="120" w:type="dxa"/>
            </w:tcMar>
          </w:tcPr>
          <w:p>
            <w:pPr>
              <w:spacing w:before="0" w:after="0"/>
            </w:pPr>
            <w:r>
              <w:rPr>
                <w:rFonts w:ascii="Microsoft YaHei" w:hAnsi="Microsoft YaHei" w:eastAsia="Microsoft YaHei"/>
                <w:b/>
                <w:sz w:val="15"/>
              </w:rPr>
              <w:t>训练样本数</w:t>
            </w:r>
          </w:p>
        </w:tc>
        <w:tc>
          <w:tcPr>
            <w:tcW w:type="dxa" w:w="3070"/>
            <w:vAlign w:val="center"/>
            <w:shd w:fill="E8EEF5"/>
            <w:tcMar>
              <w:top w:w="80" w:type="dxa"/>
              <w:start w:w="120" w:type="dxa"/>
              <w:bottom w:w="80" w:type="dxa"/>
              <w:end w:w="120" w:type="dxa"/>
            </w:tcMar>
          </w:tcPr>
          <w:p>
            <w:pPr>
              <w:spacing w:before="0" w:after="0"/>
            </w:pPr>
            <w:r>
              <w:rPr>
                <w:rFonts w:ascii="Microsoft YaHei" w:hAnsi="Microsoft YaHei" w:eastAsia="Microsoft YaHei"/>
                <w:b/>
                <w:sz w:val="15"/>
              </w:rPr>
              <w:t>训练异常率</w:t>
            </w:r>
          </w:p>
        </w:tc>
      </w:tr>
      <w:tr>
        <w:trPr>
          <w:cantSplit/>
        </w:trPr>
        <w:tc>
          <w:tcPr>
            <w:tcW w:type="dxa" w:w="1700"/>
            <w:vAlign w:val="center"/>
            <w:tcMar>
              <w:top w:w="80" w:type="dxa"/>
              <w:start w:w="120" w:type="dxa"/>
              <w:bottom w:w="80" w:type="dxa"/>
              <w:end w:w="120" w:type="dxa"/>
            </w:tcMar>
          </w:tcPr>
          <w:p>
            <w:pPr>
              <w:spacing w:before="0" w:after="0"/>
            </w:pPr>
            <w:r>
              <w:rPr>
                <w:rFonts w:ascii="Microsoft YaHei" w:hAnsi="Microsoft YaHei" w:eastAsia="Microsoft YaHei"/>
                <w:b w:val="0"/>
                <w:sz w:val="14"/>
              </w:rPr>
              <w:t>血尿酸≤424.500 且 血尿酸≤167.500 → 叶节点3</w:t>
            </w:r>
          </w:p>
        </w:tc>
        <w:tc>
          <w:tcPr>
            <w:tcW w:type="dxa" w:w="1900"/>
            <w:vAlign w:val="center"/>
            <w:tcMar>
              <w:top w:w="80" w:type="dxa"/>
              <w:start w:w="120" w:type="dxa"/>
              <w:bottom w:w="80" w:type="dxa"/>
              <w:end w:w="120" w:type="dxa"/>
            </w:tcMar>
          </w:tcPr>
          <w:p>
            <w:pPr>
              <w:spacing w:before="0" w:after="0"/>
            </w:pPr>
            <w:r>
              <w:rPr>
                <w:rFonts w:ascii="Microsoft YaHei" w:hAnsi="Microsoft YaHei" w:eastAsia="Microsoft YaHei"/>
                <w:b w:val="0"/>
                <w:sz w:val="14"/>
              </w:rPr>
              <w:t>中危</w:t>
            </w:r>
          </w:p>
        </w:tc>
        <w:tc>
          <w:tcPr>
            <w:tcW w:type="dxa" w:w="2400"/>
            <w:vAlign w:val="center"/>
            <w:tcMar>
              <w:top w:w="80" w:type="dxa"/>
              <w:start w:w="120" w:type="dxa"/>
              <w:bottom w:w="80" w:type="dxa"/>
              <w:end w:w="120" w:type="dxa"/>
            </w:tcMar>
          </w:tcPr>
          <w:p>
            <w:pPr>
              <w:spacing w:before="0" w:after="0"/>
            </w:pPr>
            <w:r>
              <w:rPr>
                <w:rFonts w:ascii="Microsoft YaHei" w:hAnsi="Microsoft YaHei" w:eastAsia="Microsoft YaHei"/>
                <w:b w:val="0"/>
                <w:sz w:val="14"/>
              </w:rPr>
              <w:t>121</w:t>
            </w:r>
          </w:p>
        </w:tc>
        <w:tc>
          <w:tcPr>
            <w:tcW w:type="dxa" w:w="3070"/>
            <w:vAlign w:val="center"/>
            <w:tcMar>
              <w:top w:w="80" w:type="dxa"/>
              <w:start w:w="120" w:type="dxa"/>
              <w:bottom w:w="80" w:type="dxa"/>
              <w:end w:w="120" w:type="dxa"/>
            </w:tcMar>
          </w:tcPr>
          <w:p>
            <w:pPr>
              <w:spacing w:before="0" w:after="0"/>
            </w:pPr>
            <w:r>
              <w:rPr>
                <w:rFonts w:ascii="Microsoft YaHei" w:hAnsi="Microsoft YaHei" w:eastAsia="Microsoft YaHei"/>
                <w:b w:val="0"/>
                <w:sz w:val="14"/>
              </w:rPr>
              <w:t>96.7%</w:t>
            </w:r>
          </w:p>
        </w:tc>
      </w:tr>
      <w:tr>
        <w:trPr>
          <w:cantSplit/>
        </w:trPr>
        <w:tc>
          <w:tcPr>
            <w:tcW w:type="dxa" w:w="1700"/>
            <w:vAlign w:val="center"/>
            <w:tcMar>
              <w:top w:w="80" w:type="dxa"/>
              <w:start w:w="120" w:type="dxa"/>
              <w:bottom w:w="80" w:type="dxa"/>
              <w:end w:w="120" w:type="dxa"/>
            </w:tcMar>
          </w:tcPr>
          <w:p>
            <w:pPr>
              <w:spacing w:before="0" w:after="0"/>
            </w:pPr>
            <w:r>
              <w:rPr>
                <w:rFonts w:ascii="Microsoft YaHei" w:hAnsi="Microsoft YaHei" w:eastAsia="Microsoft YaHei"/>
                <w:b w:val="0"/>
                <w:sz w:val="14"/>
              </w:rPr>
              <w:t>血尿酸≤424.500 且 血尿酸&gt;167.500 且 血尿酸≤352.500 → 叶节点5</w:t>
            </w:r>
          </w:p>
        </w:tc>
        <w:tc>
          <w:tcPr>
            <w:tcW w:type="dxa" w:w="1900"/>
            <w:vAlign w:val="center"/>
            <w:tcMar>
              <w:top w:w="80" w:type="dxa"/>
              <w:start w:w="120" w:type="dxa"/>
              <w:bottom w:w="80" w:type="dxa"/>
              <w:end w:w="120" w:type="dxa"/>
            </w:tcMar>
          </w:tcPr>
          <w:p>
            <w:pPr>
              <w:spacing w:before="0" w:after="0"/>
            </w:pPr>
            <w:r>
              <w:rPr>
                <w:rFonts w:ascii="Microsoft YaHei" w:hAnsi="Microsoft YaHei" w:eastAsia="Microsoft YaHei"/>
                <w:b w:val="0"/>
                <w:sz w:val="14"/>
              </w:rPr>
              <w:t>低危</w:t>
            </w:r>
          </w:p>
        </w:tc>
        <w:tc>
          <w:tcPr>
            <w:tcW w:type="dxa" w:w="2400"/>
            <w:vAlign w:val="center"/>
            <w:tcMar>
              <w:top w:w="80" w:type="dxa"/>
              <w:start w:w="120" w:type="dxa"/>
              <w:bottom w:w="80" w:type="dxa"/>
              <w:end w:w="120" w:type="dxa"/>
            </w:tcMar>
          </w:tcPr>
          <w:p>
            <w:pPr>
              <w:spacing w:before="0" w:after="0"/>
            </w:pPr>
            <w:r>
              <w:rPr>
                <w:rFonts w:ascii="Microsoft YaHei" w:hAnsi="Microsoft YaHei" w:eastAsia="Microsoft YaHei"/>
                <w:b w:val="0"/>
                <w:sz w:val="14"/>
              </w:rPr>
              <w:t>221</w:t>
            </w:r>
          </w:p>
        </w:tc>
        <w:tc>
          <w:tcPr>
            <w:tcW w:type="dxa" w:w="3070"/>
            <w:vAlign w:val="center"/>
            <w:tcMar>
              <w:top w:w="80" w:type="dxa"/>
              <w:start w:w="120" w:type="dxa"/>
              <w:bottom w:w="80" w:type="dxa"/>
              <w:end w:w="120" w:type="dxa"/>
            </w:tcMar>
          </w:tcPr>
          <w:p>
            <w:pPr>
              <w:spacing w:before="0" w:after="0"/>
            </w:pPr>
            <w:r>
              <w:rPr>
                <w:rFonts w:ascii="Microsoft YaHei" w:hAnsi="Microsoft YaHei" w:eastAsia="Microsoft YaHei"/>
                <w:b w:val="0"/>
                <w:sz w:val="14"/>
              </w:rPr>
              <w:t>48.9%</w:t>
            </w:r>
          </w:p>
        </w:tc>
      </w:tr>
      <w:tr>
        <w:trPr>
          <w:cantSplit/>
        </w:trPr>
        <w:tc>
          <w:tcPr>
            <w:tcW w:type="dxa" w:w="1700"/>
            <w:vAlign w:val="center"/>
            <w:tcMar>
              <w:top w:w="80" w:type="dxa"/>
              <w:start w:w="120" w:type="dxa"/>
              <w:bottom w:w="80" w:type="dxa"/>
              <w:end w:w="120" w:type="dxa"/>
            </w:tcMar>
          </w:tcPr>
          <w:p>
            <w:pPr>
              <w:spacing w:before="0" w:after="0"/>
            </w:pPr>
            <w:r>
              <w:rPr>
                <w:rFonts w:ascii="Microsoft YaHei" w:hAnsi="Microsoft YaHei" w:eastAsia="Microsoft YaHei"/>
                <w:b w:val="0"/>
                <w:sz w:val="14"/>
              </w:rPr>
              <w:t>血尿酸≤424.500 且 血尿酸&gt;167.500 且 血尿酸&gt;352.500 → 叶节点6</w:t>
            </w:r>
          </w:p>
        </w:tc>
        <w:tc>
          <w:tcPr>
            <w:tcW w:type="dxa" w:w="1900"/>
            <w:vAlign w:val="center"/>
            <w:tcMar>
              <w:top w:w="80" w:type="dxa"/>
              <w:start w:w="120" w:type="dxa"/>
              <w:bottom w:w="80" w:type="dxa"/>
              <w:end w:w="120" w:type="dxa"/>
            </w:tcMar>
          </w:tcPr>
          <w:p>
            <w:pPr>
              <w:spacing w:before="0" w:after="0"/>
            </w:pPr>
            <w:r>
              <w:rPr>
                <w:rFonts w:ascii="Microsoft YaHei" w:hAnsi="Microsoft YaHei" w:eastAsia="Microsoft YaHei"/>
                <w:b w:val="0"/>
                <w:sz w:val="14"/>
              </w:rPr>
              <w:t>中危</w:t>
            </w:r>
          </w:p>
        </w:tc>
        <w:tc>
          <w:tcPr>
            <w:tcW w:type="dxa" w:w="2400"/>
            <w:vAlign w:val="center"/>
            <w:tcMar>
              <w:top w:w="80" w:type="dxa"/>
              <w:start w:w="120" w:type="dxa"/>
              <w:bottom w:w="80" w:type="dxa"/>
              <w:end w:w="120" w:type="dxa"/>
            </w:tcMar>
          </w:tcPr>
          <w:p>
            <w:pPr>
              <w:spacing w:before="0" w:after="0"/>
            </w:pPr>
            <w:r>
              <w:rPr>
                <w:rFonts w:ascii="Microsoft YaHei" w:hAnsi="Microsoft YaHei" w:eastAsia="Microsoft YaHei"/>
                <w:b w:val="0"/>
                <w:sz w:val="14"/>
              </w:rPr>
              <w:t>116</w:t>
            </w:r>
          </w:p>
        </w:tc>
        <w:tc>
          <w:tcPr>
            <w:tcW w:type="dxa" w:w="3070"/>
            <w:vAlign w:val="center"/>
            <w:tcMar>
              <w:top w:w="80" w:type="dxa"/>
              <w:start w:w="120" w:type="dxa"/>
              <w:bottom w:w="80" w:type="dxa"/>
              <w:end w:w="120" w:type="dxa"/>
            </w:tcMar>
          </w:tcPr>
          <w:p>
            <w:pPr>
              <w:spacing w:before="0" w:after="0"/>
            </w:pPr>
            <w:r>
              <w:rPr>
                <w:rFonts w:ascii="Microsoft YaHei" w:hAnsi="Microsoft YaHei" w:eastAsia="Microsoft YaHei"/>
                <w:b w:val="0"/>
                <w:sz w:val="14"/>
              </w:rPr>
              <w:t>76.7%</w:t>
            </w:r>
          </w:p>
        </w:tc>
      </w:tr>
      <w:tr>
        <w:tc>
          <w:tcPr>
            <w:tcW w:type="dxa" w:w="1700"/>
            <w:vAlign w:val="center"/>
          </w:tcPr>
          <w:p>
            <w:pPr>
              <w:spacing w:before="0" w:after="0"/>
            </w:pPr>
            <w:r>
              <w:rPr>
                <w:rFonts w:ascii="Microsoft YaHei" w:hAnsi="Microsoft YaHei" w:eastAsia="Microsoft YaHei"/>
                <w:b w:val="0"/>
                <w:sz w:val="14"/>
              </w:rPr>
              <w:t>血尿酸&gt;424.500 且 血糖≤4.368 → 叶节点7</w:t>
            </w:r>
          </w:p>
        </w:tc>
        <w:tc>
          <w:tcPr>
            <w:tcW w:type="dxa" w:w="1900"/>
            <w:vAlign w:val="center"/>
          </w:tcPr>
          <w:p>
            <w:pPr>
              <w:spacing w:before="0" w:after="0"/>
            </w:pPr>
            <w:r>
              <w:rPr>
                <w:rFonts w:ascii="Microsoft YaHei" w:hAnsi="Microsoft YaHei" w:eastAsia="Microsoft YaHei"/>
                <w:b w:val="0"/>
                <w:sz w:val="14"/>
              </w:rPr>
              <w:t>高危</w:t>
            </w:r>
          </w:p>
        </w:tc>
        <w:tc>
          <w:tcPr>
            <w:tcW w:type="dxa" w:w="2400"/>
            <w:vAlign w:val="center"/>
          </w:tcPr>
          <w:p>
            <w:pPr>
              <w:spacing w:before="0" w:after="0"/>
            </w:pPr>
            <w:r>
              <w:rPr>
                <w:rFonts w:ascii="Microsoft YaHei" w:hAnsi="Microsoft YaHei" w:eastAsia="Microsoft YaHei"/>
                <w:b w:val="0"/>
                <w:sz w:val="14"/>
              </w:rPr>
              <w:t>70</w:t>
            </w:r>
          </w:p>
        </w:tc>
        <w:tc>
          <w:tcPr>
            <w:tcW w:type="dxa" w:w="3070"/>
            <w:vAlign w:val="center"/>
          </w:tcPr>
          <w:p>
            <w:pPr>
              <w:spacing w:before="0" w:after="0"/>
            </w:pPr>
            <w:r>
              <w:rPr>
                <w:rFonts w:ascii="Microsoft YaHei" w:hAnsi="Microsoft YaHei" w:eastAsia="Microsoft YaHei"/>
                <w:b w:val="0"/>
                <w:sz w:val="14"/>
              </w:rPr>
              <w:t>98.6%</w:t>
            </w:r>
          </w:p>
        </w:tc>
      </w:tr>
      <w:tr>
        <w:tc>
          <w:tcPr>
            <w:tcW w:type="dxa" w:w="1700"/>
            <w:vAlign w:val="center"/>
          </w:tcPr>
          <w:p>
            <w:pPr>
              <w:spacing w:before="0" w:after="0"/>
            </w:pPr>
            <w:r>
              <w:rPr>
                <w:rFonts w:ascii="Microsoft YaHei" w:hAnsi="Microsoft YaHei" w:eastAsia="Microsoft YaHei"/>
                <w:b w:val="0"/>
                <w:sz w:val="14"/>
              </w:rPr>
              <w:t>血尿酸&gt;424.500 且 血糖&gt;4.368 → 叶节点8</w:t>
            </w:r>
          </w:p>
        </w:tc>
        <w:tc>
          <w:tcPr>
            <w:tcW w:type="dxa" w:w="1900"/>
            <w:vAlign w:val="center"/>
          </w:tcPr>
          <w:p>
            <w:pPr>
              <w:spacing w:before="0" w:after="0"/>
            </w:pPr>
            <w:r>
              <w:rPr>
                <w:rFonts w:ascii="Microsoft YaHei" w:hAnsi="Microsoft YaHei" w:eastAsia="Microsoft YaHei"/>
                <w:b w:val="0"/>
                <w:sz w:val="14"/>
              </w:rPr>
              <w:t>高危</w:t>
            </w:r>
          </w:p>
        </w:tc>
        <w:tc>
          <w:tcPr>
            <w:tcW w:type="dxa" w:w="2400"/>
            <w:vAlign w:val="center"/>
          </w:tcPr>
          <w:p>
            <w:pPr>
              <w:spacing w:before="0" w:after="0"/>
            </w:pPr>
            <w:r>
              <w:rPr>
                <w:rFonts w:ascii="Microsoft YaHei" w:hAnsi="Microsoft YaHei" w:eastAsia="Microsoft YaHei"/>
                <w:b w:val="0"/>
                <w:sz w:val="14"/>
              </w:rPr>
              <w:t>172</w:t>
            </w:r>
          </w:p>
        </w:tc>
        <w:tc>
          <w:tcPr>
            <w:tcW w:type="dxa" w:w="3070"/>
            <w:vAlign w:val="center"/>
          </w:tcPr>
          <w:p>
            <w:pPr>
              <w:spacing w:before="0" w:after="0"/>
            </w:pPr>
            <w:r>
              <w:rPr>
                <w:rFonts w:ascii="Microsoft YaHei" w:hAnsi="Microsoft YaHei" w:eastAsia="Microsoft YaHei"/>
                <w:b w:val="0"/>
                <w:sz w:val="14"/>
              </w:rPr>
              <w:t>100.0%</w:t>
            </w:r>
          </w:p>
        </w:tc>
      </w:tr>
    </w:tbl>
    <w:p>
      <w:pPr>
        <w:spacing w:after="40"/>
      </w:pPr>
    </w:p>
    <w:p>
      <w:pPr>
        <w:spacing w:before="40" w:after="120"/>
      </w:pPr>
      <w:r>
        <w:rPr>
          <w:rFonts w:ascii="Microsoft YaHei" w:hAnsi="Microsoft YaHei" w:eastAsia="Microsoft YaHei"/>
          <w:i/>
          <w:color w:val="666666"/>
          <w:sz w:val="16"/>
        </w:rPr>
        <w:t>表8  浅层CART叶节点特征阈值。代理模型用于解释统计分层，不替代随机森林。</w:t>
      </w:r>
    </w:p>
    <w:p>
      <w:pPr>
        <w:keepLines w:val="0"/>
      </w:pPr>
      <w:r>
        <w:rPr>
          <w:rFonts w:ascii="Microsoft YaHei" w:hAnsi="Microsoft YaHei" w:eastAsia="Microsoft YaHei"/>
          <w:sz w:val="22"/>
        </w:rPr>
        <w:t>最终CART最大深度3、最小叶节点比例10%，训练交叉验证宏平均F1为0.728、一致率为0.760，独立测试一致率为0.710。主要切点来自血尿酸424.5、167.5、352.5及血糖4.368；这些阈值解释随机森林分层结构，不是新的临床诊断界值。</w:t>
      </w:r>
    </w:p>
    <w:p>
      <w:pPr>
        <w:pStyle w:val="Heading2"/>
      </w:pPr>
      <w:r>
        <w:t>7.2 问题三参数敏感性</w:t>
      </w:r>
    </w:p>
    <w:tbl>
      <w:tblPr>
        <w:tblStyle w:val="TableGrid"/>
        <w:tblW w:type="dxa" w:w="9070"/>
        <w:jc w:val="left"/>
        <w:tblLayout w:type="fixed"/>
        <w:tblLook w:firstColumn="1" w:firstRow="1" w:lastColumn="0" w:lastRow="0" w:noHBand="0" w:noVBand="1" w:val="04A0"/>
        <w:tblInd w:w="120" w:type="dxa"/>
      </w:tblPr>
      <w:tblGrid>
        <w:gridCol w:w="1100"/>
        <w:gridCol w:w="3000"/>
        <w:gridCol w:w="2300"/>
        <w:gridCol w:w="2670"/>
      </w:tblGrid>
      <w:tr>
        <w:trPr>
          <w:tblHeader w:val="true"/>
          <w:cantSplit/>
        </w:trPr>
        <w:tc>
          <w:tcPr>
            <w:tcW w:type="dxa" w:w="1100"/>
            <w:vAlign w:val="center"/>
            <w:shd w:fill="E8EEF5"/>
            <w:tcMar>
              <w:top w:w="80" w:type="dxa"/>
              <w:start w:w="120" w:type="dxa"/>
              <w:bottom w:w="80" w:type="dxa"/>
              <w:end w:w="120" w:type="dxa"/>
            </w:tcMar>
          </w:tcPr>
          <w:p>
            <w:pPr>
              <w:spacing w:before="0" w:after="0" w:line="259" w:lineRule="auto"/>
              <w:jc w:val="center"/>
            </w:pPr>
            <w:r/>
            <w:r>
              <w:rPr>
                <w:rFonts w:ascii="Microsoft YaHei" w:hAnsi="Microsoft YaHei" w:eastAsia="Microsoft YaHei"/>
                <w:b/>
                <w:color w:val="17365D"/>
                <w:sz w:val="17"/>
              </w:rPr>
              <w:t>样本ID</w:t>
            </w:r>
          </w:p>
        </w:tc>
        <w:tc>
          <w:tcPr>
            <w:tcW w:type="dxa" w:w="3000"/>
            <w:vAlign w:val="center"/>
            <w:shd w:fill="E8EEF5"/>
            <w:tcMar>
              <w:top w:w="80" w:type="dxa"/>
              <w:start w:w="120" w:type="dxa"/>
              <w:bottom w:w="80" w:type="dxa"/>
              <w:end w:w="120" w:type="dxa"/>
            </w:tcMar>
          </w:tcPr>
          <w:p>
            <w:pPr>
              <w:spacing w:before="0" w:after="0" w:line="259" w:lineRule="auto"/>
              <w:jc w:val="center"/>
            </w:pPr>
            <w:r/>
            <w:r>
              <w:rPr>
                <w:rFonts w:ascii="Microsoft YaHei" w:hAnsi="Microsoft YaHei" w:eastAsia="Microsoft YaHei"/>
                <w:b/>
                <w:color w:val="17365D"/>
                <w:sz w:val="17"/>
              </w:rPr>
              <w:t>敏感性维度</w:t>
            </w:r>
          </w:p>
        </w:tc>
        <w:tc>
          <w:tcPr>
            <w:tcW w:type="dxa" w:w="2300"/>
            <w:vAlign w:val="center"/>
            <w:shd w:fill="E8EEF5"/>
            <w:tcMar>
              <w:top w:w="80" w:type="dxa"/>
              <w:start w:w="120" w:type="dxa"/>
              <w:bottom w:w="80" w:type="dxa"/>
              <w:end w:w="120" w:type="dxa"/>
            </w:tcMar>
          </w:tcPr>
          <w:p>
            <w:pPr>
              <w:spacing w:before="0" w:after="0" w:line="259" w:lineRule="auto"/>
              <w:jc w:val="center"/>
            </w:pPr>
            <w:r/>
            <w:r>
              <w:rPr>
                <w:rFonts w:ascii="Microsoft YaHei" w:hAnsi="Microsoft YaHei" w:eastAsia="Microsoft YaHei"/>
                <w:b/>
                <w:color w:val="17365D"/>
                <w:sz w:val="17"/>
              </w:rPr>
              <w:t>最终积分范围</w:t>
            </w:r>
          </w:p>
        </w:tc>
        <w:tc>
          <w:tcPr>
            <w:tcW w:type="dxa" w:w="2670"/>
            <w:vAlign w:val="center"/>
            <w:shd w:fill="E8EEF5"/>
            <w:tcMar>
              <w:top w:w="80" w:type="dxa"/>
              <w:start w:w="120" w:type="dxa"/>
              <w:bottom w:w="80" w:type="dxa"/>
              <w:end w:w="120" w:type="dxa"/>
            </w:tcMar>
          </w:tcPr>
          <w:p>
            <w:pPr>
              <w:spacing w:before="0" w:after="0" w:line="259" w:lineRule="auto"/>
              <w:jc w:val="center"/>
            </w:pPr>
            <w:r/>
            <w:r>
              <w:rPr>
                <w:rFonts w:ascii="Microsoft YaHei" w:hAnsi="Microsoft YaHei" w:eastAsia="Microsoft YaHei"/>
                <w:b/>
                <w:color w:val="17365D"/>
                <w:sz w:val="17"/>
              </w:rPr>
              <w:t>总成本范围/元</w:t>
            </w:r>
          </w:p>
        </w:tc>
      </w:tr>
      <w:tr>
        <w:trPr>
          <w:cantSplit/>
        </w:trPr>
        <w:tc>
          <w:tcPr>
            <w:tcW w:type="dxa" w:w="11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1</w:t>
            </w:r>
          </w:p>
        </w:tc>
        <w:tc>
          <w:tcPr>
            <w:tcW w:type="dxa" w:w="300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7"/>
              </w:rPr>
              <w:t>活动效果系数</w:t>
            </w:r>
          </w:p>
        </w:tc>
        <w:tc>
          <w:tcPr>
            <w:tcW w:type="dxa" w:w="23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46.0–51.0</w:t>
            </w:r>
          </w:p>
        </w:tc>
        <w:tc>
          <w:tcPr>
            <w:tcW w:type="dxa" w:w="267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1002–1102</w:t>
            </w:r>
          </w:p>
        </w:tc>
      </w:tr>
      <w:tr>
        <w:trPr>
          <w:cantSplit/>
        </w:trPr>
        <w:tc>
          <w:tcPr>
            <w:tcW w:type="dxa" w:w="11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1</w:t>
            </w:r>
          </w:p>
        </w:tc>
        <w:tc>
          <w:tcPr>
            <w:tcW w:type="dxa" w:w="300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7"/>
              </w:rPr>
              <w:t>积分步长</w:t>
            </w:r>
          </w:p>
        </w:tc>
        <w:tc>
          <w:tcPr>
            <w:tcW w:type="dxa" w:w="23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48.0–48.5</w:t>
            </w:r>
          </w:p>
        </w:tc>
        <w:tc>
          <w:tcPr>
            <w:tcW w:type="dxa" w:w="267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990–1014</w:t>
            </w:r>
          </w:p>
        </w:tc>
      </w:tr>
      <w:tr>
        <w:trPr>
          <w:cantSplit/>
        </w:trPr>
        <w:tc>
          <w:tcPr>
            <w:tcW w:type="dxa" w:w="11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1</w:t>
            </w:r>
          </w:p>
        </w:tc>
        <w:tc>
          <w:tcPr>
            <w:tcW w:type="dxa" w:w="300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7"/>
              </w:rPr>
              <w:t>调理额外月降幅</w:t>
            </w:r>
          </w:p>
        </w:tc>
        <w:tc>
          <w:tcPr>
            <w:tcW w:type="dxa" w:w="23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43.5–48.5</w:t>
            </w:r>
          </w:p>
        </w:tc>
        <w:tc>
          <w:tcPr>
            <w:tcW w:type="dxa" w:w="267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942–1014</w:t>
            </w:r>
          </w:p>
        </w:tc>
      </w:tr>
      <w:tr>
        <w:trPr>
          <w:cantSplit/>
        </w:trPr>
        <w:tc>
          <w:tcPr>
            <w:tcW w:type="dxa" w:w="11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1</w:t>
            </w:r>
          </w:p>
        </w:tc>
        <w:tc>
          <w:tcPr>
            <w:tcW w:type="dxa" w:w="300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7"/>
              </w:rPr>
              <w:t>预算上限</w:t>
            </w:r>
          </w:p>
        </w:tc>
        <w:tc>
          <w:tcPr>
            <w:tcW w:type="dxa" w:w="23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48.5–48.5</w:t>
            </w:r>
          </w:p>
        </w:tc>
        <w:tc>
          <w:tcPr>
            <w:tcW w:type="dxa" w:w="267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1014–1014</w:t>
            </w:r>
          </w:p>
        </w:tc>
      </w:tr>
      <w:tr>
        <w:trPr>
          <w:cantSplit/>
        </w:trPr>
        <w:tc>
          <w:tcPr>
            <w:tcW w:type="dxa" w:w="11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2</w:t>
            </w:r>
          </w:p>
        </w:tc>
        <w:tc>
          <w:tcPr>
            <w:tcW w:type="dxa" w:w="300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7"/>
              </w:rPr>
              <w:t>活动效果系数</w:t>
            </w:r>
          </w:p>
        </w:tc>
        <w:tc>
          <w:tcPr>
            <w:tcW w:type="dxa" w:w="23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34.5–40.5</w:t>
            </w:r>
          </w:p>
        </w:tc>
        <w:tc>
          <w:tcPr>
            <w:tcW w:type="dxa" w:w="267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1176–1240</w:t>
            </w:r>
          </w:p>
        </w:tc>
      </w:tr>
      <w:tr>
        <w:trPr>
          <w:cantSplit/>
        </w:trPr>
        <w:tc>
          <w:tcPr>
            <w:tcW w:type="dxa" w:w="11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2</w:t>
            </w:r>
          </w:p>
        </w:tc>
        <w:tc>
          <w:tcPr>
            <w:tcW w:type="dxa" w:w="300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7"/>
              </w:rPr>
              <w:t>积分步长</w:t>
            </w:r>
          </w:p>
        </w:tc>
        <w:tc>
          <w:tcPr>
            <w:tcW w:type="dxa" w:w="23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37.0–37.2</w:t>
            </w:r>
          </w:p>
        </w:tc>
        <w:tc>
          <w:tcPr>
            <w:tcW w:type="dxa" w:w="267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1148–1240</w:t>
            </w:r>
          </w:p>
        </w:tc>
      </w:tr>
      <w:tr>
        <w:trPr>
          <w:cantSplit/>
        </w:trPr>
        <w:tc>
          <w:tcPr>
            <w:tcW w:type="dxa" w:w="11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2</w:t>
            </w:r>
          </w:p>
        </w:tc>
        <w:tc>
          <w:tcPr>
            <w:tcW w:type="dxa" w:w="300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7"/>
              </w:rPr>
              <w:t>调理额外月降幅</w:t>
            </w:r>
          </w:p>
        </w:tc>
        <w:tc>
          <w:tcPr>
            <w:tcW w:type="dxa" w:w="23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34.0–37.0</w:t>
            </w:r>
          </w:p>
        </w:tc>
        <w:tc>
          <w:tcPr>
            <w:tcW w:type="dxa" w:w="267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1120–1240</w:t>
            </w:r>
          </w:p>
        </w:tc>
      </w:tr>
      <w:tr>
        <w:trPr>
          <w:cantSplit/>
        </w:trPr>
        <w:tc>
          <w:tcPr>
            <w:tcW w:type="dxa" w:w="11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2</w:t>
            </w:r>
          </w:p>
        </w:tc>
        <w:tc>
          <w:tcPr>
            <w:tcW w:type="dxa" w:w="300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7"/>
              </w:rPr>
              <w:t>预算上限</w:t>
            </w:r>
          </w:p>
        </w:tc>
        <w:tc>
          <w:tcPr>
            <w:tcW w:type="dxa" w:w="23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37.0–37.0</w:t>
            </w:r>
          </w:p>
        </w:tc>
        <w:tc>
          <w:tcPr>
            <w:tcW w:type="dxa" w:w="267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1240–1240</w:t>
            </w:r>
          </w:p>
        </w:tc>
      </w:tr>
      <w:tr>
        <w:trPr>
          <w:cantSplit/>
        </w:trPr>
        <w:tc>
          <w:tcPr>
            <w:tcW w:type="dxa" w:w="11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3</w:t>
            </w:r>
          </w:p>
        </w:tc>
        <w:tc>
          <w:tcPr>
            <w:tcW w:type="dxa" w:w="300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7"/>
              </w:rPr>
              <w:t>活动效果系数</w:t>
            </w:r>
          </w:p>
        </w:tc>
        <w:tc>
          <w:tcPr>
            <w:tcW w:type="dxa" w:w="23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29.5–36.5</w:t>
            </w:r>
          </w:p>
        </w:tc>
        <w:tc>
          <w:tcPr>
            <w:tcW w:type="dxa" w:w="267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1670–1738</w:t>
            </w:r>
          </w:p>
        </w:tc>
      </w:tr>
      <w:tr>
        <w:trPr>
          <w:cantSplit/>
        </w:trPr>
        <w:tc>
          <w:tcPr>
            <w:tcW w:type="dxa" w:w="11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3</w:t>
            </w:r>
          </w:p>
        </w:tc>
        <w:tc>
          <w:tcPr>
            <w:tcW w:type="dxa" w:w="300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7"/>
              </w:rPr>
              <w:t>积分步长</w:t>
            </w:r>
          </w:p>
        </w:tc>
        <w:tc>
          <w:tcPr>
            <w:tcW w:type="dxa" w:w="23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32.0–33.2</w:t>
            </w:r>
          </w:p>
        </w:tc>
        <w:tc>
          <w:tcPr>
            <w:tcW w:type="dxa" w:w="267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1670–1674</w:t>
            </w:r>
          </w:p>
        </w:tc>
      </w:tr>
      <w:tr>
        <w:trPr>
          <w:cantSplit/>
        </w:trPr>
        <w:tc>
          <w:tcPr>
            <w:tcW w:type="dxa" w:w="11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3</w:t>
            </w:r>
          </w:p>
        </w:tc>
        <w:tc>
          <w:tcPr>
            <w:tcW w:type="dxa" w:w="300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7"/>
              </w:rPr>
              <w:t>调理额外月降幅</w:t>
            </w:r>
          </w:p>
        </w:tc>
        <w:tc>
          <w:tcPr>
            <w:tcW w:type="dxa" w:w="23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30.0–33.0</w:t>
            </w:r>
          </w:p>
        </w:tc>
        <w:tc>
          <w:tcPr>
            <w:tcW w:type="dxa" w:w="267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1570–1674</w:t>
            </w:r>
          </w:p>
        </w:tc>
      </w:tr>
      <w:tr>
        <w:trPr>
          <w:cantSplit/>
        </w:trPr>
        <w:tc>
          <w:tcPr>
            <w:tcW w:type="dxa" w:w="11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3</w:t>
            </w:r>
          </w:p>
        </w:tc>
        <w:tc>
          <w:tcPr>
            <w:tcW w:type="dxa" w:w="300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7"/>
              </w:rPr>
              <w:t>预算上限</w:t>
            </w:r>
          </w:p>
        </w:tc>
        <w:tc>
          <w:tcPr>
            <w:tcW w:type="dxa" w:w="23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33.0–36.5</w:t>
            </w:r>
          </w:p>
        </w:tc>
        <w:tc>
          <w:tcPr>
            <w:tcW w:type="dxa" w:w="267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1366–1674</w:t>
            </w:r>
          </w:p>
        </w:tc>
      </w:tr>
    </w:tbl>
    <w:p>
      <w:pPr>
        <w:spacing w:after="40"/>
      </w:pPr>
    </w:p>
    <w:p>
      <w:pPr>
        <w:spacing w:before="40" w:after="120"/>
      </w:pPr>
      <w:r>
        <w:rPr>
          <w:rFonts w:ascii="Microsoft YaHei" w:hAnsi="Microsoft YaHei" w:eastAsia="Microsoft YaHei"/>
          <w:i/>
          <w:color w:val="666666"/>
          <w:sz w:val="16"/>
        </w:rPr>
        <w:t>表9  一因素敏感性汇总：积分步长、活动效果系数、预算上限和调理额外月降幅分别扰动。</w:t>
      </w:r>
    </w:p>
    <w:p>
      <w:pPr>
        <w:keepLines w:val="0"/>
      </w:pPr>
      <w:r>
        <w:rPr>
          <w:rFonts w:ascii="Microsoft YaHei" w:hAnsi="Microsoft YaHei" w:eastAsia="Microsoft YaHei"/>
          <w:sz w:val="22"/>
        </w:rPr>
        <w:t>积分步长从1.0缩小到0.25主要影响舍入口径，不改变耐受上限和总体方案方向；活动效果系数对最终积分最敏感；预算变化会改变可达最大效果，但ε-约束能避免在效果增益很小的情况下机械耗尽预算；若假设调理具有额外月降幅，最终积分会进一步下降，但该参数缺乏题面数据支撑，只能作为情景分析。</w:t>
      </w:r>
    </w:p>
    <w:p>
      <w:pPr>
        <w:pStyle w:val="Heading2"/>
      </w:pPr>
      <w:r>
        <w:t>7.3 约束与复现性</w:t>
      </w:r>
    </w:p>
    <w:p>
      <w:pPr>
        <w:pStyle w:val="ListBullet"/>
      </w:pPr>
      <w:r>
        <w:rPr>
          <w:rFonts w:ascii="Microsoft YaHei" w:hAnsi="Microsoft YaHei" w:eastAsia="Microsoft YaHei"/>
          <w:sz w:val="21"/>
        </w:rPr>
        <w:t>1000例数据均由原始附件直接读取，样本ID唯一、建模字段无缺失。</w:t>
      </w:r>
    </w:p>
    <w:p>
      <w:pPr>
        <w:pStyle w:val="ListBullet"/>
      </w:pPr>
      <w:r>
        <w:rPr>
          <w:rFonts w:ascii="Microsoft YaHei" w:hAnsi="Microsoft YaHei" w:eastAsia="Microsoft YaHei"/>
          <w:sz w:val="21"/>
        </w:rPr>
        <w:t>问题一高血脂关联模型和问题二非血脂模型均不含TC、TG、LDL-C、HDL-C及其异常派生变量；痰湿端允许无指标入选，探索性Pareto不改变验证性结论。</w:t>
      </w:r>
    </w:p>
    <w:p>
      <w:pPr>
        <w:pStyle w:val="ListBullet"/>
      </w:pPr>
      <w:r>
        <w:rPr>
          <w:rFonts w:ascii="Microsoft YaHei" w:hAnsi="Microsoft YaHei" w:eastAsia="Microsoft YaHei"/>
          <w:sz w:val="21"/>
        </w:rPr>
        <w:t>问题一分类体质模型明确以平和质为参照，报告整体似然比检验、OR、95%CI、P值、FDR及500次Bootstrap排名稳定性。</w:t>
      </w:r>
    </w:p>
    <w:p>
      <w:pPr>
        <w:pStyle w:val="ListBullet"/>
      </w:pPr>
      <w:r>
        <w:rPr>
          <w:rFonts w:ascii="Microsoft YaHei" w:hAnsi="Microsoft YaHei" w:eastAsia="Microsoft YaHei"/>
          <w:sz w:val="21"/>
        </w:rPr>
        <w:t>问题二模型训练、校准、折外概率和切点搜索均与测试集隔离；每人恰好一个统计风险等级，CART路径与临床管理提示分别保存。</w:t>
      </w:r>
    </w:p>
    <w:p>
      <w:pPr>
        <w:pStyle w:val="ListBullet"/>
      </w:pPr>
      <w:r>
        <w:rPr>
          <w:rFonts w:ascii="Microsoft YaHei" w:hAnsi="Microsoft YaHei" w:eastAsia="Microsoft YaHei"/>
          <w:sz w:val="21"/>
        </w:rPr>
        <w:t>全部278名痰湿质患者的年龄、活动评分、强度、频率、月份和预算约束逐条回代通过；样本1—3推荐点均属于对应非支配解集合。</w:t>
      </w:r>
    </w:p>
    <w:p>
      <w:pPr>
        <w:pStyle w:val="ListBullet"/>
      </w:pPr>
      <w:r>
        <w:rPr>
          <w:rFonts w:ascii="Microsoft YaHei" w:hAnsi="Microsoft YaHei" w:eastAsia="Microsoft YaHei"/>
          <w:sz w:val="21"/>
        </w:rPr>
        <w:t>样本1、2、3均按附件真实ID读取，不再使用手工构造参数。</w:t>
      </w:r>
    </w:p>
    <w:p>
      <w:pPr>
        <w:pStyle w:val="ListBullet"/>
      </w:pPr>
      <w:r>
        <w:rPr>
          <w:rFonts w:ascii="Microsoft YaHei" w:hAnsi="Microsoft YaHei" w:eastAsia="Microsoft YaHei"/>
          <w:sz w:val="21"/>
        </w:rPr>
        <w:t>所有关键数值保存为CSV/JSON，论文数据图统一保存为矢量PDF，可从唯一建模代码完整复现。</w:t>
      </w:r>
    </w:p>
    <w:p>
      <w:pPr>
        <w:pStyle w:val="Heading1"/>
      </w:pPr>
      <w:r>
        <w:t>8 模型评价与结论</w:t>
      </w:r>
    </w:p>
    <w:p>
      <w:pPr>
        <w:pStyle w:val="Heading2"/>
      </w:pPr>
      <w:r>
        <w:t>8.1 模型优点</w:t>
      </w:r>
    </w:p>
    <w:p>
      <w:pPr>
        <w:pStyle w:val="ListBullet"/>
      </w:pPr>
      <w:r>
        <w:rPr>
          <w:rFonts w:ascii="Microsoft YaHei" w:hAnsi="Microsoft YaHei" w:eastAsia="Microsoft YaHei"/>
          <w:sz w:val="21"/>
        </w:rPr>
        <w:t>逻辑闭环：从分终点证据审查、训练内统计分层和CART解释到个体化优化，三个问题之间具有明确依赖关系。</w:t>
      </w:r>
    </w:p>
    <w:p>
      <w:pPr>
        <w:pStyle w:val="ListBullet"/>
      </w:pPr>
      <w:r>
        <w:rPr>
          <w:rFonts w:ascii="Microsoft YaHei" w:hAnsi="Microsoft YaHei" w:eastAsia="Microsoft YaHei"/>
          <w:sz w:val="21"/>
        </w:rPr>
        <w:t>防止信息泄漏：将四项诊断血脂与非血脂关联筛查分离，痰湿端重要性只在验证折计算。</w:t>
      </w:r>
    </w:p>
    <w:p>
      <w:pPr>
        <w:pStyle w:val="ListBullet"/>
      </w:pPr>
      <w:r>
        <w:rPr>
          <w:rFonts w:ascii="Microsoft YaHei" w:hAnsi="Microsoft YaHei" w:eastAsia="Microsoft YaHei"/>
          <w:sz w:val="21"/>
        </w:rPr>
        <w:t>统计表达完整：体质贡献以平和质为分类参照，同时报告整体检验、区间、FDR和Bootstrap排名稳定性，不以点估计排名替代显著性。</w:t>
      </w:r>
    </w:p>
    <w:p>
      <w:pPr>
        <w:pStyle w:val="ListBullet"/>
      </w:pPr>
      <w:r>
        <w:rPr>
          <w:rFonts w:ascii="Microsoft YaHei" w:hAnsi="Microsoft YaHei" w:eastAsia="Microsoft YaHei"/>
          <w:sz w:val="21"/>
        </w:rPr>
        <w:t>优化目标可解释：ε-约束直接表达“保留90%最大效果后成本最低”，比无量纲不明的加权和更易说明。</w:t>
      </w:r>
    </w:p>
    <w:p>
      <w:pPr>
        <w:pStyle w:val="ListBullet"/>
      </w:pPr>
      <w:r>
        <w:rPr>
          <w:rFonts w:ascii="Microsoft YaHei" w:hAnsi="Microsoft YaHei" w:eastAsia="Microsoft YaHei"/>
          <w:sz w:val="21"/>
        </w:rPr>
        <w:t>可复现性强：输出患者级风险、全部痰湿质推荐、逐月方案、Pareto、敏感性与约束检查。</w:t>
      </w:r>
    </w:p>
    <w:p>
      <w:pPr>
        <w:pStyle w:val="Heading2"/>
      </w:pPr>
      <w:r>
        <w:t>8.2 模型局限</w:t>
      </w:r>
    </w:p>
    <w:p>
      <w:pPr>
        <w:pStyle w:val="ListBullet"/>
      </w:pPr>
      <w:r>
        <w:rPr>
          <w:rFonts w:ascii="Microsoft YaHei" w:hAnsi="Microsoft YaHei" w:eastAsia="Microsoft YaHei"/>
          <w:sz w:val="21"/>
        </w:rPr>
        <w:t>附件为横截面样本，非血脂模型刻画的是与当前血脂异常的关联筛查分数，而非真实未来发病概率。</w:t>
      </w:r>
    </w:p>
    <w:p>
      <w:pPr>
        <w:pStyle w:val="ListBullet"/>
      </w:pPr>
      <w:r>
        <w:rPr>
          <w:rFonts w:ascii="Microsoft YaHei" w:hAnsi="Microsoft YaHei" w:eastAsia="Microsoft YaHei"/>
          <w:sz w:val="21"/>
        </w:rPr>
        <w:t>统计等级不直接包含当前诊断血脂，但仍由横断面标签训练，不能解释为未来发病概率；题面规则仅作为临床管理提示。</w:t>
      </w:r>
    </w:p>
    <w:p>
      <w:pPr>
        <w:pStyle w:val="ListBullet"/>
      </w:pPr>
      <w:r>
        <w:rPr>
          <w:rFonts w:ascii="Microsoft YaHei" w:hAnsi="Microsoft YaHei" w:eastAsia="Microsoft YaHei"/>
          <w:sz w:val="21"/>
        </w:rPr>
        <w:t>九体质调整OR的置信区间均需谨慎解释，不能据此认定体质因果效应。</w:t>
      </w:r>
    </w:p>
    <w:p>
      <w:pPr>
        <w:pStyle w:val="ListBullet"/>
      </w:pPr>
      <w:r>
        <w:rPr>
          <w:rFonts w:ascii="Microsoft YaHei" w:hAnsi="Microsoft YaHei" w:eastAsia="Microsoft YaHei"/>
          <w:sz w:val="21"/>
        </w:rPr>
        <w:t>题面未给中医调理的独立疗效参数，基准模型无法优化不同调理方式的真实疗效差异。</w:t>
      </w:r>
    </w:p>
    <w:p>
      <w:pPr>
        <w:pStyle w:val="ListBullet"/>
      </w:pPr>
      <w:r>
        <w:rPr>
          <w:rFonts w:ascii="Microsoft YaHei" w:hAnsi="Microsoft YaHei" w:eastAsia="Microsoft YaHei"/>
          <w:sz w:val="21"/>
        </w:rPr>
        <w:t>活动耐受度按初始评分固定；实际应用应每月复评并滚动重优化。</w:t>
      </w:r>
    </w:p>
    <w:p>
      <w:pPr>
        <w:pStyle w:val="Heading2"/>
      </w:pPr>
      <w:r>
        <w:t>8.3 主要结论</w:t>
      </w:r>
    </w:p>
    <w:p>
      <w:pPr>
        <w:pStyle w:val="ListNumber"/>
      </w:pPr>
      <w:r>
        <w:rPr>
          <w:rFonts w:ascii="Microsoft YaHei" w:hAnsi="Microsoft YaHei" w:eastAsia="Microsoft YaHei"/>
          <w:sz w:val="21"/>
        </w:rPr>
        <w:t>痰湿严重度模型平均折外R²为-0.056，没有指标通过痰湿端证据门槛；高血脂关联端仅血尿酸入选，因此验证性共同指标为空。血尿酸和BMI仅作为探索性Pareto候选。</w:t>
      </w:r>
    </w:p>
    <w:p>
      <w:pPr>
        <w:pStyle w:val="ListNumber"/>
      </w:pPr>
      <w:r>
        <w:rPr>
          <w:rFonts w:ascii="Microsoft YaHei" w:hAnsi="Microsoft YaHei" w:eastAsia="Microsoft YaHei"/>
          <w:sz w:val="21"/>
        </w:rPr>
        <w:t>九体质分类自变量整体调整检验P=0.562；阳虚质调整OR点估计最高且Bootstrap首位频率71.2%，但其95%CI跨1、整体检验与FDR不显著，不能宣称存在统计或因果意义上的贡献首位。</w:t>
      </w:r>
    </w:p>
    <w:p>
      <w:pPr>
        <w:pStyle w:val="ListNumber"/>
      </w:pPr>
      <w:r>
        <w:rPr>
          <w:rFonts w:ascii="Microsoft YaHei" w:hAnsi="Microsoft YaHei" w:eastAsia="Microsoft YaHei"/>
          <w:sz w:val="21"/>
        </w:rPr>
        <w:t>非血脂随机森林关联筛查模型测试AUC为0.821；训练内切点0.7588和0.8717应用于测试集后，低、中、高层为111、33、156人，异常率55.9%、78.8%、96.2%，每人只有一个统计等级。</w:t>
      </w:r>
    </w:p>
    <w:p>
      <w:pPr>
        <w:pStyle w:val="ListNumber"/>
      </w:pPr>
      <w:r>
        <w:rPr>
          <w:rFonts w:ascii="Microsoft YaHei" w:hAnsi="Microsoft YaHei" w:eastAsia="Microsoft YaHei"/>
          <w:sz w:val="21"/>
        </w:rPr>
        <w:t>痰湿质核心组合相对于统计高危层重新计算并排除诊断血脂；首位为“痰湿体质+痰湿积分≥60+尿酸异常”，覆盖27人、高危24人、置信度88.9%、提升度1.46。</w:t>
      </w:r>
    </w:p>
    <w:p>
      <w:pPr>
        <w:pStyle w:val="ListNumber"/>
      </w:pPr>
      <w:r>
        <w:rPr>
          <w:rFonts w:ascii="Microsoft YaHei" w:hAnsi="Microsoft YaHei" w:eastAsia="Microsoft YaHei"/>
          <w:sz w:val="21"/>
        </w:rPr>
        <w:t>ε-约束动态规划能在保留至少90%最大降幅的同时减少不必要成本，并为全部278名痰湿质患者提供可执行方案。</w:t>
      </w:r>
    </w:p>
    <w:p>
      <w:pPr>
        <w:pStyle w:val="ListNumber"/>
      </w:pPr>
      <w:r>
        <w:rPr>
          <w:rFonts w:ascii="Microsoft YaHei" w:hAnsi="Microsoft YaHei" w:eastAsia="Microsoft YaHei"/>
          <w:sz w:val="21"/>
        </w:rPr>
        <w:t>真实样本1、2、3的耐受上限分别为1、2、3级，最终积分和成本差异体现了“患者特征—方案强度—成本效果”的匹配关系。</w:t>
      </w:r>
    </w:p>
    <w:p>
      <w:pPr>
        <w:pStyle w:val="Heading1"/>
      </w:pPr>
      <w:r>
        <w:t>附录A 样本1、2、3逐月方案</w:t>
      </w:r>
    </w:p>
    <w:tbl>
      <w:tblPr>
        <w:tblStyle w:val="TableGrid"/>
        <w:tblW w:type="dxa" w:w="9070"/>
        <w:jc w:val="left"/>
        <w:tblLayout w:type="fixed"/>
        <w:tblLook w:firstColumn="1" w:firstRow="1" w:lastColumn="0" w:lastRow="0" w:noHBand="0" w:noVBand="1" w:val="04A0"/>
        <w:tblInd w:w="120" w:type="dxa"/>
      </w:tblPr>
      <w:tblGrid>
        <w:gridCol w:w="900"/>
        <w:gridCol w:w="850"/>
        <w:gridCol w:w="1200"/>
        <w:gridCol w:w="1150"/>
        <w:gridCol w:w="2000"/>
        <w:gridCol w:w="1450"/>
        <w:gridCol w:w="1520"/>
      </w:tblGrid>
      <w:tr>
        <w:trPr>
          <w:tblHeader w:val="true"/>
          <w:cantSplit/>
        </w:trPr>
        <w:tc>
          <w:tcPr>
            <w:tcW w:type="dxa" w:w="900"/>
            <w:vAlign w:val="center"/>
            <w:shd w:fill="E8EEF5"/>
            <w:tcMar>
              <w:top w:w="80" w:type="dxa"/>
              <w:start w:w="120" w:type="dxa"/>
              <w:bottom w:w="80" w:type="dxa"/>
              <w:end w:w="120" w:type="dxa"/>
            </w:tcMar>
          </w:tcPr>
          <w:p>
            <w:pPr>
              <w:spacing w:before="0" w:after="0" w:line="259" w:lineRule="auto"/>
              <w:jc w:val="center"/>
            </w:pPr>
            <w:r/>
            <w:r>
              <w:rPr>
                <w:rFonts w:ascii="Microsoft YaHei" w:hAnsi="Microsoft YaHei" w:eastAsia="Microsoft YaHei"/>
                <w:b/>
                <w:color w:val="17365D"/>
                <w:sz w:val="16"/>
              </w:rPr>
              <w:t>ID</w:t>
            </w:r>
          </w:p>
        </w:tc>
        <w:tc>
          <w:tcPr>
            <w:tcW w:type="dxa" w:w="850"/>
            <w:vAlign w:val="center"/>
            <w:shd w:fill="E8EEF5"/>
            <w:tcMar>
              <w:top w:w="80" w:type="dxa"/>
              <w:start w:w="120" w:type="dxa"/>
              <w:bottom w:w="80" w:type="dxa"/>
              <w:end w:w="120" w:type="dxa"/>
            </w:tcMar>
          </w:tcPr>
          <w:p>
            <w:pPr>
              <w:spacing w:before="0" w:after="0" w:line="259" w:lineRule="auto"/>
              <w:jc w:val="center"/>
            </w:pPr>
            <w:r/>
            <w:r>
              <w:rPr>
                <w:rFonts w:ascii="Microsoft YaHei" w:hAnsi="Microsoft YaHei" w:eastAsia="Microsoft YaHei"/>
                <w:b/>
                <w:color w:val="17365D"/>
                <w:sz w:val="16"/>
              </w:rPr>
              <w:t>月份</w:t>
            </w:r>
          </w:p>
        </w:tc>
        <w:tc>
          <w:tcPr>
            <w:tcW w:type="dxa" w:w="1200"/>
            <w:vAlign w:val="center"/>
            <w:shd w:fill="E8EEF5"/>
            <w:tcMar>
              <w:top w:w="80" w:type="dxa"/>
              <w:start w:w="120" w:type="dxa"/>
              <w:bottom w:w="80" w:type="dxa"/>
              <w:end w:w="120" w:type="dxa"/>
            </w:tcMar>
          </w:tcPr>
          <w:p>
            <w:pPr>
              <w:spacing w:before="0" w:after="0" w:line="259" w:lineRule="auto"/>
              <w:jc w:val="center"/>
            </w:pPr>
            <w:r/>
            <w:r>
              <w:rPr>
                <w:rFonts w:ascii="Microsoft YaHei" w:hAnsi="Microsoft YaHei" w:eastAsia="Microsoft YaHei"/>
                <w:b/>
                <w:color w:val="17365D"/>
                <w:sz w:val="16"/>
              </w:rPr>
              <w:t>月初积分</w:t>
            </w:r>
          </w:p>
        </w:tc>
        <w:tc>
          <w:tcPr>
            <w:tcW w:type="dxa" w:w="1150"/>
            <w:vAlign w:val="center"/>
            <w:shd w:fill="E8EEF5"/>
            <w:tcMar>
              <w:top w:w="80" w:type="dxa"/>
              <w:start w:w="120" w:type="dxa"/>
              <w:bottom w:w="80" w:type="dxa"/>
              <w:end w:w="120" w:type="dxa"/>
            </w:tcMar>
          </w:tcPr>
          <w:p>
            <w:pPr>
              <w:spacing w:before="0" w:after="0" w:line="259" w:lineRule="auto"/>
              <w:jc w:val="center"/>
            </w:pPr>
            <w:r/>
            <w:r>
              <w:rPr>
                <w:rFonts w:ascii="Microsoft YaHei" w:hAnsi="Microsoft YaHei" w:eastAsia="Microsoft YaHei"/>
                <w:b/>
                <w:color w:val="17365D"/>
                <w:sz w:val="16"/>
              </w:rPr>
              <w:t>调理等级</w:t>
            </w:r>
          </w:p>
        </w:tc>
        <w:tc>
          <w:tcPr>
            <w:tcW w:type="dxa" w:w="2000"/>
            <w:vAlign w:val="center"/>
            <w:shd w:fill="E8EEF5"/>
            <w:tcMar>
              <w:top w:w="80" w:type="dxa"/>
              <w:start w:w="120" w:type="dxa"/>
              <w:bottom w:w="80" w:type="dxa"/>
              <w:end w:w="120" w:type="dxa"/>
            </w:tcMar>
          </w:tcPr>
          <w:p>
            <w:pPr>
              <w:spacing w:before="0" w:after="0" w:line="259" w:lineRule="auto"/>
              <w:jc w:val="center"/>
            </w:pPr>
            <w:r/>
            <w:r>
              <w:rPr>
                <w:rFonts w:ascii="Microsoft YaHei" w:hAnsi="Microsoft YaHei" w:eastAsia="Microsoft YaHei"/>
                <w:b/>
                <w:color w:val="17365D"/>
                <w:sz w:val="16"/>
              </w:rPr>
              <w:t>活动强度/频率</w:t>
            </w:r>
          </w:p>
        </w:tc>
        <w:tc>
          <w:tcPr>
            <w:tcW w:type="dxa" w:w="1450"/>
            <w:vAlign w:val="center"/>
            <w:shd w:fill="E8EEF5"/>
            <w:tcMar>
              <w:top w:w="80" w:type="dxa"/>
              <w:start w:w="120" w:type="dxa"/>
              <w:bottom w:w="80" w:type="dxa"/>
              <w:end w:w="120" w:type="dxa"/>
            </w:tcMar>
          </w:tcPr>
          <w:p>
            <w:pPr>
              <w:spacing w:before="0" w:after="0" w:line="259" w:lineRule="auto"/>
              <w:jc w:val="center"/>
            </w:pPr>
            <w:r/>
            <w:r>
              <w:rPr>
                <w:rFonts w:ascii="Microsoft YaHei" w:hAnsi="Microsoft YaHei" w:eastAsia="Microsoft YaHei"/>
                <w:b/>
                <w:color w:val="17365D"/>
                <w:sz w:val="16"/>
              </w:rPr>
              <w:t>月成本/元</w:t>
            </w:r>
          </w:p>
        </w:tc>
        <w:tc>
          <w:tcPr>
            <w:tcW w:type="dxa" w:w="1520"/>
            <w:vAlign w:val="center"/>
            <w:shd w:fill="E8EEF5"/>
            <w:tcMar>
              <w:top w:w="80" w:type="dxa"/>
              <w:start w:w="120" w:type="dxa"/>
              <w:bottom w:w="80" w:type="dxa"/>
              <w:end w:w="120" w:type="dxa"/>
            </w:tcMar>
          </w:tcPr>
          <w:p>
            <w:pPr>
              <w:spacing w:before="0" w:after="0" w:line="259" w:lineRule="auto"/>
              <w:jc w:val="center"/>
            </w:pPr>
            <w:r/>
            <w:r>
              <w:rPr>
                <w:rFonts w:ascii="Microsoft YaHei" w:hAnsi="Microsoft YaHei" w:eastAsia="Microsoft YaHei"/>
                <w:b/>
                <w:color w:val="17365D"/>
                <w:sz w:val="16"/>
              </w:rPr>
              <w:t>月末积分</w:t>
            </w:r>
          </w:p>
        </w:tc>
      </w:tr>
      <w:tr>
        <w:trPr>
          <w:cantSplit/>
        </w:trPr>
        <w:tc>
          <w:tcPr>
            <w:tcW w:type="dxa" w:w="9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w:t>
            </w:r>
          </w:p>
        </w:tc>
        <w:tc>
          <w:tcPr>
            <w:tcW w:type="dxa" w:w="8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w:t>
            </w:r>
          </w:p>
        </w:tc>
        <w:tc>
          <w:tcPr>
            <w:tcW w:type="dxa" w:w="12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64.0</w:t>
            </w:r>
          </w:p>
        </w:tc>
        <w:tc>
          <w:tcPr>
            <w:tcW w:type="dxa" w:w="11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3</w:t>
            </w:r>
          </w:p>
        </w:tc>
        <w:tc>
          <w:tcPr>
            <w:tcW w:type="dxa" w:w="20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1级/10次</w:t>
            </w:r>
          </w:p>
        </w:tc>
        <w:tc>
          <w:tcPr>
            <w:tcW w:type="dxa" w:w="14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250</w:t>
            </w:r>
          </w:p>
        </w:tc>
        <w:tc>
          <w:tcPr>
            <w:tcW w:type="dxa" w:w="152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61.0</w:t>
            </w:r>
          </w:p>
        </w:tc>
      </w:tr>
      <w:tr>
        <w:trPr>
          <w:cantSplit/>
        </w:trPr>
        <w:tc>
          <w:tcPr>
            <w:tcW w:type="dxa" w:w="9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w:t>
            </w:r>
          </w:p>
        </w:tc>
        <w:tc>
          <w:tcPr>
            <w:tcW w:type="dxa" w:w="8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2</w:t>
            </w:r>
          </w:p>
        </w:tc>
        <w:tc>
          <w:tcPr>
            <w:tcW w:type="dxa" w:w="12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61.0</w:t>
            </w:r>
          </w:p>
        </w:tc>
        <w:tc>
          <w:tcPr>
            <w:tcW w:type="dxa" w:w="11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2</w:t>
            </w:r>
          </w:p>
        </w:tc>
        <w:tc>
          <w:tcPr>
            <w:tcW w:type="dxa" w:w="20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1级/10次</w:t>
            </w:r>
          </w:p>
        </w:tc>
        <w:tc>
          <w:tcPr>
            <w:tcW w:type="dxa" w:w="14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200</w:t>
            </w:r>
          </w:p>
        </w:tc>
        <w:tc>
          <w:tcPr>
            <w:tcW w:type="dxa" w:w="152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58.0</w:t>
            </w:r>
          </w:p>
        </w:tc>
      </w:tr>
      <w:tr>
        <w:trPr>
          <w:cantSplit/>
        </w:trPr>
        <w:tc>
          <w:tcPr>
            <w:tcW w:type="dxa" w:w="9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w:t>
            </w:r>
          </w:p>
        </w:tc>
        <w:tc>
          <w:tcPr>
            <w:tcW w:type="dxa" w:w="8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3</w:t>
            </w:r>
          </w:p>
        </w:tc>
        <w:tc>
          <w:tcPr>
            <w:tcW w:type="dxa" w:w="12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58.0</w:t>
            </w:r>
          </w:p>
        </w:tc>
        <w:tc>
          <w:tcPr>
            <w:tcW w:type="dxa" w:w="11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w:t>
            </w:r>
          </w:p>
        </w:tc>
        <w:tc>
          <w:tcPr>
            <w:tcW w:type="dxa" w:w="20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1级/10次</w:t>
            </w:r>
          </w:p>
        </w:tc>
        <w:tc>
          <w:tcPr>
            <w:tcW w:type="dxa" w:w="14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150</w:t>
            </w:r>
          </w:p>
        </w:tc>
        <w:tc>
          <w:tcPr>
            <w:tcW w:type="dxa" w:w="152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55.0</w:t>
            </w:r>
          </w:p>
        </w:tc>
      </w:tr>
      <w:tr>
        <w:trPr>
          <w:cantSplit/>
        </w:trPr>
        <w:tc>
          <w:tcPr>
            <w:tcW w:type="dxa" w:w="9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w:t>
            </w:r>
          </w:p>
        </w:tc>
        <w:tc>
          <w:tcPr>
            <w:tcW w:type="dxa" w:w="8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4</w:t>
            </w:r>
          </w:p>
        </w:tc>
        <w:tc>
          <w:tcPr>
            <w:tcW w:type="dxa" w:w="12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55.0</w:t>
            </w:r>
          </w:p>
        </w:tc>
        <w:tc>
          <w:tcPr>
            <w:tcW w:type="dxa" w:w="11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w:t>
            </w:r>
          </w:p>
        </w:tc>
        <w:tc>
          <w:tcPr>
            <w:tcW w:type="dxa" w:w="20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1级/10次</w:t>
            </w:r>
          </w:p>
        </w:tc>
        <w:tc>
          <w:tcPr>
            <w:tcW w:type="dxa" w:w="14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150</w:t>
            </w:r>
          </w:p>
        </w:tc>
        <w:tc>
          <w:tcPr>
            <w:tcW w:type="dxa" w:w="152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52.0</w:t>
            </w:r>
          </w:p>
        </w:tc>
      </w:tr>
      <w:tr>
        <w:trPr>
          <w:cantSplit/>
        </w:trPr>
        <w:tc>
          <w:tcPr>
            <w:tcW w:type="dxa" w:w="9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w:t>
            </w:r>
          </w:p>
        </w:tc>
        <w:tc>
          <w:tcPr>
            <w:tcW w:type="dxa" w:w="8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5</w:t>
            </w:r>
          </w:p>
        </w:tc>
        <w:tc>
          <w:tcPr>
            <w:tcW w:type="dxa" w:w="12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52.0</w:t>
            </w:r>
          </w:p>
        </w:tc>
        <w:tc>
          <w:tcPr>
            <w:tcW w:type="dxa" w:w="11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w:t>
            </w:r>
          </w:p>
        </w:tc>
        <w:tc>
          <w:tcPr>
            <w:tcW w:type="dxa" w:w="20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1级/10次</w:t>
            </w:r>
          </w:p>
        </w:tc>
        <w:tc>
          <w:tcPr>
            <w:tcW w:type="dxa" w:w="14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150</w:t>
            </w:r>
          </w:p>
        </w:tc>
        <w:tc>
          <w:tcPr>
            <w:tcW w:type="dxa" w:w="152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49.5</w:t>
            </w:r>
          </w:p>
        </w:tc>
      </w:tr>
      <w:tr>
        <w:trPr>
          <w:cantSplit/>
        </w:trPr>
        <w:tc>
          <w:tcPr>
            <w:tcW w:type="dxa" w:w="9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w:t>
            </w:r>
          </w:p>
        </w:tc>
        <w:tc>
          <w:tcPr>
            <w:tcW w:type="dxa" w:w="8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6</w:t>
            </w:r>
          </w:p>
        </w:tc>
        <w:tc>
          <w:tcPr>
            <w:tcW w:type="dxa" w:w="12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49.5</w:t>
            </w:r>
          </w:p>
        </w:tc>
        <w:tc>
          <w:tcPr>
            <w:tcW w:type="dxa" w:w="11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w:t>
            </w:r>
          </w:p>
        </w:tc>
        <w:tc>
          <w:tcPr>
            <w:tcW w:type="dxa" w:w="20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1级/7次</w:t>
            </w:r>
          </w:p>
        </w:tc>
        <w:tc>
          <w:tcPr>
            <w:tcW w:type="dxa" w:w="14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114</w:t>
            </w:r>
          </w:p>
        </w:tc>
        <w:tc>
          <w:tcPr>
            <w:tcW w:type="dxa" w:w="152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48.5</w:t>
            </w:r>
          </w:p>
        </w:tc>
      </w:tr>
      <w:tr>
        <w:trPr>
          <w:cantSplit/>
        </w:trPr>
        <w:tc>
          <w:tcPr>
            <w:tcW w:type="dxa" w:w="9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2</w:t>
            </w:r>
          </w:p>
        </w:tc>
        <w:tc>
          <w:tcPr>
            <w:tcW w:type="dxa" w:w="8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w:t>
            </w:r>
          </w:p>
        </w:tc>
        <w:tc>
          <w:tcPr>
            <w:tcW w:type="dxa" w:w="12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58.0</w:t>
            </w:r>
          </w:p>
        </w:tc>
        <w:tc>
          <w:tcPr>
            <w:tcW w:type="dxa" w:w="11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w:t>
            </w:r>
          </w:p>
        </w:tc>
        <w:tc>
          <w:tcPr>
            <w:tcW w:type="dxa" w:w="20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2级/10次</w:t>
            </w:r>
          </w:p>
        </w:tc>
        <w:tc>
          <w:tcPr>
            <w:tcW w:type="dxa" w:w="14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230</w:t>
            </w:r>
          </w:p>
        </w:tc>
        <w:tc>
          <w:tcPr>
            <w:tcW w:type="dxa" w:w="152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53.5</w:t>
            </w:r>
          </w:p>
        </w:tc>
      </w:tr>
      <w:tr>
        <w:trPr>
          <w:cantSplit/>
        </w:trPr>
        <w:tc>
          <w:tcPr>
            <w:tcW w:type="dxa" w:w="9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2</w:t>
            </w:r>
          </w:p>
        </w:tc>
        <w:tc>
          <w:tcPr>
            <w:tcW w:type="dxa" w:w="8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2</w:t>
            </w:r>
          </w:p>
        </w:tc>
        <w:tc>
          <w:tcPr>
            <w:tcW w:type="dxa" w:w="12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53.5</w:t>
            </w:r>
          </w:p>
        </w:tc>
        <w:tc>
          <w:tcPr>
            <w:tcW w:type="dxa" w:w="11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w:t>
            </w:r>
          </w:p>
        </w:tc>
        <w:tc>
          <w:tcPr>
            <w:tcW w:type="dxa" w:w="20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2级/10次</w:t>
            </w:r>
          </w:p>
        </w:tc>
        <w:tc>
          <w:tcPr>
            <w:tcW w:type="dxa" w:w="14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230</w:t>
            </w:r>
          </w:p>
        </w:tc>
        <w:tc>
          <w:tcPr>
            <w:tcW w:type="dxa" w:w="152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49.0</w:t>
            </w:r>
          </w:p>
        </w:tc>
      </w:tr>
      <w:tr>
        <w:trPr>
          <w:cantSplit/>
        </w:trPr>
        <w:tc>
          <w:tcPr>
            <w:tcW w:type="dxa" w:w="9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2</w:t>
            </w:r>
          </w:p>
        </w:tc>
        <w:tc>
          <w:tcPr>
            <w:tcW w:type="dxa" w:w="8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3</w:t>
            </w:r>
          </w:p>
        </w:tc>
        <w:tc>
          <w:tcPr>
            <w:tcW w:type="dxa" w:w="12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49.0</w:t>
            </w:r>
          </w:p>
        </w:tc>
        <w:tc>
          <w:tcPr>
            <w:tcW w:type="dxa" w:w="11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w:t>
            </w:r>
          </w:p>
        </w:tc>
        <w:tc>
          <w:tcPr>
            <w:tcW w:type="dxa" w:w="20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2级/9次</w:t>
            </w:r>
          </w:p>
        </w:tc>
        <w:tc>
          <w:tcPr>
            <w:tcW w:type="dxa" w:w="14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210</w:t>
            </w:r>
          </w:p>
        </w:tc>
        <w:tc>
          <w:tcPr>
            <w:tcW w:type="dxa" w:w="152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45.5</w:t>
            </w:r>
          </w:p>
        </w:tc>
      </w:tr>
      <w:tr>
        <w:trPr>
          <w:cantSplit/>
        </w:trPr>
        <w:tc>
          <w:tcPr>
            <w:tcW w:type="dxa" w:w="9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2</w:t>
            </w:r>
          </w:p>
        </w:tc>
        <w:tc>
          <w:tcPr>
            <w:tcW w:type="dxa" w:w="8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4</w:t>
            </w:r>
          </w:p>
        </w:tc>
        <w:tc>
          <w:tcPr>
            <w:tcW w:type="dxa" w:w="12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45.5</w:t>
            </w:r>
          </w:p>
        </w:tc>
        <w:tc>
          <w:tcPr>
            <w:tcW w:type="dxa" w:w="11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w:t>
            </w:r>
          </w:p>
        </w:tc>
        <w:tc>
          <w:tcPr>
            <w:tcW w:type="dxa" w:w="20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1级/10次</w:t>
            </w:r>
          </w:p>
        </w:tc>
        <w:tc>
          <w:tcPr>
            <w:tcW w:type="dxa" w:w="14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150</w:t>
            </w:r>
          </w:p>
        </w:tc>
        <w:tc>
          <w:tcPr>
            <w:tcW w:type="dxa" w:w="152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43.0</w:t>
            </w:r>
          </w:p>
        </w:tc>
      </w:tr>
      <w:tr>
        <w:trPr>
          <w:cantSplit/>
        </w:trPr>
        <w:tc>
          <w:tcPr>
            <w:tcW w:type="dxa" w:w="9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2</w:t>
            </w:r>
          </w:p>
        </w:tc>
        <w:tc>
          <w:tcPr>
            <w:tcW w:type="dxa" w:w="8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5</w:t>
            </w:r>
          </w:p>
        </w:tc>
        <w:tc>
          <w:tcPr>
            <w:tcW w:type="dxa" w:w="12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43.0</w:t>
            </w:r>
          </w:p>
        </w:tc>
        <w:tc>
          <w:tcPr>
            <w:tcW w:type="dxa" w:w="11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w:t>
            </w:r>
          </w:p>
        </w:tc>
        <w:tc>
          <w:tcPr>
            <w:tcW w:type="dxa" w:w="20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2级/10次</w:t>
            </w:r>
          </w:p>
        </w:tc>
        <w:tc>
          <w:tcPr>
            <w:tcW w:type="dxa" w:w="14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230</w:t>
            </w:r>
          </w:p>
        </w:tc>
        <w:tc>
          <w:tcPr>
            <w:tcW w:type="dxa" w:w="152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39.5</w:t>
            </w:r>
          </w:p>
        </w:tc>
      </w:tr>
      <w:tr>
        <w:trPr>
          <w:cantSplit/>
        </w:trPr>
        <w:tc>
          <w:tcPr>
            <w:tcW w:type="dxa" w:w="9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2</w:t>
            </w:r>
          </w:p>
        </w:tc>
        <w:tc>
          <w:tcPr>
            <w:tcW w:type="dxa" w:w="8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6</w:t>
            </w:r>
          </w:p>
        </w:tc>
        <w:tc>
          <w:tcPr>
            <w:tcW w:type="dxa" w:w="12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39.5</w:t>
            </w:r>
          </w:p>
        </w:tc>
        <w:tc>
          <w:tcPr>
            <w:tcW w:type="dxa" w:w="11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w:t>
            </w:r>
          </w:p>
        </w:tc>
        <w:tc>
          <w:tcPr>
            <w:tcW w:type="dxa" w:w="20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2级/8次</w:t>
            </w:r>
          </w:p>
        </w:tc>
        <w:tc>
          <w:tcPr>
            <w:tcW w:type="dxa" w:w="14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190</w:t>
            </w:r>
          </w:p>
        </w:tc>
        <w:tc>
          <w:tcPr>
            <w:tcW w:type="dxa" w:w="152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37.0</w:t>
            </w:r>
          </w:p>
        </w:tc>
      </w:tr>
      <w:tr>
        <w:trPr>
          <w:cantSplit/>
        </w:trPr>
        <w:tc>
          <w:tcPr>
            <w:tcW w:type="dxa" w:w="9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3</w:t>
            </w:r>
          </w:p>
        </w:tc>
        <w:tc>
          <w:tcPr>
            <w:tcW w:type="dxa" w:w="8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w:t>
            </w:r>
          </w:p>
        </w:tc>
        <w:tc>
          <w:tcPr>
            <w:tcW w:type="dxa" w:w="12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59.0</w:t>
            </w:r>
          </w:p>
        </w:tc>
        <w:tc>
          <w:tcPr>
            <w:tcW w:type="dxa" w:w="11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2</w:t>
            </w:r>
          </w:p>
        </w:tc>
        <w:tc>
          <w:tcPr>
            <w:tcW w:type="dxa" w:w="20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3级/10次</w:t>
            </w:r>
          </w:p>
        </w:tc>
        <w:tc>
          <w:tcPr>
            <w:tcW w:type="dxa" w:w="14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400</w:t>
            </w:r>
          </w:p>
        </w:tc>
        <w:tc>
          <w:tcPr>
            <w:tcW w:type="dxa" w:w="152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52.5</w:t>
            </w:r>
          </w:p>
        </w:tc>
      </w:tr>
      <w:tr>
        <w:trPr>
          <w:cantSplit/>
        </w:trPr>
        <w:tc>
          <w:tcPr>
            <w:tcW w:type="dxa" w:w="9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3</w:t>
            </w:r>
          </w:p>
        </w:tc>
        <w:tc>
          <w:tcPr>
            <w:tcW w:type="dxa" w:w="8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2</w:t>
            </w:r>
          </w:p>
        </w:tc>
        <w:tc>
          <w:tcPr>
            <w:tcW w:type="dxa" w:w="12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52.5</w:t>
            </w:r>
          </w:p>
        </w:tc>
        <w:tc>
          <w:tcPr>
            <w:tcW w:type="dxa" w:w="11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w:t>
            </w:r>
          </w:p>
        </w:tc>
        <w:tc>
          <w:tcPr>
            <w:tcW w:type="dxa" w:w="20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3级/9次</w:t>
            </w:r>
          </w:p>
        </w:tc>
        <w:tc>
          <w:tcPr>
            <w:tcW w:type="dxa" w:w="14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318</w:t>
            </w:r>
          </w:p>
        </w:tc>
        <w:tc>
          <w:tcPr>
            <w:tcW w:type="dxa" w:w="152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47.0</w:t>
            </w:r>
          </w:p>
        </w:tc>
      </w:tr>
      <w:tr>
        <w:trPr>
          <w:cantSplit/>
        </w:trPr>
        <w:tc>
          <w:tcPr>
            <w:tcW w:type="dxa" w:w="9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3</w:t>
            </w:r>
          </w:p>
        </w:tc>
        <w:tc>
          <w:tcPr>
            <w:tcW w:type="dxa" w:w="8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3</w:t>
            </w:r>
          </w:p>
        </w:tc>
        <w:tc>
          <w:tcPr>
            <w:tcW w:type="dxa" w:w="12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47.0</w:t>
            </w:r>
          </w:p>
        </w:tc>
        <w:tc>
          <w:tcPr>
            <w:tcW w:type="dxa" w:w="11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w:t>
            </w:r>
          </w:p>
        </w:tc>
        <w:tc>
          <w:tcPr>
            <w:tcW w:type="dxa" w:w="20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2级/10次</w:t>
            </w:r>
          </w:p>
        </w:tc>
        <w:tc>
          <w:tcPr>
            <w:tcW w:type="dxa" w:w="14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230</w:t>
            </w:r>
          </w:p>
        </w:tc>
        <w:tc>
          <w:tcPr>
            <w:tcW w:type="dxa" w:w="152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43.0</w:t>
            </w:r>
          </w:p>
        </w:tc>
      </w:tr>
      <w:tr>
        <w:trPr>
          <w:cantSplit/>
        </w:trPr>
        <w:tc>
          <w:tcPr>
            <w:tcW w:type="dxa" w:w="9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3</w:t>
            </w:r>
          </w:p>
        </w:tc>
        <w:tc>
          <w:tcPr>
            <w:tcW w:type="dxa" w:w="8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4</w:t>
            </w:r>
          </w:p>
        </w:tc>
        <w:tc>
          <w:tcPr>
            <w:tcW w:type="dxa" w:w="12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43.0</w:t>
            </w:r>
          </w:p>
        </w:tc>
        <w:tc>
          <w:tcPr>
            <w:tcW w:type="dxa" w:w="11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w:t>
            </w:r>
          </w:p>
        </w:tc>
        <w:tc>
          <w:tcPr>
            <w:tcW w:type="dxa" w:w="20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2级/10次</w:t>
            </w:r>
          </w:p>
        </w:tc>
        <w:tc>
          <w:tcPr>
            <w:tcW w:type="dxa" w:w="14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230</w:t>
            </w:r>
          </w:p>
        </w:tc>
        <w:tc>
          <w:tcPr>
            <w:tcW w:type="dxa" w:w="152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39.5</w:t>
            </w:r>
          </w:p>
        </w:tc>
      </w:tr>
      <w:tr>
        <w:trPr>
          <w:cantSplit/>
        </w:trPr>
        <w:tc>
          <w:tcPr>
            <w:tcW w:type="dxa" w:w="9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3</w:t>
            </w:r>
          </w:p>
        </w:tc>
        <w:tc>
          <w:tcPr>
            <w:tcW w:type="dxa" w:w="8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5</w:t>
            </w:r>
          </w:p>
        </w:tc>
        <w:tc>
          <w:tcPr>
            <w:tcW w:type="dxa" w:w="12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39.5</w:t>
            </w:r>
          </w:p>
        </w:tc>
        <w:tc>
          <w:tcPr>
            <w:tcW w:type="dxa" w:w="11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w:t>
            </w:r>
          </w:p>
        </w:tc>
        <w:tc>
          <w:tcPr>
            <w:tcW w:type="dxa" w:w="20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2级/9次</w:t>
            </w:r>
          </w:p>
        </w:tc>
        <w:tc>
          <w:tcPr>
            <w:tcW w:type="dxa" w:w="14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210</w:t>
            </w:r>
          </w:p>
        </w:tc>
        <w:tc>
          <w:tcPr>
            <w:tcW w:type="dxa" w:w="152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36.5</w:t>
            </w:r>
          </w:p>
        </w:tc>
      </w:tr>
      <w:tr>
        <w:trPr>
          <w:cantSplit/>
        </w:trPr>
        <w:tc>
          <w:tcPr>
            <w:tcW w:type="dxa" w:w="9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3</w:t>
            </w:r>
          </w:p>
        </w:tc>
        <w:tc>
          <w:tcPr>
            <w:tcW w:type="dxa" w:w="8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6</w:t>
            </w:r>
          </w:p>
        </w:tc>
        <w:tc>
          <w:tcPr>
            <w:tcW w:type="dxa" w:w="12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36.5</w:t>
            </w:r>
          </w:p>
        </w:tc>
        <w:tc>
          <w:tcPr>
            <w:tcW w:type="dxa" w:w="11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w:t>
            </w:r>
          </w:p>
        </w:tc>
        <w:tc>
          <w:tcPr>
            <w:tcW w:type="dxa" w:w="20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3级/8次</w:t>
            </w:r>
          </w:p>
        </w:tc>
        <w:tc>
          <w:tcPr>
            <w:tcW w:type="dxa" w:w="14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286</w:t>
            </w:r>
          </w:p>
        </w:tc>
        <w:tc>
          <w:tcPr>
            <w:tcW w:type="dxa" w:w="152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33.0</w:t>
            </w:r>
          </w:p>
        </w:tc>
      </w:tr>
    </w:tbl>
    <w:p>
      <w:pPr>
        <w:spacing w:after="40"/>
      </w:pPr>
    </w:p>
    <w:p>
      <w:pPr>
        <w:spacing w:before="40" w:after="120"/>
      </w:pPr>
      <w:r>
        <w:rPr>
          <w:rFonts w:ascii="Microsoft YaHei" w:hAnsi="Microsoft YaHei" w:eastAsia="Microsoft YaHei"/>
          <w:i/>
          <w:color w:val="666666"/>
          <w:sz w:val="16"/>
        </w:rPr>
        <w:t>表A1  三位患者的逐月推荐计划。核心调理方式随等级依题面附表2执行。</w:t>
      </w:r>
    </w:p>
    <w:p>
      <w:pPr>
        <w:pStyle w:val="Heading1"/>
      </w:pPr>
      <w:r>
        <w:t>附录B 复现与结果追溯说明</w:t>
      </w:r>
    </w:p>
    <w:p>
      <w:pPr>
        <w:keepLines w:val="0"/>
      </w:pPr>
      <w:r>
        <w:rPr>
          <w:rFonts w:ascii="Microsoft YaHei" w:hAnsi="Microsoft YaHei" w:eastAsia="Microsoft YaHei"/>
          <w:sz w:val="22"/>
        </w:rPr>
        <w:t>分析程序可从题目原始附件一键重建统计结果、患者级结果、图表和执行记录。随机种子固定为42，模型选择、嵌套折外校准、训练内切点、CART代理和动态规划均由同一条可复现流程完成。</w:t>
      </w:r>
    </w:p>
    <w:p>
      <w:pPr>
        <w:keepLines w:val="0"/>
      </w:pPr>
      <w:r>
        <w:rPr>
          <w:rFonts w:ascii="Microsoft YaHei" w:hAnsi="Microsoft YaHei" w:eastAsia="Microsoft YaHei"/>
          <w:sz w:val="22"/>
        </w:rPr>
        <w:t>报告中的全部关键数值均由最新复跑结果自动写入，并与患者级结果和汇总表逐项核对，未进行手工重算或替换。程序、运行环境和中间结果随项目一并提交，便于评审复核。</w:t>
      </w:r>
    </w:p>
    <w:sectPr w:rsidR="00FC693F" w:rsidRPr="0006063C" w:rsidSect="00034616">
      <w:headerReference w:type="default" r:id="rId9"/>
      <w:footerReference w:type="default" r:id="rId10"/>
      <w:pgSz w:w="11906" w:h="16838"/>
      <w:pgMar w:top="1247" w:right="1417" w:bottom="1247" w:left="1417" w:header="709" w:footer="70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Microsoft YaHei" w:hAnsi="Microsoft YaHei" w:eastAsia="Microsoft YaHei"/>
        <w:color w:val="666666"/>
        <w:sz w:val="17"/>
      </w:rPr>
      <w:t xml:space="preserve">第 </w:t>
      <w:fldChar w:fldCharType="begin"/>
      <w:instrText xml:space="preserve">PAGE</w:instrText>
      <w:fldChar w:fldCharType="end"/>
    </w:r>
    <w:r>
      <w:rPr>
        <w:rFonts w:ascii="Microsoft YaHei" w:hAnsi="Microsoft YaHei" w:eastAsia="Microsoft YaHei"/>
        <w:color w:val="666666"/>
        <w:sz w:val="17"/>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Microsoft YaHei" w:hAnsi="Microsoft YaHei" w:eastAsia="Microsoft YaHei"/>
        <w:color w:val="666666"/>
        <w:sz w:val="17"/>
      </w:rPr>
      <w:t>中老年人群高血脂症风险预警及干预方案优化｜建模方案报告</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ind w:firstLine="420"/>
      <w:jc w:val="both"/>
    </w:pPr>
    <w:rPr>
      <w:rFonts w:ascii="Microsoft YaHei" w:hAnsi="Microsoft YaHei" w:eastAsia="Microsoft YaHe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Microsoft YaHei" w:hAnsi="Microsoft YaHei" w:eastAsia="Microsoft YaHe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Microsoft YaHei" w:hAnsi="Microsoft YaHei" w:eastAsia="Microsoft YaHe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Microsoft YaHei" w:hAnsi="Microsoft YaHei" w:eastAsia="Microsoft YaHe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contextualSpacing/>
    </w:pPr>
    <w:rPr>
      <w:rFonts w:ascii="Microsoft YaHei" w:hAnsi="Microsoft YaHei" w:eastAsia="Microsoft YaHei"/>
      <w:sz w:val="21"/>
    </w:rPr>
  </w:style>
  <w:style w:type="paragraph" w:styleId="ListBullet2">
    <w:name w:val="List Bullet 2"/>
    <w:basedOn w:val="Normal"/>
    <w:uiPriority w:val="99"/>
    <w:unhideWhenUsed/>
    <w:rsid w:val="00326F90"/>
    <w:pPr>
      <w:numPr>
        <w:numId w:val="2"/>
      </w:numPr>
      <w:spacing w:after="80" w:line="290" w:lineRule="auto"/>
      <w:contextualSpacing/>
    </w:pPr>
    <w:rPr>
      <w:rFonts w:ascii="Microsoft YaHei" w:hAnsi="Microsoft YaHei" w:eastAsia="Microsoft YaHei"/>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contextualSpacing/>
    </w:pPr>
    <w:rPr>
      <w:rFonts w:ascii="Microsoft YaHei" w:hAnsi="Microsoft YaHei" w:eastAsia="Microsoft YaHe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Microsoft YaHei" w:hAnsi="Microsoft YaHei" w:eastAsia="Microsoft YaHei"/>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中老年人群高血脂症风险预警及干预方案优化建模报告</dc:title>
  <dc:subject>分终点证据、训练内统计分层、CART解释与动态规划</dc:subject>
  <dc:creator>python-docx</dc:creator>
  <cp:keywords>高血脂症, 痰湿体质, 风险预警, 动态规划</cp:keywords>
  <dc:description>最终竞赛修订版</dc:description>
  <cp:lastModifiedBy/>
  <cp:revision>1</cp:revision>
  <dcterms:created xsi:type="dcterms:W3CDTF">2013-12-23T23:15:00Z</dcterms:created>
  <dcterms:modified xsi:type="dcterms:W3CDTF">2013-12-23T23:15:00Z</dcterms:modified>
  <cp:category/>
</cp:coreProperties>
</file>