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RIOT Loudspeaker Systems Dossier</w:t>
      </w:r>
    </w:p>
    <w:p>
      <w:r>
        <w:rPr>
          <w:i/>
          <w:sz w:val="20"/>
        </w:rPr>
        <w:t>12 inch bass, 10 inch Bianco midrange and CD44-PK horns</w:t>
      </w:r>
    </w:p>
    <w:p>
      <w:r>
        <w:t>This dossier records the physical loudspeaker systems and their role in the active three-way RIOT architecture. Room measurements remain primarily in the Room Acoustics dossier and are linked here by speaker and measurement metadata.</w:t>
      </w:r>
    </w:p>
    <w:p>
      <w:pPr>
        <w:pStyle w:val="Heading1"/>
      </w:pPr>
      <w:r>
        <w:t>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152"/>
            <w:vAlign w:val="center"/>
            <w:shd w:fill="D9EAF7"/>
          </w:tcPr>
          <w:p>
            <w:r/>
            <w:r>
              <w:rPr>
                <w:b/>
                <w:sz w:val="18"/>
              </w:rPr>
              <w:t>Band</w:t>
            </w:r>
          </w:p>
        </w:tc>
        <w:tc>
          <w:tcPr>
            <w:tcW w:type="dxa" w:w="2880"/>
            <w:vAlign w:val="center"/>
            <w:shd w:fill="D9EAF7"/>
          </w:tcPr>
          <w:p>
            <w:r/>
            <w:r>
              <w:rPr>
                <w:b/>
                <w:sz w:val="18"/>
              </w:rPr>
              <w:t>Transducer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Current target</w:t>
            </w:r>
          </w:p>
        </w:tc>
        <w:tc>
          <w:tcPr>
            <w:tcW w:type="dxa" w:w="3024"/>
            <w:vAlign w:val="center"/>
            <w:shd w:fill="D9EAF7"/>
          </w:tcPr>
          <w:p>
            <w:r/>
            <w:r>
              <w:rPr>
                <w:b/>
                <w:sz w:val="18"/>
              </w:rPr>
              <w:t>Amplifier assignment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12 inch bass system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Below approximately 300 Hz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LM3886 bass monoblocks; Pioneer SA-8100 currently used during integration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MID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SB Audience Bianco 10MW150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Approximately 300 Hz to 1.8-1.9 kHz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LM3886 Gainclone monoblocks currently; Ciuffoli considered/planned</w:t>
            </w:r>
          </w:p>
        </w:tc>
      </w:tr>
      <w:tr>
        <w:tc>
          <w:tcPr>
            <w:tcW w:type="dxa" w:w="1152"/>
            <w:vAlign w:val="center"/>
          </w:tcPr>
          <w:p>
            <w:r/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2880"/>
            <w:vAlign w:val="center"/>
          </w:tcPr>
          <w:p>
            <w:r/>
            <w:r>
              <w:rPr>
                <w:b w:val="0"/>
                <w:sz w:val="18"/>
              </w:rPr>
              <w:t>SB Audience CD44-PK on custom horn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Above approximately 1.9 kHz</w:t>
            </w:r>
          </w:p>
        </w:tc>
        <w:tc>
          <w:tcPr>
            <w:tcW w:type="dxa" w:w="3024"/>
            <w:vAlign w:val="center"/>
          </w:tcPr>
          <w:p>
            <w:r/>
            <w:r>
              <w:rPr>
                <w:b w:val="0"/>
                <w:sz w:val="18"/>
              </w:rPr>
              <w:t>Aiyima A70 currently; Pass Aleph Mini planned</w:t>
            </w:r>
          </w:p>
        </w:tc>
      </w:tr>
    </w:tbl>
    <w:p/>
    <w:p>
      <w:pPr>
        <w:pStyle w:val="Heading1"/>
      </w:pPr>
      <w:r>
        <w:t>12 inch bass cabinets</w:t>
      </w:r>
    </w:p>
    <w:p>
      <w:pPr>
        <w:pStyle w:val="ListBullet"/>
      </w:pPr>
      <w:r>
        <w:t>The current archive describes the cabinets as bass-reflex/Helmholtz systems, not transmission lines.</w:t>
      </w:r>
    </w:p>
    <w:p>
      <w:pPr>
        <w:pStyle w:val="ListBullet"/>
      </w:pPr>
      <w:r>
        <w:t>Earlier design record: approximately 72 L chamber with two front slots, each approximately 444 x 25 x 180 mm; total vent area approximately 222 cm2.</w:t>
      </w:r>
    </w:p>
    <w:p>
      <w:pPr>
        <w:pStyle w:val="ListBullet"/>
      </w:pPr>
      <w:r>
        <w:t>Earlier tuning estimates range approximately 48-53 Hz depending on the design revision.</w:t>
      </w:r>
    </w:p>
    <w:p>
      <w:pPr>
        <w:pStyle w:val="ListBullet"/>
      </w:pPr>
      <w:r>
        <w:t>The intended behaviour is a low-stress, high-headroom kick/bass engine rather than a small woofer driven near its limits.</w:t>
      </w:r>
    </w:p>
    <w:p>
      <w:pPr>
        <w:pStyle w:val="ListBullet"/>
      </w:pPr>
      <w:r>
        <w:t>Cabinet photographs, exact as-built dimensions and final tuning measurement remain to be attached.</w:t>
      </w:r>
    </w:p>
    <w:p>
      <w:pPr>
        <w:pStyle w:val="Heading1"/>
      </w:pPr>
      <w:r>
        <w:t>10 inch Bianco cabinets</w:t>
      </w:r>
    </w:p>
    <w:p>
      <w:pPr>
        <w:pStyle w:val="ListBullet"/>
      </w:pPr>
      <w:r>
        <w:t>Driver: SB Audience Bianco 10MW150.</w:t>
      </w:r>
    </w:p>
    <w:p>
      <w:pPr>
        <w:pStyle w:val="ListBullet"/>
      </w:pPr>
      <w:r>
        <w:t>Target role: live-scale body and violence through the midrange, approximately 300 Hz to 1.8-1.9 kHz.</w:t>
      </w:r>
    </w:p>
    <w:p>
      <w:pPr>
        <w:pStyle w:val="ListBullet"/>
      </w:pPr>
      <w:r>
        <w:t>Recorded geometry for the waveguide-in-cabinet trial: mouth approximately 480 mm, throat-side geometry approximately 210 mm, depth approximately 212 mm, R500 flare.</w:t>
      </w:r>
    </w:p>
    <w:p>
      <w:pPr>
        <w:pStyle w:val="ListBullet"/>
      </w:pPr>
      <w:r>
        <w:t>Rear chamber record: approximately 150 x 442 x 290 mm; coil-to-back clearance approximately 87 mm.</w:t>
      </w:r>
    </w:p>
    <w:p>
      <w:pPr>
        <w:pStyle w:val="ListBullet"/>
      </w:pPr>
      <w:r>
        <w:t>Cabinet completion and final acoustic measurement remain open.</w:t>
      </w:r>
    </w:p>
    <w:p>
      <w:pPr>
        <w:pStyle w:val="Heading1"/>
      </w:pPr>
      <w:r>
        <w:t>CD44-PK horns</w:t>
      </w:r>
    </w:p>
    <w:p>
      <w:pPr>
        <w:pStyle w:val="ListBullet"/>
      </w:pPr>
      <w:r>
        <w:t>Compression driver: SB Audience CD44-PK, 1 inch CD.</w:t>
      </w:r>
    </w:p>
    <w:p>
      <w:pPr>
        <w:pStyle w:val="ListBullet"/>
      </w:pPr>
      <w:r>
        <w:t>Custom horn is intended for approximately 1.9 kHz upward.</w:t>
      </w:r>
    </w:p>
    <w:p>
      <w:pPr>
        <w:pStyle w:val="ListBullet"/>
      </w:pPr>
      <w:r>
        <w:t>IWATA-600 and IWATA-300 references were acquired; an oblate-spheroid/OS waveguide alternative was also considered.</w:t>
      </w:r>
    </w:p>
    <w:p>
      <w:pPr>
        <w:pStyle w:val="ListBullet"/>
      </w:pPr>
      <w:r>
        <w:t>Horn depth is approximately 220 mm in the system record.</w:t>
      </w:r>
    </w:p>
    <w:p>
      <w:pPr>
        <w:pStyle w:val="ListBullet"/>
      </w:pPr>
      <w:r>
        <w:t>Home 3D printing is part of the construction plan; final printed geometry and acoustic verification remain open.</w:t>
      </w:r>
    </w:p>
    <w:p>
      <w:pPr>
        <w:pStyle w:val="Heading1"/>
      </w:pPr>
      <w:r>
        <w:t>Listening evidence</w:t>
      </w:r>
    </w:p>
    <w:p>
      <w:pPr>
        <w:pStyle w:val="ListBullet"/>
      </w:pPr>
      <w:r>
        <w:t>The project target is live real-fi: physical impact, immediate attack, believable scale and effortless dynamics rather than audiophile politeness.</w:t>
      </w:r>
    </w:p>
    <w:p>
      <w:pPr>
        <w:pStyle w:val="ListBullet"/>
      </w:pPr>
      <w:r>
        <w:t>Recorded listening reports include strong snare attack without added decay, compelling tribal-percussion timing and bodily kicks that do not obscure the drum solo.</w:t>
      </w:r>
    </w:p>
    <w:p>
      <w:pPr>
        <w:pStyle w:val="ListBullet"/>
      </w:pPr>
      <w:r>
        <w:t>Earlier listening references include Private Investigations, Time, Angel, Chocolate Chip Trip, Keith Don’t Go and Cosmic Girl.</w:t>
      </w:r>
    </w:p>
    <w:p>
      <w:pPr>
        <w:pStyle w:val="Heading1"/>
      </w:pPr>
      <w:r>
        <w:t>Where to resume</w:t>
      </w:r>
    </w:p>
    <w:p>
      <w:r>
        <w:t>Finish the physical 10 inch cabinets and horn printing, then run the fixed-position REW set from the Room Acoustics dossier. Do not interpret a speaker response without recording the amplifier, crossover and source chain used for that capture.</w:t>
      </w:r>
    </w:p>
    <w:p>
      <w:pPr>
        <w:pStyle w:val="Heading1"/>
      </w:pPr>
      <w:r>
        <w:t>Evidence status</w:t>
      </w:r>
    </w:p>
    <w:p>
      <w:r>
        <w:t>System bands and current amplifier assignments are explicit project facts. Some cabinet dimensions, port dimensions, tuning values and driver data belong to different design revisions; the final as-built measurements must be tagged by revision before being treated as authoritative.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RIOT Electric Ballroom engineering archive | 15 October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