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RIOT Room Acoustics and REW Dossier</w:t>
      </w:r>
    </w:p>
    <w:p>
      <w:r>
        <w:rPr>
          <w:i/>
          <w:sz w:val="20"/>
        </w:rPr>
        <w:t>Room geometry, measurements, placement and treatment</w:t>
      </w:r>
    </w:p>
    <w:p>
      <w:r>
        <w:t>This dossier is the primary home for room-level evidence. Individual speaker and system dossiers should link to these measurements rather than duplicating raw REW captures.</w:t>
      </w:r>
    </w:p>
    <w:p>
      <w:pPr>
        <w:pStyle w:val="Heading1"/>
      </w:pPr>
      <w:r>
        <w:t>Current status</w:t>
      </w:r>
    </w:p>
    <w:p>
      <w:r>
        <w:t>The room record is measured but not closed. The dominant known issue is a deep 80-90 Hz room/SBIR null. Additional response features around 50 Hz and 500-600 Hz have been discussed, but the raw REW files and complete plots are not present in the retrieved archive excerpts and must be attached later.</w:t>
      </w:r>
    </w:p>
    <w:p>
      <w:pPr>
        <w:pStyle w:val="Heading1"/>
      </w:pPr>
      <w:r>
        <w:t>Room and listening geometry</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
              <w:rPr>
                <w:b/>
                <w:sz w:val="18"/>
              </w:rPr>
              <w:t>Parameter</w:t>
            </w:r>
          </w:p>
        </w:tc>
        <w:tc>
          <w:tcPr>
            <w:tcW w:type="dxa" w:w="6048"/>
            <w:vAlign w:val="center"/>
            <w:shd w:fill="D9EAF7"/>
          </w:tcPr>
          <w:p>
            <w:r/>
            <w:r>
              <w:rPr>
                <w:b/>
                <w:sz w:val="18"/>
              </w:rPr>
              <w:t>Recorded value</w:t>
            </w:r>
          </w:p>
        </w:tc>
      </w:tr>
      <w:tr>
        <w:tc>
          <w:tcPr>
            <w:tcW w:type="dxa" w:w="4032"/>
            <w:vAlign w:val="center"/>
          </w:tcPr>
          <w:p>
            <w:r/>
            <w:r>
              <w:rPr>
                <w:b w:val="0"/>
                <w:sz w:val="18"/>
              </w:rPr>
              <w:t>Room II width</w:t>
            </w:r>
          </w:p>
        </w:tc>
        <w:tc>
          <w:tcPr>
            <w:tcW w:type="dxa" w:w="6048"/>
            <w:vAlign w:val="center"/>
          </w:tcPr>
          <w:p>
            <w:r/>
            <w:r>
              <w:rPr>
                <w:b w:val="0"/>
                <w:sz w:val="18"/>
              </w:rPr>
              <w:t>3.50 m</w:t>
            </w:r>
          </w:p>
        </w:tc>
      </w:tr>
      <w:tr>
        <w:tc>
          <w:tcPr>
            <w:tcW w:type="dxa" w:w="4032"/>
            <w:vAlign w:val="center"/>
          </w:tcPr>
          <w:p>
            <w:r/>
            <w:r>
              <w:rPr>
                <w:b w:val="0"/>
                <w:sz w:val="18"/>
              </w:rPr>
              <w:t>Room II length</w:t>
            </w:r>
          </w:p>
        </w:tc>
        <w:tc>
          <w:tcPr>
            <w:tcW w:type="dxa" w:w="6048"/>
            <w:vAlign w:val="center"/>
          </w:tcPr>
          <w:p>
            <w:r/>
            <w:r>
              <w:rPr>
                <w:b w:val="0"/>
                <w:sz w:val="18"/>
              </w:rPr>
              <w:t>9.0 m</w:t>
            </w:r>
          </w:p>
        </w:tc>
      </w:tr>
      <w:tr>
        <w:tc>
          <w:tcPr>
            <w:tcW w:type="dxa" w:w="4032"/>
            <w:vAlign w:val="center"/>
          </w:tcPr>
          <w:p>
            <w:r/>
            <w:r>
              <w:rPr>
                <w:b w:val="0"/>
                <w:sz w:val="18"/>
              </w:rPr>
              <w:t>Ceiling height</w:t>
            </w:r>
          </w:p>
        </w:tc>
        <w:tc>
          <w:tcPr>
            <w:tcW w:type="dxa" w:w="6048"/>
            <w:vAlign w:val="center"/>
          </w:tcPr>
          <w:p>
            <w:r/>
            <w:r>
              <w:rPr>
                <w:b w:val="0"/>
                <w:sz w:val="18"/>
              </w:rPr>
              <w:t>2.40 m</w:t>
            </w:r>
          </w:p>
        </w:tc>
      </w:tr>
      <w:tr>
        <w:tc>
          <w:tcPr>
            <w:tcW w:type="dxa" w:w="4032"/>
            <w:vAlign w:val="center"/>
          </w:tcPr>
          <w:p>
            <w:r/>
            <w:r>
              <w:rPr>
                <w:b w:val="0"/>
                <w:sz w:val="18"/>
              </w:rPr>
              <w:t>Listening distance</w:t>
            </w:r>
          </w:p>
        </w:tc>
        <w:tc>
          <w:tcPr>
            <w:tcW w:type="dxa" w:w="6048"/>
            <w:vAlign w:val="center"/>
          </w:tcPr>
          <w:p>
            <w:r/>
            <w:r>
              <w:rPr>
                <w:b w:val="0"/>
                <w:sz w:val="18"/>
              </w:rPr>
              <w:t>Approximately 2.70 m</w:t>
            </w:r>
          </w:p>
        </w:tc>
      </w:tr>
      <w:tr>
        <w:tc>
          <w:tcPr>
            <w:tcW w:type="dxa" w:w="4032"/>
            <w:vAlign w:val="center"/>
          </w:tcPr>
          <w:p>
            <w:r/>
            <w:r>
              <w:rPr>
                <w:b w:val="0"/>
                <w:sz w:val="18"/>
              </w:rPr>
              <w:t>Speaker spacing</w:t>
            </w:r>
          </w:p>
        </w:tc>
        <w:tc>
          <w:tcPr>
            <w:tcW w:type="dxa" w:w="6048"/>
            <w:vAlign w:val="center"/>
          </w:tcPr>
          <w:p>
            <w:r/>
            <w:r>
              <w:rPr>
                <w:b w:val="0"/>
                <w:sz w:val="18"/>
              </w:rPr>
              <w:t>Approximately 2.70 m</w:t>
            </w:r>
          </w:p>
        </w:tc>
      </w:tr>
      <w:tr>
        <w:tc>
          <w:tcPr>
            <w:tcW w:type="dxa" w:w="4032"/>
            <w:vAlign w:val="center"/>
          </w:tcPr>
          <w:p>
            <w:r/>
            <w:r>
              <w:rPr>
                <w:b w:val="0"/>
                <w:sz w:val="18"/>
              </w:rPr>
              <w:t>HF horn centre height</w:t>
            </w:r>
          </w:p>
        </w:tc>
        <w:tc>
          <w:tcPr>
            <w:tcW w:type="dxa" w:w="6048"/>
            <w:vAlign w:val="center"/>
          </w:tcPr>
          <w:p>
            <w:r/>
            <w:r>
              <w:rPr>
                <w:b w:val="0"/>
                <w:sz w:val="18"/>
              </w:rPr>
              <w:t>Approximately 140 cm</w:t>
            </w:r>
          </w:p>
        </w:tc>
      </w:tr>
      <w:tr>
        <w:tc>
          <w:tcPr>
            <w:tcW w:type="dxa" w:w="4032"/>
            <w:vAlign w:val="center"/>
          </w:tcPr>
          <w:p>
            <w:r/>
            <w:r>
              <w:rPr>
                <w:b w:val="0"/>
                <w:sz w:val="18"/>
              </w:rPr>
              <w:t>12 inch centre height</w:t>
            </w:r>
          </w:p>
        </w:tc>
        <w:tc>
          <w:tcPr>
            <w:tcW w:type="dxa" w:w="6048"/>
            <w:vAlign w:val="center"/>
          </w:tcPr>
          <w:p>
            <w:r/>
            <w:r>
              <w:rPr>
                <w:b w:val="0"/>
                <w:sz w:val="18"/>
              </w:rPr>
              <w:t>Approximately 70 cm</w:t>
            </w:r>
          </w:p>
        </w:tc>
      </w:tr>
      <w:tr>
        <w:tc>
          <w:tcPr>
            <w:tcW w:type="dxa" w:w="4032"/>
            <w:vAlign w:val="center"/>
          </w:tcPr>
          <w:p>
            <w:r/>
            <w:r>
              <w:rPr>
                <w:b w:val="0"/>
                <w:sz w:val="18"/>
              </w:rPr>
              <w:t>10 inch centre height</w:t>
            </w:r>
          </w:p>
        </w:tc>
        <w:tc>
          <w:tcPr>
            <w:tcW w:type="dxa" w:w="6048"/>
            <w:vAlign w:val="center"/>
          </w:tcPr>
          <w:p>
            <w:r/>
            <w:r>
              <w:rPr>
                <w:b w:val="0"/>
                <w:sz w:val="18"/>
              </w:rPr>
              <w:t>Approximately 135 cm</w:t>
            </w:r>
          </w:p>
        </w:tc>
      </w:tr>
      <w:tr>
        <w:tc>
          <w:tcPr>
            <w:tcW w:type="dxa" w:w="4032"/>
            <w:vAlign w:val="center"/>
          </w:tcPr>
          <w:p>
            <w:r/>
            <w:r>
              <w:rPr>
                <w:b w:val="0"/>
                <w:sz w:val="18"/>
              </w:rPr>
              <w:t>12 inch magnet to front wall</w:t>
            </w:r>
          </w:p>
        </w:tc>
        <w:tc>
          <w:tcPr>
            <w:tcW w:type="dxa" w:w="6048"/>
            <w:vAlign w:val="center"/>
          </w:tcPr>
          <w:p>
            <w:r/>
            <w:r>
              <w:rPr>
                <w:b w:val="0"/>
                <w:sz w:val="18"/>
              </w:rPr>
              <w:t>Approximately 140 cm</w:t>
            </w:r>
          </w:p>
        </w:tc>
      </w:tr>
      <w:tr>
        <w:tc>
          <w:tcPr>
            <w:tcW w:type="dxa" w:w="4032"/>
            <w:vAlign w:val="center"/>
          </w:tcPr>
          <w:p>
            <w:r/>
            <w:r>
              <w:rPr>
                <w:b w:val="0"/>
                <w:sz w:val="18"/>
              </w:rPr>
              <w:t>12 inch cone to front wall</w:t>
            </w:r>
          </w:p>
        </w:tc>
        <w:tc>
          <w:tcPr>
            <w:tcW w:type="dxa" w:w="6048"/>
            <w:vAlign w:val="center"/>
          </w:tcPr>
          <w:p>
            <w:r/>
            <w:r>
              <w:rPr>
                <w:b w:val="0"/>
                <w:sz w:val="18"/>
              </w:rPr>
              <w:t>Approximately 160 cm</w:t>
            </w:r>
          </w:p>
        </w:tc>
      </w:tr>
      <w:tr>
        <w:tc>
          <w:tcPr>
            <w:tcW w:type="dxa" w:w="4032"/>
            <w:vAlign w:val="center"/>
          </w:tcPr>
          <w:p>
            <w:r/>
            <w:r>
              <w:rPr>
                <w:b w:val="0"/>
                <w:sz w:val="18"/>
              </w:rPr>
              <w:t>10 inch cone to front wall</w:t>
            </w:r>
          </w:p>
        </w:tc>
        <w:tc>
          <w:tcPr>
            <w:tcW w:type="dxa" w:w="6048"/>
            <w:vAlign w:val="center"/>
          </w:tcPr>
          <w:p>
            <w:r/>
            <w:r>
              <w:rPr>
                <w:b w:val="0"/>
                <w:sz w:val="18"/>
              </w:rPr>
              <w:t>Approximately 140 cm</w:t>
            </w:r>
          </w:p>
        </w:tc>
      </w:tr>
      <w:tr>
        <w:tc>
          <w:tcPr>
            <w:tcW w:type="dxa" w:w="4032"/>
            <w:vAlign w:val="center"/>
          </w:tcPr>
          <w:p>
            <w:r/>
            <w:r>
              <w:rPr>
                <w:b w:val="0"/>
                <w:sz w:val="18"/>
              </w:rPr>
              <w:t>Toe-in</w:t>
            </w:r>
          </w:p>
        </w:tc>
        <w:tc>
          <w:tcPr>
            <w:tcW w:type="dxa" w:w="6048"/>
            <w:vAlign w:val="center"/>
          </w:tcPr>
          <w:p>
            <w:r/>
            <w:r>
              <w:rPr>
                <w:b w:val="0"/>
                <w:sz w:val="18"/>
              </w:rPr>
              <w:t>70 inward, left and right stacks</w:t>
            </w:r>
          </w:p>
        </w:tc>
      </w:tr>
    </w:tbl>
    <w:p/>
    <w:p>
      <w:pPr>
        <w:pStyle w:val="Heading1"/>
      </w:pPr>
      <w:r>
        <w:t>Measurement equipment and method</w:t>
      </w:r>
    </w:p>
    <w:p>
      <w:pPr>
        <w:pStyle w:val="ListBullet"/>
      </w:pPr>
      <w:r>
        <w:t>UMIK-1 USB measurement microphone.</w:t>
      </w:r>
    </w:p>
    <w:p>
      <w:pPr>
        <w:pStyle w:val="ListBullet"/>
      </w:pPr>
      <w:r>
        <w:t>REW used for full-stack left/right and 10 inch-only sweeps.</w:t>
      </w:r>
    </w:p>
    <w:p>
      <w:pPr>
        <w:pStyle w:val="ListBullet"/>
      </w:pPr>
      <w:r>
        <w:t>Pink-noise levelling references: CD at 3 kHz, 10 inch at 1 kHz and 12 inch at 100 Hz.</w:t>
      </w:r>
    </w:p>
    <w:p>
      <w:pPr>
        <w:pStyle w:val="ListBullet"/>
      </w:pPr>
      <w:r>
        <w:t>Sweep level recorded as -12 dBFS with approximately 71 dB at the microphone.</w:t>
      </w:r>
    </w:p>
    <w:p>
      <w:pPr>
        <w:pStyle w:val="ListBullet"/>
      </w:pPr>
      <w:r>
        <w:t>Nearfield sweep investigation focused on 500-600 Hz.</w:t>
      </w:r>
    </w:p>
    <w:p>
      <w:pPr>
        <w:pStyle w:val="Heading1"/>
      </w:pPr>
      <w:r>
        <w:t>Recorded observations</w:t>
      </w:r>
    </w:p>
    <w:p>
      <w:pPr>
        <w:pStyle w:val="ListBullet"/>
      </w:pPr>
      <w:r>
        <w:t>A deep 80-90 Hz dip/null is associated with room interaction and SBIR.</w:t>
      </w:r>
    </w:p>
    <w:p>
      <w:pPr>
        <w:pStyle w:val="ListBullet"/>
      </w:pPr>
      <w:r>
        <w:t>An earlier 12 inch response dip was discussed around 50 Hz.</w:t>
      </w:r>
    </w:p>
    <w:p>
      <w:pPr>
        <w:pStyle w:val="ListBullet"/>
      </w:pPr>
      <w:r>
        <w:t>A 10 inch response feature around 500-600 Hz appeared at the seat but disappeared after moving the stacks away from the side walls, showing that nearfield and listening-seat results were not equivalent.</w:t>
      </w:r>
    </w:p>
    <w:p>
      <w:pPr>
        <w:pStyle w:val="ListBullet"/>
      </w:pPr>
      <w:r>
        <w:t>A possible 12-to-10 handoff depression around 230-280 Hz was identified as a hypothesis requiring fixed-position sweeps.</w:t>
      </w:r>
    </w:p>
    <w:p>
      <w:pPr>
        <w:pStyle w:val="ListBullet"/>
      </w:pPr>
      <w:r>
        <w:t>Subjective listening reports describe immediate snare attack, convincing percussion timing and bodily kicks without masking the drum solo.</w:t>
      </w:r>
    </w:p>
    <w:p>
      <w:pPr>
        <w:pStyle w:val="Heading1"/>
      </w:pPr>
      <w:r>
        <w:t>Treatment plan</w:t>
      </w:r>
    </w:p>
    <w:p>
      <w:pPr>
        <w:pStyle w:val="ListBullet"/>
      </w:pPr>
      <w:r>
        <w:t>10 cm Rockwool ceiling cloud with a 10 x 2 cm frame.</w:t>
      </w:r>
    </w:p>
    <w:p>
      <w:pPr>
        <w:pStyle w:val="ListBullet"/>
      </w:pPr>
      <w:r>
        <w:t>Candidate cloud sizes: 1200 x 600 mm, 1200 x 800 mm or 2000 x 1000 mm.</w:t>
      </w:r>
    </w:p>
    <w:p>
      <w:pPr>
        <w:pStyle w:val="ListBullet"/>
      </w:pPr>
      <w:r>
        <w:t>Focus treatment effort on the ceiling cloud and front-wall diffusion.</w:t>
      </w:r>
    </w:p>
    <w:p>
      <w:pPr>
        <w:pStyle w:val="ListBullet"/>
      </w:pPr>
      <w:r>
        <w:t>Do not use room EQ as the first response; establish placement, cabinet geometry and crossover alignment before electronic correction.</w:t>
      </w:r>
    </w:p>
    <w:p>
      <w:pPr>
        <w:pStyle w:val="Heading1"/>
      </w:pPr>
      <w:r>
        <w:t>Required measurement set</w:t>
      </w:r>
    </w:p>
    <w:p>
      <w:pPr>
        <w:pStyle w:val="ListNumber"/>
      </w:pPr>
      <w:r>
        <w:t>Repeat fixed-position 12 inch-only, 10 inch-only and combined sweeps.</w:t>
      </w:r>
    </w:p>
    <w:p>
      <w:pPr>
        <w:pStyle w:val="ListNumber"/>
      </w:pPr>
      <w:r>
        <w:t>Repeat the combined sweep with reversed 10 inch polarity to test the suspected handoff issue.</w:t>
      </w:r>
    </w:p>
    <w:p>
      <w:pPr>
        <w:pStyle w:val="ListNumber"/>
      </w:pPr>
      <w:r>
        <w:t>Run a completed-waveguide 10 inch sweep from 100 Hz to 5 kHz at approximately 1 m on the acoustic axis.</w:t>
      </w:r>
    </w:p>
    <w:p>
      <w:pPr>
        <w:pStyle w:val="ListNumber"/>
      </w:pPr>
      <w:r>
        <w:t>Run a 10 inch plus CD sweep from 800 Hz to 4 kHz at 0.7-1 m.</w:t>
      </w:r>
    </w:p>
    <w:p>
      <w:pPr>
        <w:pStyle w:val="ListNumber"/>
      </w:pPr>
      <w:r>
        <w:t>Record speaker positions, toe-in, microphone position, source chain, amplifier and crossover settings with every REW capture.</w:t>
      </w:r>
    </w:p>
    <w:p>
      <w:pPr>
        <w:pStyle w:val="Heading1"/>
      </w:pPr>
      <w:r>
        <w:t>Where to resume</w:t>
      </w:r>
    </w:p>
    <w:p>
      <w:r>
        <w:t>Attach or export the actual REW measurements into the archive. Store each raw capture once in the Measurements register, then link it to the room, 12 inch, 10 inch, horn, crossover and digital-source records using metadata.</w:t>
      </w:r>
    </w:p>
    <w:p>
      <w:pPr>
        <w:pStyle w:val="Heading1"/>
      </w:pPr>
      <w:r>
        <w:t>Evidence status</w:t>
      </w:r>
    </w:p>
    <w:p>
      <w:r>
        <w:t>Room geometry and the reported observations are recoverable from project history. Exact REW traces, raw files, measurement dates for every sweep and complete numerical response tables remain source-evidence gaps.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RIOT Electric Ballroom engineering archive | 15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