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Security Architecture &amp; Governance</w:t>
      </w:r>
    </w:p>
    <w:p>
      <w:r>
        <w:t>Document ID: LWILL-DOC-008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Security Objectives</w:t>
      </w:r>
    </w:p>
    <w:p>
      <w:r>
        <w:t>Protect tenant data, platform services, intellectual property, AI services, and business continuity while supporting enterprise-scale SaaS operations.</w:t>
      </w:r>
    </w:p>
    <w:p>
      <w:pPr>
        <w:pStyle w:val="Heading2"/>
      </w:pPr>
      <w:r>
        <w:t>2. Security Principles</w:t>
      </w:r>
    </w:p>
    <w:p>
      <w:pPr>
        <w:pStyle w:val="ListBullet"/>
      </w:pPr>
      <w:r>
        <w:t>Zero Trust Architecture</w:t>
      </w:r>
    </w:p>
    <w:p>
      <w:pPr>
        <w:pStyle w:val="ListBullet"/>
      </w:pPr>
      <w:r>
        <w:t>Least Privilege Access</w:t>
      </w:r>
    </w:p>
    <w:p>
      <w:pPr>
        <w:pStyle w:val="ListBullet"/>
      </w:pPr>
      <w:r>
        <w:t>Defense in Depth</w:t>
      </w:r>
    </w:p>
    <w:p>
      <w:pPr>
        <w:pStyle w:val="ListBullet"/>
      </w:pPr>
      <w:r>
        <w:t>Secure by Default</w:t>
      </w:r>
    </w:p>
    <w:p>
      <w:pPr>
        <w:pStyle w:val="ListBullet"/>
      </w:pPr>
      <w:r>
        <w:t>Privacy by Design</w:t>
      </w:r>
    </w:p>
    <w:p>
      <w:pPr>
        <w:pStyle w:val="ListBullet"/>
      </w:pPr>
      <w:r>
        <w:t>Audit Everything</w:t>
      </w:r>
    </w:p>
    <w:p>
      <w:pPr>
        <w:pStyle w:val="Heading2"/>
      </w:pPr>
      <w:r>
        <w:t>3. Identity &amp; Access Management</w:t>
      </w:r>
    </w:p>
    <w:p>
      <w:pPr>
        <w:pStyle w:val="ListBullet"/>
      </w:pPr>
      <w:r>
        <w:t>Supabase Auth / Keycloak</w:t>
      </w:r>
    </w:p>
    <w:p>
      <w:pPr>
        <w:pStyle w:val="ListBullet"/>
      </w:pPr>
      <w:r>
        <w:t>JWT Access Tokens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Future Attribute-Based Access Control (ABAC)</w:t>
      </w:r>
    </w:p>
    <w:p>
      <w:pPr>
        <w:pStyle w:val="Heading2"/>
      </w:pPr>
      <w:r>
        <w:t>4. Roles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Super Admin</w:t>
      </w:r>
    </w:p>
    <w:p>
      <w:pPr>
        <w:pStyle w:val="ListBullet"/>
      </w:pPr>
      <w:r>
        <w:t>Platform Administrator</w:t>
      </w:r>
    </w:p>
    <w:p>
      <w:pPr>
        <w:pStyle w:val="ListBullet"/>
      </w:pPr>
      <w:r>
        <w:t>Tenant Administrator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Department Manager</w:t>
      </w:r>
    </w:p>
    <w:p>
      <w:pPr>
        <w:pStyle w:val="ListBullet"/>
      </w:pPr>
      <w:r>
        <w:t>Employee</w:t>
      </w:r>
    </w:p>
    <w:p>
      <w:pPr>
        <w:pStyle w:val="ListBullet"/>
      </w:pPr>
      <w:r>
        <w:t>Customer</w:t>
      </w:r>
    </w:p>
    <w:p>
      <w:pPr>
        <w:pStyle w:val="ListBullet"/>
      </w:pPr>
      <w:r>
        <w:t>API User</w:t>
      </w:r>
    </w:p>
    <w:p>
      <w:pPr>
        <w:pStyle w:val="Heading2"/>
      </w:pPr>
      <w:r>
        <w:t>5. Data Security</w:t>
      </w:r>
    </w:p>
    <w:p>
      <w:pPr>
        <w:pStyle w:val="ListBullet"/>
      </w:pPr>
      <w:r>
        <w:t>HTTPS/TLS everywhere</w:t>
      </w:r>
    </w:p>
    <w:p>
      <w:pPr>
        <w:pStyle w:val="ListBullet"/>
      </w:pPr>
      <w:r>
        <w:t>Encryption at rest</w:t>
      </w:r>
    </w:p>
    <w:p>
      <w:pPr>
        <w:pStyle w:val="ListBullet"/>
      </w:pPr>
      <w:r>
        <w:t>Encrypted backups</w:t>
      </w:r>
    </w:p>
    <w:p>
      <w:pPr>
        <w:pStyle w:val="ListBullet"/>
      </w:pPr>
      <w:r>
        <w:t>Database-per-tenant (preferred)</w:t>
      </w:r>
    </w:p>
    <w:p>
      <w:pPr>
        <w:pStyle w:val="ListBullet"/>
      </w:pPr>
      <w:r>
        <w:t>Signed file URLs</w:t>
      </w:r>
    </w:p>
    <w:p>
      <w:pPr>
        <w:pStyle w:val="ListBullet"/>
      </w:pPr>
      <w:r>
        <w:t>Secrets stored outside source code</w:t>
      </w:r>
    </w:p>
    <w:p>
      <w:pPr>
        <w:pStyle w:val="Heading2"/>
      </w:pPr>
      <w:r>
        <w:t>6. Infrastructure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Control</w:t>
            </w:r>
          </w:p>
        </w:tc>
      </w:tr>
      <w:tr>
        <w:tc>
          <w:tcPr>
            <w:tcW w:type="dxa" w:w="4320"/>
          </w:tcPr>
          <w:p>
            <w:r>
              <w:t>Nginx</w:t>
            </w:r>
          </w:p>
        </w:tc>
        <w:tc>
          <w:tcPr>
            <w:tcW w:type="dxa" w:w="4320"/>
          </w:tcPr>
          <w:p>
            <w:r>
              <w:t>HTTPS, security headers, rate limiting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 isolation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Least-privilege accounts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Private network only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Branch protection &amp; reviews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Encrypted &amp; off-site</w:t>
            </w:r>
          </w:p>
        </w:tc>
      </w:tr>
    </w:tbl>
    <w:p>
      <w:pPr>
        <w:pStyle w:val="Heading2"/>
      </w:pPr>
      <w:r>
        <w:t>7. Audit &amp; Monitoring</w:t>
      </w:r>
    </w:p>
    <w:p>
      <w:pPr>
        <w:pStyle w:val="ListBullet"/>
      </w:pPr>
      <w:r>
        <w:t>User activity logs</w:t>
      </w:r>
    </w:p>
    <w:p>
      <w:pPr>
        <w:pStyle w:val="ListBullet"/>
      </w:pPr>
      <w:r>
        <w:t>Login history</w:t>
      </w:r>
    </w:p>
    <w:p>
      <w:pPr>
        <w:pStyle w:val="ListBullet"/>
      </w:pPr>
      <w:r>
        <w:t>Permission changes</w:t>
      </w:r>
    </w:p>
    <w:p>
      <w:pPr>
        <w:pStyle w:val="ListBullet"/>
      </w:pPr>
      <w:r>
        <w:t>AI usage logs</w:t>
      </w:r>
    </w:p>
    <w:p>
      <w:pPr>
        <w:pStyle w:val="ListBullet"/>
      </w:pPr>
      <w:r>
        <w:t>API request logs</w:t>
      </w:r>
    </w:p>
    <w:p>
      <w:pPr>
        <w:pStyle w:val="ListBullet"/>
      </w:pPr>
      <w:r>
        <w:t>Central monitoring and alerts</w:t>
      </w:r>
    </w:p>
    <w:p>
      <w:pPr>
        <w:pStyle w:val="Heading2"/>
      </w:pPr>
      <w:r>
        <w:t>8. Business Continuity</w:t>
      </w:r>
    </w:p>
    <w:p>
      <w:r>
        <w:t>Source code, documentation, secrets, and backups remain under platform owner control. Production servers are treated as replaceable deployment targets with automated recovery procedures.</w:t>
      </w:r>
    </w:p>
    <w:p>
      <w:pPr>
        <w:pStyle w:val="Heading2"/>
      </w:pPr>
      <w:r>
        <w:t>9. Future Compliance</w:t>
      </w:r>
    </w:p>
    <w:p>
      <w:pPr>
        <w:pStyle w:val="ListBullet"/>
      </w:pPr>
      <w:r>
        <w:t>ISO 27001 readiness</w:t>
      </w:r>
    </w:p>
    <w:p>
      <w:pPr>
        <w:pStyle w:val="ListBullet"/>
      </w:pPr>
      <w:r>
        <w:t>OWASP Top 10 alignment</w:t>
      </w:r>
    </w:p>
    <w:p>
      <w:pPr>
        <w:pStyle w:val="ListBullet"/>
      </w:pPr>
      <w:r>
        <w:t>GDPR-aware design</w:t>
      </w:r>
    </w:p>
    <w:p>
      <w:pPr>
        <w:pStyle w:val="ListBullet"/>
      </w:pPr>
      <w:r>
        <w:t>Indian DPDP Act readiness</w:t>
      </w:r>
    </w:p>
    <w:p>
      <w:pPr>
        <w:pStyle w:val="ListBullet"/>
      </w:pPr>
      <w:r>
        <w:t>Healthcare compliance extensions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