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AI Architecture &amp; Prompt Engineering Blueprint</w:t>
      </w:r>
    </w:p>
    <w:p>
      <w:r>
        <w:t>Document ID: LWILL-DOC-013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AI architecture, model orchestration, prompt engineering standards, agent framework, and governance for LWILL AI BUILDER.</w:t>
      </w:r>
    </w:p>
    <w:p>
      <w:pPr>
        <w:pStyle w:val="Heading2"/>
      </w:pPr>
      <w:r>
        <w:t>2. AI Objectives</w:t>
      </w:r>
    </w:p>
    <w:p>
      <w:pPr>
        <w:pStyle w:val="ListBullet"/>
      </w:pPr>
      <w:r>
        <w:t>Generate websites, ERP and CRM modules</w:t>
      </w:r>
    </w:p>
    <w:p>
      <w:pPr>
        <w:pStyle w:val="ListBullet"/>
      </w:pPr>
      <w:r>
        <w:t>Automate business workflows</w:t>
      </w:r>
    </w:p>
    <w:p>
      <w:pPr>
        <w:pStyle w:val="ListBullet"/>
      </w:pPr>
      <w:r>
        <w:t>Create marketing assets and content</w:t>
      </w:r>
    </w:p>
    <w:p>
      <w:pPr>
        <w:pStyle w:val="ListBullet"/>
      </w:pPr>
      <w:r>
        <w:t>Assist users through AI chat</w:t>
      </w:r>
    </w:p>
    <w:p>
      <w:pPr>
        <w:pStyle w:val="ListBullet"/>
      </w:pPr>
      <w:r>
        <w:t>Enable reusable AI agents</w:t>
      </w:r>
    </w:p>
    <w:p>
      <w:pPr>
        <w:pStyle w:val="Heading2"/>
      </w:pPr>
      <w:r>
        <w:t>3. AI Model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Preferred Model</w:t>
            </w:r>
          </w:p>
        </w:tc>
      </w:tr>
      <w:tr>
        <w:tc>
          <w:tcPr>
            <w:tcW w:type="dxa" w:w="4320"/>
          </w:tcPr>
          <w:p>
            <w:r>
              <w:t>Code Generation</w:t>
            </w:r>
          </w:p>
        </w:tc>
        <w:tc>
          <w:tcPr>
            <w:tcW w:type="dxa" w:w="4320"/>
          </w:tcPr>
          <w:p>
            <w:r>
              <w:t>GPT / Claude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GPT / DeepSeek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GPT / Gemini</w:t>
            </w:r>
          </w:p>
        </w:tc>
      </w:tr>
      <w:tr>
        <w:tc>
          <w:tcPr>
            <w:tcW w:type="dxa" w:w="4320"/>
          </w:tcPr>
          <w:p>
            <w:r>
              <w:t>Image Prompting</w:t>
            </w:r>
          </w:p>
        </w:tc>
        <w:tc>
          <w:tcPr>
            <w:tcW w:type="dxa" w:w="4320"/>
          </w:tcPr>
          <w:p>
            <w:r>
              <w:t>Image generation provider</w:t>
            </w:r>
          </w:p>
        </w:tc>
      </w:tr>
      <w:tr>
        <w:tc>
          <w:tcPr>
            <w:tcW w:type="dxa" w:w="4320"/>
          </w:tcPr>
          <w:p>
            <w:r>
              <w:t>Local Offline Tasks</w:t>
            </w:r>
          </w:p>
        </w:tc>
        <w:tc>
          <w:tcPr>
            <w:tcW w:type="dxa" w:w="4320"/>
          </w:tcPr>
          <w:p>
            <w:r>
              <w:t>Ollama</w:t>
            </w:r>
          </w:p>
        </w:tc>
      </w:tr>
    </w:tbl>
    <w:p>
      <w:pPr>
        <w:pStyle w:val="Heading2"/>
      </w:pPr>
      <w:r>
        <w:t>4. AI Agents</w:t>
      </w:r>
    </w:p>
    <w:p>
      <w:pPr>
        <w:pStyle w:val="ListBullet"/>
      </w:pPr>
      <w:r>
        <w:t>Platform Architect Agent</w:t>
      </w:r>
    </w:p>
    <w:p>
      <w:pPr>
        <w:pStyle w:val="ListBullet"/>
      </w:pPr>
      <w:r>
        <w:t>ERP Builder Agent</w:t>
      </w:r>
    </w:p>
    <w:p>
      <w:pPr>
        <w:pStyle w:val="ListBullet"/>
      </w:pPr>
      <w:r>
        <w:t>Marketing Agent</w:t>
      </w:r>
    </w:p>
    <w:p>
      <w:pPr>
        <w:pStyle w:val="ListBullet"/>
      </w:pPr>
      <w:r>
        <w:t>Commerce Agent</w:t>
      </w:r>
    </w:p>
    <w:p>
      <w:pPr>
        <w:pStyle w:val="ListBullet"/>
      </w:pPr>
      <w:r>
        <w:t>Healthcare Agent</w:t>
      </w:r>
    </w:p>
    <w:p>
      <w:pPr>
        <w:pStyle w:val="ListBullet"/>
      </w:pPr>
      <w:r>
        <w:t>Salon Agent</w:t>
      </w:r>
    </w:p>
    <w:p>
      <w:pPr>
        <w:pStyle w:val="ListBullet"/>
      </w:pPr>
      <w:r>
        <w:t>Support Agent</w:t>
      </w:r>
    </w:p>
    <w:p>
      <w:pPr>
        <w:pStyle w:val="ListBullet"/>
      </w:pPr>
      <w:r>
        <w:t>Analytics Agent</w:t>
      </w:r>
    </w:p>
    <w:p>
      <w:pPr>
        <w:pStyle w:val="Heading2"/>
      </w:pPr>
      <w:r>
        <w:t>5. Prompt Standards</w:t>
      </w:r>
    </w:p>
    <w:p>
      <w:pPr>
        <w:pStyle w:val="ListBullet"/>
      </w:pPr>
      <w:r>
        <w:t>Use structured system prompts</w:t>
      </w:r>
    </w:p>
    <w:p>
      <w:pPr>
        <w:pStyle w:val="ListBullet"/>
      </w:pPr>
      <w:r>
        <w:t>Separate business context from user input</w:t>
      </w:r>
    </w:p>
    <w:p>
      <w:pPr>
        <w:pStyle w:val="ListBullet"/>
      </w:pPr>
      <w:r>
        <w:t>Reuse approved prompt templates</w:t>
      </w:r>
    </w:p>
    <w:p>
      <w:pPr>
        <w:pStyle w:val="ListBullet"/>
      </w:pPr>
      <w:r>
        <w:t>Log AI requests and responses</w:t>
      </w:r>
    </w:p>
    <w:p>
      <w:pPr>
        <w:pStyle w:val="ListBullet"/>
      </w:pPr>
      <w:r>
        <w:t>Validate AI-generated output before deployment</w:t>
      </w:r>
    </w:p>
    <w:p>
      <w:pPr>
        <w:pStyle w:val="Heading2"/>
      </w:pPr>
      <w:r>
        <w:t>6. Safety &amp; Governance</w:t>
      </w:r>
    </w:p>
    <w:p>
      <w:pPr>
        <w:pStyle w:val="ListBullet"/>
      </w:pPr>
      <w:r>
        <w:t>Role-based AI access</w:t>
      </w:r>
    </w:p>
    <w:p>
      <w:pPr>
        <w:pStyle w:val="ListBullet"/>
      </w:pPr>
      <w:r>
        <w:t>Tenant data isolation</w:t>
      </w:r>
    </w:p>
    <w:p>
      <w:pPr>
        <w:pStyle w:val="ListBullet"/>
      </w:pPr>
      <w:r>
        <w:t>Prompt versioning</w:t>
      </w:r>
    </w:p>
    <w:p>
      <w:pPr>
        <w:pStyle w:val="ListBullet"/>
      </w:pPr>
      <w:r>
        <w:t>Usage quotas</w:t>
      </w:r>
    </w:p>
    <w:p>
      <w:pPr>
        <w:pStyle w:val="ListBullet"/>
      </w:pPr>
      <w:r>
        <w:t>Audit trail for AI actions</w:t>
      </w:r>
    </w:p>
    <w:p>
      <w:pPr>
        <w:pStyle w:val="Heading2"/>
      </w:pPr>
      <w:r>
        <w:t>7. Future Roadmap</w:t>
      </w:r>
    </w:p>
    <w:p>
      <w:r>
        <w:t>Multi-agent orchestration, autonomous workflows, AI marketplace, and customer-specific AI knowledge 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