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Multi-Tenant Engine SRS</w:t>
      </w:r>
    </w:p>
    <w:p>
      <w:r>
        <w:t>Document ID: LWILL-DOC-014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Specify the functional and technical requirements for the Multi-Tenant Engine that powers all customer applications.</w:t>
      </w:r>
    </w:p>
    <w:p>
      <w:pPr>
        <w:pStyle w:val="Heading2"/>
      </w:pPr>
      <w:r>
        <w:t>2. Objectives</w:t>
      </w:r>
    </w:p>
    <w:p>
      <w:pPr>
        <w:pStyle w:val="ListBullet"/>
      </w:pPr>
      <w:r>
        <w:t>Support unlimited tenants</w:t>
      </w:r>
    </w:p>
    <w:p>
      <w:pPr>
        <w:pStyle w:val="ListBullet"/>
      </w:pPr>
      <w:r>
        <w:t>Complete tenant isolation</w:t>
      </w:r>
    </w:p>
    <w:p>
      <w:pPr>
        <w:pStyle w:val="ListBullet"/>
      </w:pPr>
      <w:r>
        <w:t>White-label branding</w:t>
      </w:r>
    </w:p>
    <w:p>
      <w:pPr>
        <w:pStyle w:val="ListBullet"/>
      </w:pPr>
      <w:r>
        <w:t>Module activation per tenant</w:t>
      </w:r>
    </w:p>
    <w:p>
      <w:pPr>
        <w:pStyle w:val="ListBullet"/>
      </w:pPr>
      <w:r>
        <w:t>Subscription &amp; licensing</w:t>
      </w:r>
    </w:p>
    <w:p>
      <w:pPr>
        <w:pStyle w:val="ListBullet"/>
      </w:pPr>
      <w:r>
        <w:t>Independent backups</w:t>
      </w:r>
    </w:p>
    <w:p>
      <w:pPr>
        <w:pStyle w:val="Heading2"/>
      </w:pPr>
      <w:r>
        <w:t>3. Core Entities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Tenant</w:t>
      </w:r>
    </w:p>
    <w:p>
      <w:pPr>
        <w:pStyle w:val="ListBullet"/>
      </w:pPr>
      <w:r>
        <w:t>Subscription</w:t>
      </w:r>
    </w:p>
    <w:p>
      <w:pPr>
        <w:pStyle w:val="ListBullet"/>
      </w:pPr>
      <w:r>
        <w:t>License</w:t>
      </w:r>
    </w:p>
    <w:p>
      <w:pPr>
        <w:pStyle w:val="ListBullet"/>
      </w:pPr>
      <w:r>
        <w:t>Domain</w:t>
      </w:r>
    </w:p>
    <w:p>
      <w:pPr>
        <w:pStyle w:val="ListBullet"/>
      </w:pPr>
      <w:r>
        <w:t>Brand Settings</w:t>
      </w:r>
    </w:p>
    <w:p>
      <w:pPr>
        <w:pStyle w:val="ListBullet"/>
      </w:pPr>
      <w:r>
        <w:t>Modules</w:t>
      </w:r>
    </w:p>
    <w:p>
      <w:pPr>
        <w:pStyle w:val="ListBullet"/>
      </w:pPr>
      <w:r>
        <w:t>Users</w:t>
      </w:r>
    </w:p>
    <w:p>
      <w:pPr>
        <w:pStyle w:val="ListBullet"/>
      </w:pPr>
      <w:r>
        <w:t>Branches</w:t>
      </w:r>
    </w:p>
    <w:p>
      <w:pPr>
        <w:pStyle w:val="ListBullet"/>
      </w:pPr>
      <w:r>
        <w:t>Storage Quota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MT-001</w:t>
            </w:r>
          </w:p>
        </w:tc>
        <w:tc>
          <w:tcPr>
            <w:tcW w:type="dxa" w:w="4320"/>
          </w:tcPr>
          <w:p>
            <w:r>
              <w:t>Create, suspend, archive and delete tenants.</w:t>
            </w:r>
          </w:p>
        </w:tc>
      </w:tr>
      <w:tr>
        <w:tc>
          <w:tcPr>
            <w:tcW w:type="dxa" w:w="4320"/>
          </w:tcPr>
          <w:p>
            <w:r>
              <w:t>MT-002</w:t>
            </w:r>
          </w:p>
        </w:tc>
        <w:tc>
          <w:tcPr>
            <w:tcW w:type="dxa" w:w="4320"/>
          </w:tcPr>
          <w:p>
            <w:r>
              <w:t>Assign custom domain or subdomain.</w:t>
            </w:r>
          </w:p>
        </w:tc>
      </w:tr>
      <w:tr>
        <w:tc>
          <w:tcPr>
            <w:tcW w:type="dxa" w:w="4320"/>
          </w:tcPr>
          <w:p>
            <w:r>
              <w:t>MT-003</w:t>
            </w:r>
          </w:p>
        </w:tc>
        <w:tc>
          <w:tcPr>
            <w:tcW w:type="dxa" w:w="4320"/>
          </w:tcPr>
          <w:p>
            <w:r>
              <w:t>Enable/disable modules per tenant.</w:t>
            </w:r>
          </w:p>
        </w:tc>
      </w:tr>
      <w:tr>
        <w:tc>
          <w:tcPr>
            <w:tcW w:type="dxa" w:w="4320"/>
          </w:tcPr>
          <w:p>
            <w:r>
              <w:t>MT-004</w:t>
            </w:r>
          </w:p>
        </w:tc>
        <w:tc>
          <w:tcPr>
            <w:tcW w:type="dxa" w:w="4320"/>
          </w:tcPr>
          <w:p>
            <w:r>
              <w:t>Maintain isolated data and configuration.</w:t>
            </w:r>
          </w:p>
        </w:tc>
      </w:tr>
      <w:tr>
        <w:tc>
          <w:tcPr>
            <w:tcW w:type="dxa" w:w="4320"/>
          </w:tcPr>
          <w:p>
            <w:r>
              <w:t>MT-005</w:t>
            </w:r>
          </w:p>
        </w:tc>
        <w:tc>
          <w:tcPr>
            <w:tcW w:type="dxa" w:w="4320"/>
          </w:tcPr>
          <w:p>
            <w:r>
              <w:t>Track subscription, renewal and license status.</w:t>
            </w:r>
          </w:p>
        </w:tc>
      </w:tr>
      <w:tr>
        <w:tc>
          <w:tcPr>
            <w:tcW w:type="dxa" w:w="4320"/>
          </w:tcPr>
          <w:p>
            <w:r>
              <w:t>MT-006</w:t>
            </w:r>
          </w:p>
        </w:tc>
        <w:tc>
          <w:tcPr>
            <w:tcW w:type="dxa" w:w="4320"/>
          </w:tcPr>
          <w:p>
            <w:r>
              <w:t>Generate per-tenant backups.</w:t>
            </w:r>
          </w:p>
        </w:tc>
      </w:tr>
      <w:tr>
        <w:tc>
          <w:tcPr>
            <w:tcW w:type="dxa" w:w="4320"/>
          </w:tcPr>
          <w:p>
            <w:r>
              <w:t>MT-007</w:t>
            </w:r>
          </w:p>
        </w:tc>
        <w:tc>
          <w:tcPr>
            <w:tcW w:type="dxa" w:w="4320"/>
          </w:tcPr>
          <w:p>
            <w:r>
              <w:t>Support branding (logo, colors, theme).</w:t>
            </w:r>
          </w:p>
        </w:tc>
      </w:tr>
      <w:tr>
        <w:tc>
          <w:tcPr>
            <w:tcW w:type="dxa" w:w="4320"/>
          </w:tcPr>
          <w:p>
            <w:r>
              <w:t>MT-008</w:t>
            </w:r>
          </w:p>
        </w:tc>
        <w:tc>
          <w:tcPr>
            <w:tcW w:type="dxa" w:w="4320"/>
          </w:tcPr>
          <w:p>
            <w:r>
              <w:t>Provide tenant usage analytics.</w:t>
            </w:r>
          </w:p>
        </w:tc>
      </w:tr>
    </w:tbl>
    <w:p>
      <w:pPr>
        <w:pStyle w:val="Heading2"/>
      </w:pPr>
      <w:r>
        <w:t>5. Tenant Lifecycle</w:t>
      </w:r>
    </w:p>
    <w:p>
      <w:r>
        <w:t>Lead → Demo → Customer → Tenant Created → Module Activation → User Onboarding → Go Live → Renewal / Upgrade → Archive</w:t>
      </w:r>
    </w:p>
    <w:p>
      <w:pPr>
        <w:pStyle w:val="Heading2"/>
      </w:pPr>
      <w:r>
        <w:t>6. Tenant Provisioning</w:t>
      </w:r>
    </w:p>
    <w:p>
      <w:pPr>
        <w:pStyle w:val="ListBullet"/>
      </w:pPr>
      <w:r>
        <w:t>Create database (preferred architecture)</w:t>
      </w:r>
    </w:p>
    <w:p>
      <w:pPr>
        <w:pStyle w:val="ListBullet"/>
      </w:pPr>
      <w:r>
        <w:t>Run migrations</w:t>
      </w:r>
    </w:p>
    <w:p>
      <w:pPr>
        <w:pStyle w:val="ListBullet"/>
      </w:pPr>
      <w:r>
        <w:t>Create admin account</w:t>
      </w:r>
    </w:p>
    <w:p>
      <w:pPr>
        <w:pStyle w:val="ListBullet"/>
      </w:pPr>
      <w:r>
        <w:t>Apply branding</w:t>
      </w:r>
    </w:p>
    <w:p>
      <w:pPr>
        <w:pStyle w:val="ListBullet"/>
      </w:pPr>
      <w:r>
        <w:t>Assign modules</w:t>
      </w:r>
    </w:p>
    <w:p>
      <w:pPr>
        <w:pStyle w:val="ListBullet"/>
      </w:pPr>
      <w:r>
        <w:t>Configure backups</w:t>
      </w:r>
    </w:p>
    <w:p>
      <w:pPr>
        <w:pStyle w:val="ListBullet"/>
      </w:pPr>
      <w:r>
        <w:t>Send welcome email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Tenant can be provisioned in minutes</w:t>
      </w:r>
    </w:p>
    <w:p>
      <w:pPr>
        <w:pStyle w:val="ListBullet"/>
      </w:pPr>
      <w:r>
        <w:t>Data isolation verified</w:t>
      </w:r>
    </w:p>
    <w:p>
      <w:pPr>
        <w:pStyle w:val="ListBullet"/>
      </w:pPr>
      <w:r>
        <w:t>Custom branding applied</w:t>
      </w:r>
    </w:p>
    <w:p>
      <w:pPr>
        <w:pStyle w:val="ListBullet"/>
      </w:pPr>
      <w:r>
        <w:t>Modules activate correctly</w:t>
      </w:r>
    </w:p>
    <w:p>
      <w:pPr>
        <w:pStyle w:val="ListBullet"/>
      </w:pPr>
      <w:r>
        <w:t>Backup &amp; restore validated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