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Authentication &amp; RBAC SRS</w:t>
      </w:r>
    </w:p>
    <w:p>
      <w:r>
        <w:t>Document ID: LWILL-DOC-015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authentication, authorization, session management and role-based access control requirements for the LWILL AI BUILDER platform.</w:t>
      </w:r>
    </w:p>
    <w:p>
      <w:pPr>
        <w:pStyle w:val="Heading2"/>
      </w:pPr>
      <w:r>
        <w:t>2. Supported Authentication</w:t>
      </w:r>
    </w:p>
    <w:p>
      <w:pPr>
        <w:pStyle w:val="ListBullet"/>
      </w:pPr>
      <w:r>
        <w:t>Email &amp; Password</w:t>
      </w:r>
    </w:p>
    <w:p>
      <w:pPr>
        <w:pStyle w:val="ListBullet"/>
      </w:pPr>
      <w:r>
        <w:t>Google Sign-In (future)</w:t>
      </w:r>
    </w:p>
    <w:p>
      <w:pPr>
        <w:pStyle w:val="ListBullet"/>
      </w:pPr>
      <w:r>
        <w:t>Microsoft Sign-In (future)</w:t>
      </w:r>
    </w:p>
    <w:p>
      <w:pPr>
        <w:pStyle w:val="ListBullet"/>
      </w:pPr>
      <w:r>
        <w:t>OTP Login (future)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API Key Authentication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Super Admin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Department Manager</w:t>
      </w:r>
    </w:p>
    <w:p>
      <w:pPr>
        <w:pStyle w:val="ListBullet"/>
      </w:pPr>
      <w:r>
        <w:t>Employee</w:t>
      </w:r>
    </w:p>
    <w:p>
      <w:pPr>
        <w:pStyle w:val="ListBullet"/>
      </w:pPr>
      <w:r>
        <w:t>Customer</w:t>
      </w:r>
    </w:p>
    <w:p>
      <w:pPr>
        <w:pStyle w:val="ListBullet"/>
      </w:pPr>
      <w:r>
        <w:t>Developer</w:t>
      </w:r>
    </w:p>
    <w:p>
      <w:pPr>
        <w:pStyle w:val="ListBullet"/>
      </w:pPr>
      <w:r>
        <w:t>API Client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AUTH-001</w:t>
            </w:r>
          </w:p>
        </w:tc>
        <w:tc>
          <w:tcPr>
            <w:tcW w:type="dxa" w:w="4320"/>
          </w:tcPr>
          <w:p>
            <w:r>
              <w:t>User can securely log in.</w:t>
            </w:r>
          </w:p>
        </w:tc>
      </w:tr>
      <w:tr>
        <w:tc>
          <w:tcPr>
            <w:tcW w:type="dxa" w:w="4320"/>
          </w:tcPr>
          <w:p>
            <w:r>
              <w:t>AUTH-002</w:t>
            </w:r>
          </w:p>
        </w:tc>
        <w:tc>
          <w:tcPr>
            <w:tcW w:type="dxa" w:w="4320"/>
          </w:tcPr>
          <w:p>
            <w:r>
              <w:t>Password reset via verified email.</w:t>
            </w:r>
          </w:p>
        </w:tc>
      </w:tr>
      <w:tr>
        <w:tc>
          <w:tcPr>
            <w:tcW w:type="dxa" w:w="4320"/>
          </w:tcPr>
          <w:p>
            <w:r>
              <w:t>AUTH-003</w:t>
            </w:r>
          </w:p>
        </w:tc>
        <w:tc>
          <w:tcPr>
            <w:tcW w:type="dxa" w:w="4320"/>
          </w:tcPr>
          <w:p>
            <w:r>
              <w:t>JWT access token with refresh token.</w:t>
            </w:r>
          </w:p>
        </w:tc>
      </w:tr>
      <w:tr>
        <w:tc>
          <w:tcPr>
            <w:tcW w:type="dxa" w:w="4320"/>
          </w:tcPr>
          <w:p>
            <w:r>
              <w:t>AUTH-004</w:t>
            </w:r>
          </w:p>
        </w:tc>
        <w:tc>
          <w:tcPr>
            <w:tcW w:type="dxa" w:w="4320"/>
          </w:tcPr>
          <w:p>
            <w:r>
              <w:t>Role-based access enforced for UI and APIs.</w:t>
            </w:r>
          </w:p>
        </w:tc>
      </w:tr>
      <w:tr>
        <w:tc>
          <w:tcPr>
            <w:tcW w:type="dxa" w:w="4320"/>
          </w:tcPr>
          <w:p>
            <w:r>
              <w:t>AUTH-005</w:t>
            </w:r>
          </w:p>
        </w:tc>
        <w:tc>
          <w:tcPr>
            <w:tcW w:type="dxa" w:w="4320"/>
          </w:tcPr>
          <w:p>
            <w:r>
              <w:t>Session timeout and logout from all devices.</w:t>
            </w:r>
          </w:p>
        </w:tc>
      </w:tr>
      <w:tr>
        <w:tc>
          <w:tcPr>
            <w:tcW w:type="dxa" w:w="4320"/>
          </w:tcPr>
          <w:p>
            <w:r>
              <w:t>AUTH-006</w:t>
            </w:r>
          </w:p>
        </w:tc>
        <w:tc>
          <w:tcPr>
            <w:tcW w:type="dxa" w:w="4320"/>
          </w:tcPr>
          <w:p>
            <w:r>
              <w:t>Audit every authentication event.</w:t>
            </w:r>
          </w:p>
        </w:tc>
      </w:tr>
      <w:tr>
        <w:tc>
          <w:tcPr>
            <w:tcW w:type="dxa" w:w="4320"/>
          </w:tcPr>
          <w:p>
            <w:r>
              <w:t>AUTH-007</w:t>
            </w:r>
          </w:p>
        </w:tc>
        <w:tc>
          <w:tcPr>
            <w:tcW w:type="dxa" w:w="4320"/>
          </w:tcPr>
          <w:p>
            <w:r>
              <w:t>Support MFA for privileged users.</w:t>
            </w:r>
          </w:p>
        </w:tc>
      </w:tr>
      <w:tr>
        <w:tc>
          <w:tcPr>
            <w:tcW w:type="dxa" w:w="4320"/>
          </w:tcPr>
          <w:p>
            <w:r>
              <w:t>AUTH-008</w:t>
            </w:r>
          </w:p>
        </w:tc>
        <w:tc>
          <w:tcPr>
            <w:tcW w:type="dxa" w:w="4320"/>
          </w:tcPr>
          <w:p>
            <w:r>
              <w:t>API authentication for external integrations.</w:t>
            </w:r>
          </w:p>
        </w:tc>
      </w:tr>
    </w:tbl>
    <w:p>
      <w:pPr>
        <w:pStyle w:val="Heading2"/>
      </w:pPr>
      <w:r>
        <w:t>5. Permission Domains</w:t>
      </w:r>
    </w:p>
    <w:p>
      <w:pPr>
        <w:pStyle w:val="ListBullet"/>
      </w:pPr>
      <w:r>
        <w:t>Platform</w:t>
      </w:r>
    </w:p>
    <w:p>
      <w:pPr>
        <w:pStyle w:val="ListBullet"/>
      </w:pPr>
      <w:r>
        <w:t>Tenant</w:t>
      </w:r>
    </w:p>
    <w:p>
      <w:pPr>
        <w:pStyle w:val="ListBullet"/>
      </w:pPr>
      <w:r>
        <w:t>CRM</w:t>
      </w:r>
    </w:p>
    <w:p>
      <w:pPr>
        <w:pStyle w:val="ListBullet"/>
      </w:pPr>
      <w:r>
        <w:t>Inventory</w:t>
      </w:r>
    </w:p>
    <w:p>
      <w:pPr>
        <w:pStyle w:val="ListBullet"/>
      </w:pPr>
      <w:r>
        <w:t>Finance</w:t>
      </w:r>
    </w:p>
    <w:p>
      <w:pPr>
        <w:pStyle w:val="ListBullet"/>
      </w:pPr>
      <w:r>
        <w:t>HRMS</w:t>
      </w:r>
    </w:p>
    <w:p>
      <w:pPr>
        <w:pStyle w:val="ListBullet"/>
      </w:pPr>
      <w:r>
        <w:t>Marketing</w:t>
      </w:r>
    </w:p>
    <w:p>
      <w:pPr>
        <w:pStyle w:val="ListBullet"/>
      </w:pPr>
      <w:r>
        <w:t>Commerce</w:t>
      </w:r>
    </w:p>
    <w:p>
      <w:pPr>
        <w:pStyle w:val="ListBullet"/>
      </w:pPr>
      <w:r>
        <w:t>Healthcare</w:t>
      </w:r>
    </w:p>
    <w:p>
      <w:pPr>
        <w:pStyle w:val="ListBullet"/>
      </w:pPr>
      <w:r>
        <w:t>Salon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>
      <w:pPr>
        <w:pStyle w:val="ListBullet"/>
      </w:pPr>
      <w:r>
        <w:t>AI Services</w:t>
      </w:r>
    </w:p>
    <w:p>
      <w:pPr>
        <w:pStyle w:val="Heading2"/>
      </w:pPr>
      <w:r>
        <w:t>6. Security Controls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HTTPS only</w:t>
      </w:r>
    </w:p>
    <w:p>
      <w:pPr>
        <w:pStyle w:val="ListBullet"/>
      </w:pPr>
      <w:r>
        <w:t>JWT signing keys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Failed login lockout</w:t>
      </w:r>
    </w:p>
    <w:p>
      <w:pPr>
        <w:pStyle w:val="ListBullet"/>
      </w:pPr>
      <w:r>
        <w:t>Device/session tracking</w:t>
      </w:r>
    </w:p>
    <w:p>
      <w:pPr>
        <w:pStyle w:val="ListBullet"/>
      </w:pPr>
      <w:r>
        <w:t>Audit logs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Unauthorized users cannot access protected resources.</w:t>
      </w:r>
    </w:p>
    <w:p>
      <w:pPr>
        <w:pStyle w:val="ListBullet"/>
      </w:pPr>
      <w:r>
        <w:t>Permissions are enforced consistently.</w:t>
      </w:r>
    </w:p>
    <w:p>
      <w:pPr>
        <w:pStyle w:val="ListBullet"/>
      </w:pPr>
      <w:r>
        <w:t>Sessions can be revoked.</w:t>
      </w:r>
    </w:p>
    <w:p>
      <w:pPr>
        <w:pStyle w:val="ListBullet"/>
      </w:pPr>
      <w:r>
        <w:t>MFA works for privileged accounts.</w:t>
      </w:r>
    </w:p>
    <w:p>
      <w:pPr>
        <w:pStyle w:val="ListBullet"/>
      </w:pPr>
      <w:r>
        <w:t>Authentication events appear in audit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