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Finance &amp; Accounting Software Requirements Specification (SRS)</w:t>
      </w:r>
    </w:p>
    <w:p>
      <w:r>
        <w:t>Document ID: LWILL-DOC-023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reusable Finance &amp; Accounting module for all LWILL AI BUILDER tenants.</w:t>
      </w:r>
    </w:p>
    <w:p>
      <w:pPr>
        <w:pStyle w:val="Heading2"/>
      </w:pPr>
      <w:r>
        <w:t>2. Scope</w:t>
      </w:r>
    </w:p>
    <w:p>
      <w:pPr>
        <w:pStyle w:val="ListBullet"/>
      </w:pPr>
      <w:r>
        <w:t>Chart of Accounts</w:t>
      </w:r>
    </w:p>
    <w:p>
      <w:pPr>
        <w:pStyle w:val="ListBullet"/>
      </w:pPr>
      <w:r>
        <w:t>General Ledger</w:t>
      </w:r>
    </w:p>
    <w:p>
      <w:pPr>
        <w:pStyle w:val="ListBullet"/>
      </w:pPr>
      <w:r>
        <w:t>Accounts Receivable</w:t>
      </w:r>
    </w:p>
    <w:p>
      <w:pPr>
        <w:pStyle w:val="ListBullet"/>
      </w:pPr>
      <w:r>
        <w:t>Accounts Payable</w:t>
      </w:r>
    </w:p>
    <w:p>
      <w:pPr>
        <w:pStyle w:val="ListBullet"/>
      </w:pPr>
      <w:r>
        <w:t>GST</w:t>
      </w:r>
    </w:p>
    <w:p>
      <w:pPr>
        <w:pStyle w:val="ListBullet"/>
      </w:pPr>
      <w:r>
        <w:t>Invoices</w:t>
      </w:r>
    </w:p>
    <w:p>
      <w:pPr>
        <w:pStyle w:val="ListBullet"/>
      </w:pPr>
      <w:r>
        <w:t>Payments</w:t>
      </w:r>
    </w:p>
    <w:p>
      <w:pPr>
        <w:pStyle w:val="ListBullet"/>
      </w:pPr>
      <w:r>
        <w:t>Receipts</w:t>
      </w:r>
    </w:p>
    <w:p>
      <w:pPr>
        <w:pStyle w:val="ListBullet"/>
      </w:pPr>
      <w:r>
        <w:t>Bank Reconciliation</w:t>
      </w:r>
    </w:p>
    <w:p>
      <w:pPr>
        <w:pStyle w:val="ListBullet"/>
      </w:pPr>
      <w:r>
        <w:t>Expense Management</w:t>
      </w:r>
    </w:p>
    <w:p>
      <w:pPr>
        <w:pStyle w:val="ListBullet"/>
      </w:pPr>
      <w:r>
        <w:t>Budgeting</w:t>
      </w:r>
    </w:p>
    <w:p>
      <w:pPr>
        <w:pStyle w:val="ListBullet"/>
      </w:pPr>
      <w:r>
        <w:t>Fixed Assets</w:t>
      </w:r>
    </w:p>
    <w:p>
      <w:pPr>
        <w:pStyle w:val="ListBullet"/>
      </w:pPr>
      <w:r>
        <w:t>Financial Reports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Admin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Finance Manager</w:t>
      </w:r>
    </w:p>
    <w:p>
      <w:pPr>
        <w:pStyle w:val="ListBullet"/>
      </w:pPr>
      <w:r>
        <w:t>Accountant</w:t>
      </w:r>
    </w:p>
    <w:p>
      <w:pPr>
        <w:pStyle w:val="ListBullet"/>
      </w:pPr>
      <w:r>
        <w:t>Cashier</w:t>
      </w:r>
    </w:p>
    <w:p>
      <w:pPr>
        <w:pStyle w:val="ListBullet"/>
      </w:pPr>
      <w:r>
        <w:t>Auditor</w:t>
      </w:r>
    </w:p>
    <w:p>
      <w:pPr>
        <w:pStyle w:val="ListBullet"/>
      </w:pPr>
      <w:r>
        <w:t>Branch Manager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FIN-001</w:t>
            </w:r>
          </w:p>
        </w:tc>
        <w:tc>
          <w:tcPr>
            <w:tcW w:type="dxa" w:w="4320"/>
          </w:tcPr>
          <w:p>
            <w:r>
              <w:t>Maintain configurable chart of accounts.</w:t>
            </w:r>
          </w:p>
        </w:tc>
      </w:tr>
      <w:tr>
        <w:tc>
          <w:tcPr>
            <w:tcW w:type="dxa" w:w="4320"/>
          </w:tcPr>
          <w:p>
            <w:r>
              <w:t>FIN-002</w:t>
            </w:r>
          </w:p>
        </w:tc>
        <w:tc>
          <w:tcPr>
            <w:tcW w:type="dxa" w:w="4320"/>
          </w:tcPr>
          <w:p>
            <w:r>
              <w:t>Post journal entries and maintain general ledger.</w:t>
            </w:r>
          </w:p>
        </w:tc>
      </w:tr>
      <w:tr>
        <w:tc>
          <w:tcPr>
            <w:tcW w:type="dxa" w:w="4320"/>
          </w:tcPr>
          <w:p>
            <w:r>
              <w:t>FIN-003</w:t>
            </w:r>
          </w:p>
        </w:tc>
        <w:tc>
          <w:tcPr>
            <w:tcW w:type="dxa" w:w="4320"/>
          </w:tcPr>
          <w:p>
            <w:r>
              <w:t>Generate GST-compliant invoices.</w:t>
            </w:r>
          </w:p>
        </w:tc>
      </w:tr>
      <w:tr>
        <w:tc>
          <w:tcPr>
            <w:tcW w:type="dxa" w:w="4320"/>
          </w:tcPr>
          <w:p>
            <w:r>
              <w:t>FIN-004</w:t>
            </w:r>
          </w:p>
        </w:tc>
        <w:tc>
          <w:tcPr>
            <w:tcW w:type="dxa" w:w="4320"/>
          </w:tcPr>
          <w:p>
            <w:r>
              <w:t>Track receivables and payables.</w:t>
            </w:r>
          </w:p>
        </w:tc>
      </w:tr>
      <w:tr>
        <w:tc>
          <w:tcPr>
            <w:tcW w:type="dxa" w:w="4320"/>
          </w:tcPr>
          <w:p>
            <w:r>
              <w:t>FIN-005</w:t>
            </w:r>
          </w:p>
        </w:tc>
        <w:tc>
          <w:tcPr>
            <w:tcW w:type="dxa" w:w="4320"/>
          </w:tcPr>
          <w:p>
            <w:r>
              <w:t>Record online and offline payments.</w:t>
            </w:r>
          </w:p>
        </w:tc>
      </w:tr>
      <w:tr>
        <w:tc>
          <w:tcPr>
            <w:tcW w:type="dxa" w:w="4320"/>
          </w:tcPr>
          <w:p>
            <w:r>
              <w:t>FIN-006</w:t>
            </w:r>
          </w:p>
        </w:tc>
        <w:tc>
          <w:tcPr>
            <w:tcW w:type="dxa" w:w="4320"/>
          </w:tcPr>
          <w:p>
            <w:r>
              <w:t>Support bank reconciliation.</w:t>
            </w:r>
          </w:p>
        </w:tc>
      </w:tr>
      <w:tr>
        <w:tc>
          <w:tcPr>
            <w:tcW w:type="dxa" w:w="4320"/>
          </w:tcPr>
          <w:p>
            <w:r>
              <w:t>FIN-007</w:t>
            </w:r>
          </w:p>
        </w:tc>
        <w:tc>
          <w:tcPr>
            <w:tcW w:type="dxa" w:w="4320"/>
          </w:tcPr>
          <w:p>
            <w:r>
              <w:t>Generate financial statements and dashboards.</w:t>
            </w:r>
          </w:p>
        </w:tc>
      </w:tr>
      <w:tr>
        <w:tc>
          <w:tcPr>
            <w:tcW w:type="dxa" w:w="4320"/>
          </w:tcPr>
          <w:p>
            <w:r>
              <w:t>FIN-008</w:t>
            </w:r>
          </w:p>
        </w:tc>
        <w:tc>
          <w:tcPr>
            <w:tcW w:type="dxa" w:w="4320"/>
          </w:tcPr>
          <w:p>
            <w:r>
              <w:t>Maintain complete audit trail.</w:t>
            </w:r>
          </w:p>
        </w:tc>
      </w:tr>
    </w:tbl>
    <w:p>
      <w:pPr>
        <w:pStyle w:val="Heading2"/>
      </w:pPr>
      <w:r>
        <w:t>5. Core Database Tables</w:t>
      </w:r>
    </w:p>
    <w:p>
      <w:pPr>
        <w:pStyle w:val="ListBullet"/>
      </w:pPr>
      <w:r>
        <w:t>chart_of_accounts</w:t>
      </w:r>
    </w:p>
    <w:p>
      <w:pPr>
        <w:pStyle w:val="ListBullet"/>
      </w:pPr>
      <w:r>
        <w:t>journal_entries</w:t>
      </w:r>
    </w:p>
    <w:p>
      <w:pPr>
        <w:pStyle w:val="ListBullet"/>
      </w:pPr>
      <w:r>
        <w:t>journal_lines</w:t>
      </w:r>
    </w:p>
    <w:p>
      <w:pPr>
        <w:pStyle w:val="ListBullet"/>
      </w:pPr>
      <w:r>
        <w:t>customers</w:t>
      </w:r>
    </w:p>
    <w:p>
      <w:pPr>
        <w:pStyle w:val="ListBullet"/>
      </w:pPr>
      <w:r>
        <w:t>vendors</w:t>
      </w:r>
    </w:p>
    <w:p>
      <w:pPr>
        <w:pStyle w:val="ListBullet"/>
      </w:pPr>
      <w:r>
        <w:t>invoices</w:t>
      </w:r>
    </w:p>
    <w:p>
      <w:pPr>
        <w:pStyle w:val="ListBullet"/>
      </w:pPr>
      <w:r>
        <w:t>invoice_items</w:t>
      </w:r>
    </w:p>
    <w:p>
      <w:pPr>
        <w:pStyle w:val="ListBullet"/>
      </w:pPr>
      <w:r>
        <w:t>payments</w:t>
      </w:r>
    </w:p>
    <w:p>
      <w:pPr>
        <w:pStyle w:val="ListBullet"/>
      </w:pPr>
      <w:r>
        <w:t>receipts</w:t>
      </w:r>
    </w:p>
    <w:p>
      <w:pPr>
        <w:pStyle w:val="ListBullet"/>
      </w:pPr>
      <w:r>
        <w:t>expenses</w:t>
      </w:r>
    </w:p>
    <w:p>
      <w:pPr>
        <w:pStyle w:val="ListBullet"/>
      </w:pPr>
      <w:r>
        <w:t>bank_accounts</w:t>
      </w:r>
    </w:p>
    <w:p>
      <w:pPr>
        <w:pStyle w:val="ListBullet"/>
      </w:pPr>
      <w:r>
        <w:t>bank_transactions</w:t>
      </w:r>
    </w:p>
    <w:p>
      <w:pPr>
        <w:pStyle w:val="ListBullet"/>
      </w:pPr>
      <w:r>
        <w:t>tax_rates</w:t>
      </w:r>
    </w:p>
    <w:p>
      <w:pPr>
        <w:pStyle w:val="Heading2"/>
      </w:pPr>
      <w:r>
        <w:t>6. Reports</w:t>
      </w:r>
    </w:p>
    <w:p>
      <w:pPr>
        <w:pStyle w:val="ListBullet"/>
      </w:pPr>
      <w:r>
        <w:t>Profit &amp; Loss</w:t>
      </w:r>
    </w:p>
    <w:p>
      <w:pPr>
        <w:pStyle w:val="ListBullet"/>
      </w:pPr>
      <w:r>
        <w:t>Balance Sheet</w:t>
      </w:r>
    </w:p>
    <w:p>
      <w:pPr>
        <w:pStyle w:val="ListBullet"/>
      </w:pPr>
      <w:r>
        <w:t>Trial Balance</w:t>
      </w:r>
    </w:p>
    <w:p>
      <w:pPr>
        <w:pStyle w:val="ListBullet"/>
      </w:pPr>
      <w:r>
        <w:t>Cash Flow</w:t>
      </w:r>
    </w:p>
    <w:p>
      <w:pPr>
        <w:pStyle w:val="ListBullet"/>
      </w:pPr>
      <w:r>
        <w:t>GST Summary</w:t>
      </w:r>
    </w:p>
    <w:p>
      <w:pPr>
        <w:pStyle w:val="ListBullet"/>
      </w:pPr>
      <w:r>
        <w:t>Accounts Receivable Aging</w:t>
      </w:r>
    </w:p>
    <w:p>
      <w:pPr>
        <w:pStyle w:val="ListBullet"/>
      </w:pPr>
      <w:r>
        <w:t>Accounts Payable Aging</w:t>
      </w:r>
    </w:p>
    <w:p>
      <w:pPr>
        <w:pStyle w:val="ListBullet"/>
      </w:pPr>
      <w:r>
        <w:t>Expense Report</w:t>
      </w:r>
    </w:p>
    <w:p>
      <w:pPr>
        <w:pStyle w:val="Heading2"/>
      </w:pPr>
      <w:r>
        <w:t>7. Integrations</w:t>
      </w:r>
    </w:p>
    <w:p>
      <w:pPr>
        <w:pStyle w:val="ListBullet"/>
      </w:pPr>
      <w:r>
        <w:t>Razorpay</w:t>
      </w:r>
    </w:p>
    <w:p>
      <w:pPr>
        <w:pStyle w:val="ListBullet"/>
      </w:pPr>
      <w:r>
        <w:t>Bank APIs (future)</w:t>
      </w:r>
    </w:p>
    <w:p>
      <w:pPr>
        <w:pStyle w:val="ListBullet"/>
      </w:pPr>
      <w:r>
        <w:t>CRM</w:t>
      </w:r>
    </w:p>
    <w:p>
      <w:pPr>
        <w:pStyle w:val="ListBullet"/>
      </w:pPr>
      <w:r>
        <w:t>Commerce Cloud</w:t>
      </w:r>
    </w:p>
    <w:p>
      <w:pPr>
        <w:pStyle w:val="ListBullet"/>
      </w:pPr>
      <w:r>
        <w:t>Inventory</w:t>
      </w:r>
    </w:p>
    <w:p>
      <w:pPr>
        <w:pStyle w:val="ListBullet"/>
      </w:pPr>
      <w:r>
        <w:t>Analytics Cloud</w:t>
      </w:r>
    </w:p>
    <w:p>
      <w:pPr>
        <w:pStyle w:val="ListBullet"/>
      </w:pPr>
      <w:r>
        <w:t>AI Engine</w:t>
      </w:r>
    </w:p>
    <w:p>
      <w:pPr>
        <w:pStyle w:val="Heading2"/>
      </w:pPr>
      <w:r>
        <w:t>8. Acceptance Criteria</w:t>
      </w:r>
    </w:p>
    <w:p>
      <w:pPr>
        <w:pStyle w:val="ListBullet"/>
      </w:pPr>
      <w:r>
        <w:t>Journal posting balances correctly</w:t>
      </w:r>
    </w:p>
    <w:p>
      <w:pPr>
        <w:pStyle w:val="ListBullet"/>
      </w:pPr>
      <w:r>
        <w:t>Invoices calculate taxes accurately</w:t>
      </w:r>
    </w:p>
    <w:p>
      <w:pPr>
        <w:pStyle w:val="ListBullet"/>
      </w:pPr>
      <w:r>
        <w:t>Financial reports reconcile with transactions</w:t>
      </w:r>
    </w:p>
    <w:p>
      <w:pPr>
        <w:pStyle w:val="ListBullet"/>
      </w:pPr>
      <w:r>
        <w:t>Role-based access enforced</w:t>
      </w:r>
    </w:p>
    <w:p>
      <w:pPr>
        <w:pStyle w:val="ListBullet"/>
      </w:pPr>
      <w:r>
        <w:t>Audit logs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