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Multi-Agent Lab: The PRT Deal Desk</w:t>
      </w:r>
    </w:p>
    <w:p>
      <w:pPr>
        <w:spacing w:after="120"/>
      </w:pPr>
      <w:r>
        <w:rPr>
          <w:rFonts w:ascii="Calibri" w:cs="Calibri" w:eastAsia="Calibri" w:hAnsi="Calibri"/>
          <w:i/>
          <w:iCs/>
          <w:sz w:val="24"/>
          <w:szCs w:val="24"/>
        </w:rPr>
        <w:t xml:space="preserve">Copilot Studio Hands-On Lab Manual — L&amp;G Re Bermuda Training</w:t>
      </w:r>
    </w:p>
    <w:p>
      <w:pPr>
        <w:spacing w:after="120"/>
      </w:pPr>
      <w:r>
        <w:rPr>
          <w:rFonts w:ascii="Calibri" w:cs="Calibri" w:eastAsia="Calibri" w:hAnsi="Calibri"/>
          <w:i/>
          <w:iCs/>
          <w:color w:val="555555"/>
          <w:sz w:val="22"/>
          <w:szCs w:val="22"/>
        </w:rPr>
        <w:t xml:space="preserve">Orchestrator-first edition: the Deal Desk parent agent is built first, and each specialist is added to it as a connected child agent, lab by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Mar>
              <w:top w:type="dxa" w:w="60"/>
              <w:left w:type="dxa" w:w="100"/>
              <w:bottom w:type="dxa" w:w="60"/>
              <w:right w:type="dxa" w:w="100"/>
            </w:tcMar>
          </w:tcPr>
          <w:p>
            <w:pPr>
              <w:spacing w:after="0"/>
            </w:pPr>
            <w:r>
              <w:rPr>
                <w:rFonts w:ascii="Calibri" w:cs="Calibri" w:eastAsia="Calibri" w:hAnsi="Calibri"/>
                <w:b/>
                <w:bCs/>
                <w:sz w:val="22"/>
                <w:szCs w:val="22"/>
              </w:rPr>
              <w:t xml:space="preserve">Duration</w:t>
            </w:r>
          </w:p>
        </w:tc>
        <w:tc>
          <w:tcPr>
            <w:tcW w:type="dxa" w:w="7160"/>
            <w:tcMar>
              <w:top w:type="dxa" w:w="60"/>
              <w:left w:type="dxa" w:w="100"/>
              <w:bottom w:type="dxa" w:w="60"/>
              <w:right w:type="dxa" w:w="100"/>
            </w:tcMar>
          </w:tcPr>
          <w:p>
            <w:pPr>
              <w:spacing w:after="0"/>
            </w:pPr>
            <w:r>
              <w:rPr>
                <w:rFonts w:ascii="Calibri" w:cs="Calibri" w:eastAsia="Calibri" w:hAnsi="Calibri"/>
                <w:sz w:val="22"/>
                <w:szCs w:val="22"/>
              </w:rPr>
              <w:t xml:space="preserve">Approximately 3.5–4 hours (can be split across two half-days)</w:t>
            </w:r>
          </w:p>
        </w:tc>
      </w:tr>
      <w:tr>
        <w:trPr>
          <w:tblHeader w:val="false"/>
        </w:trPr>
        <w:tc>
          <w:tcPr>
            <w:tcW w:type="dxa" w:w="2200"/>
            <w:tcMar>
              <w:top w:type="dxa" w:w="60"/>
              <w:left w:type="dxa" w:w="100"/>
              <w:bottom w:type="dxa" w:w="60"/>
              <w:right w:type="dxa" w:w="100"/>
            </w:tcMar>
          </w:tcPr>
          <w:p>
            <w:pPr>
              <w:spacing w:after="0"/>
            </w:pPr>
            <w:r>
              <w:rPr>
                <w:rFonts w:ascii="Calibri" w:cs="Calibri" w:eastAsia="Calibri" w:hAnsi="Calibri"/>
                <w:b/>
                <w:bCs/>
                <w:sz w:val="22"/>
                <w:szCs w:val="22"/>
              </w:rPr>
              <w:t xml:space="preserve">Audience</w:t>
            </w:r>
          </w:p>
        </w:tc>
        <w:tc>
          <w:tcPr>
            <w:tcW w:type="dxa" w:w="7160"/>
            <w:tcMar>
              <w:top w:type="dxa" w:w="60"/>
              <w:left w:type="dxa" w:w="100"/>
              <w:bottom w:type="dxa" w:w="60"/>
              <w:right w:type="dxa" w:w="100"/>
            </w:tcMar>
          </w:tcPr>
          <w:p>
            <w:pPr>
              <w:spacing w:after="0"/>
            </w:pPr>
            <w:r>
              <w:rPr>
                <w:rFonts w:ascii="Calibri" w:cs="Calibri" w:eastAsia="Calibri" w:hAnsi="Calibri"/>
                <w:sz w:val="22"/>
                <w:szCs w:val="22"/>
              </w:rPr>
              <w:t xml:space="preserve">Business and technical staff at a life reinsurer; no coding required</w:t>
            </w:r>
          </w:p>
        </w:tc>
      </w:tr>
      <w:tr>
        <w:trPr>
          <w:tblHeader w:val="false"/>
        </w:trPr>
        <w:tc>
          <w:tcPr>
            <w:tcW w:type="dxa" w:w="2200"/>
            <w:tcMar>
              <w:top w:type="dxa" w:w="60"/>
              <w:left w:type="dxa" w:w="100"/>
              <w:bottom w:type="dxa" w:w="60"/>
              <w:right w:type="dxa" w:w="100"/>
            </w:tcMar>
          </w:tcPr>
          <w:p>
            <w:pPr>
              <w:spacing w:after="0"/>
            </w:pPr>
            <w:r>
              <w:rPr>
                <w:rFonts w:ascii="Calibri" w:cs="Calibri" w:eastAsia="Calibri" w:hAnsi="Calibri"/>
                <w:b/>
                <w:bCs/>
                <w:sz w:val="22"/>
                <w:szCs w:val="22"/>
              </w:rPr>
              <w:t xml:space="preserve">Scenario</w:t>
            </w:r>
          </w:p>
        </w:tc>
        <w:tc>
          <w:tcPr>
            <w:tcW w:type="dxa" w:w="7160"/>
            <w:tcMar>
              <w:top w:type="dxa" w:w="60"/>
              <w:left w:type="dxa" w:w="100"/>
              <w:bottom w:type="dxa" w:w="60"/>
              <w:right w:type="dxa" w:w="100"/>
            </w:tcMar>
          </w:tcPr>
          <w:p>
            <w:pPr>
              <w:spacing w:after="0"/>
            </w:pPr>
            <w:r>
              <w:rPr>
                <w:rFonts w:ascii="Calibri" w:cs="Calibri" w:eastAsia="Calibri" w:hAnsi="Calibri"/>
                <w:sz w:val="22"/>
                <w:szCs w:val="22"/>
              </w:rPr>
              <w:t xml:space="preserve">Triage an incoming Pension Risk Transfer (PRT) invitation-to-quote using a team of Copilot Studio agents coordinated by an orchestrator</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Important: </w:t>
      </w:r>
      <w:r>
        <w:rPr>
          <w:rFonts w:ascii="Calibri" w:cs="Calibri" w:eastAsia="Calibri" w:hAnsi="Calibri"/>
          <w:sz w:val="22"/>
          <w:szCs w:val="22"/>
        </w:rPr>
        <w:t xml:space="preserve">All data in this lab is fictional and created for training. The scheme, counterparties, members, and figures are invented. Never upload real member data, real counterparty information, or real pricing information into a training environment.</w:t>
      </w:r>
    </w:p>
    <w:p>
      <w:pPr>
        <w:pStyle w:val="Heading1"/>
        <w:spacing w:after="160" w:before="32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Calibri" w:cs="Calibri" w:eastAsia="Calibri" w:hAnsi="Calibri"/>
          <w:i/>
          <w:iCs/>
          <w:color w:val="777777"/>
          <w:sz w:val="18"/>
          <w:szCs w:val="18"/>
        </w:rPr>
        <w:t xml:space="preserve">(In Word: right-click the table of contents and choose Update Field to populate page numbers.)</w:t>
      </w:r>
    </w:p>
    <w:p>
      <w:pPr>
        <w:pStyle w:val="Heading1"/>
        <w:spacing w:after="160" w:before="320"/>
      </w:pPr>
      <w:r>
        <w:rPr>
          <w:rFonts w:ascii="Calibri" w:cs="Calibri" w:eastAsia="Calibri" w:hAnsi="Calibri"/>
        </w:rPr>
        <w:t xml:space="preserve">1. What you will build</w:t>
      </w:r>
    </w:p>
    <w:p>
      <w:pPr>
        <w:spacing w:after="120"/>
      </w:pPr>
      <w:r>
        <w:rPr>
          <w:rFonts w:ascii="Calibri" w:cs="Calibri" w:eastAsia="Calibri" w:hAnsi="Calibri"/>
          <w:sz w:val="22"/>
          <w:szCs w:val="22"/>
        </w:rPr>
        <w:t xml:space="preserve">You will build </w:t>
      </w:r>
      <w:r>
        <w:rPr>
          <w:rFonts w:ascii="Calibri" w:cs="Calibri" w:eastAsia="Calibri" w:hAnsi="Calibri"/>
          <w:b/>
          <w:bCs/>
          <w:sz w:val="22"/>
          <w:szCs w:val="22"/>
        </w:rPr>
        <w:t xml:space="preserve">five agents</w:t>
      </w:r>
      <w:r>
        <w:rPr>
          <w:rFonts w:ascii="Calibri" w:cs="Calibri" w:eastAsia="Calibri" w:hAnsi="Calibri"/>
          <w:sz w:val="22"/>
          <w:szCs w:val="22"/>
        </w:rPr>
        <w:t xml:space="preserve"> — but in this edition you start with the </w:t>
      </w:r>
      <w:r>
        <w:rPr>
          <w:rFonts w:ascii="Calibri" w:cs="Calibri" w:eastAsia="Calibri" w:hAnsi="Calibri"/>
          <w:b/>
          <w:bCs/>
          <w:sz w:val="22"/>
          <w:szCs w:val="22"/>
        </w:rPr>
        <w:t xml:space="preserve">orchestrator</w:t>
      </w:r>
      <w:r>
        <w:rPr>
          <w:rFonts w:ascii="Calibri" w:cs="Calibri" w:eastAsia="Calibri" w:hAnsi="Calibri"/>
          <w:sz w:val="22"/>
          <w:szCs w:val="22"/>
        </w:rPr>
        <w:t xml:space="preserve"> (“Deal Desk”) and then build each of the four specialists (“child agents”) one at a time, connecting each to the Deal Desk via the </w:t>
      </w:r>
      <w:r>
        <w:rPr>
          <w:rFonts w:ascii="Calibri" w:cs="Calibri" w:eastAsia="Calibri" w:hAnsi="Calibri"/>
          <w:b/>
          <w:bCs/>
          <w:sz w:val="22"/>
          <w:szCs w:val="22"/>
        </w:rPr>
        <w:t xml:space="preserve">connected agents</w:t>
      </w:r>
      <w:r>
        <w:rPr>
          <w:rFonts w:ascii="Calibri" w:cs="Calibri" w:eastAsia="Calibri" w:hAnsi="Calibri"/>
          <w:sz w:val="22"/>
          <w:szCs w:val="22"/>
        </w:rPr>
        <w:t xml:space="preserve"> (“Add an agent”) capability as soon as it is built. By the end of Lab 5 the Deal Desk delegates to all four specialists using </w:t>
      </w:r>
      <w:r>
        <w:rPr>
          <w:rFonts w:ascii="Calibri" w:cs="Calibri" w:eastAsia="Calibri" w:hAnsi="Calibri"/>
          <w:b/>
          <w:bCs/>
          <w:sz w:val="22"/>
          <w:szCs w:val="22"/>
        </w:rPr>
        <w:t xml:space="preserve">generative orchestration</w:t>
      </w:r>
      <w:r>
        <w:rPr>
          <w:rFonts w:ascii="Calibri" w:cs="Calibri" w:eastAsia="Calibri" w:hAnsi="Calibri"/>
          <w:sz w:val="22"/>
          <w:szCs w:val="22"/>
        </w:rPr>
        <w:t xml:space="preserve"> and produces the triage memo.</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Broker RFP email --&gt; │ DEAL DESK (orchestrator)  │   &lt;-- built FIRST (Lab 1)</w:t>
      </w:r>
    </w:p>
    <w:p>
      <w:pPr>
        <w:shd w:fill="F2F2F2" w:val="clear"/>
        <w:spacing w:after="0"/>
        <w:ind w:left="240" w:right="240"/>
      </w:pPr>
      <w:r>
        <w:rPr>
          <w:rFonts w:ascii="Consolas" w:cs="Consolas" w:eastAsia="Consolas" w:hAnsi="Consolas"/>
          <w:sz w:val="18"/>
          <w:szCs w:val="18"/>
        </w:rPr>
        <w:t xml:space="preserve"> or pasted RFP text   │ generative orchestration  │</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             ▼            ▼             ▼</w:t>
      </w:r>
    </w:p>
    <w:p>
      <w:pPr>
        <w:shd w:fill="F2F2F2" w:val="clear"/>
        <w:spacing w:after="0"/>
        <w:ind w:left="240" w:right="240"/>
      </w:pPr>
      <w:r>
        <w:rPr>
          <w:rFonts w:ascii="Consolas" w:cs="Consolas" w:eastAsia="Consolas" w:hAnsi="Consolas"/>
          <w:sz w:val="18"/>
          <w:szCs w:val="18"/>
        </w:rPr>
        <w:t xml:space="preserve">  ┌──────────┐ ┌────────────┐ ┌───────────┐ ┌────────────┐</w:t>
      </w:r>
    </w:p>
    <w:p>
      <w:pPr>
        <w:shd w:fill="F2F2F2" w:val="clear"/>
        <w:spacing w:after="0"/>
        <w:ind w:left="240" w:right="240"/>
      </w:pPr>
      <w:r>
        <w:rPr>
          <w:rFonts w:ascii="Consolas" w:cs="Consolas" w:eastAsia="Consolas" w:hAnsi="Consolas"/>
          <w:sz w:val="18"/>
          <w:szCs w:val="18"/>
        </w:rPr>
        <w:t xml:space="preserve">  │  INTAKE  │ │DATA QUALITY│ │ PRECEDENT │ │ COMPLIANCE │</w:t>
      </w:r>
    </w:p>
    <w:p>
      <w:pPr>
        <w:shd w:fill="F2F2F2" w:val="clear"/>
        <w:spacing w:after="0"/>
        <w:ind w:left="240" w:right="240"/>
      </w:pPr>
      <w:r>
        <w:rPr>
          <w:rFonts w:ascii="Consolas" w:cs="Consolas" w:eastAsia="Consolas" w:hAnsi="Consolas"/>
          <w:sz w:val="18"/>
          <w:szCs w:val="18"/>
        </w:rPr>
        <w:t xml:space="preserve">  │  Agent   │ │   Agent    │ │   Agent   │ │   Agent    │</w:t>
      </w:r>
    </w:p>
    <w:p>
      <w:pPr>
        <w:shd w:fill="F2F2F2" w:val="clear"/>
        <w:spacing w:after="0"/>
        <w:ind w:left="240" w:right="240"/>
      </w:pPr>
      <w:r>
        <w:rPr>
          <w:rFonts w:ascii="Consolas" w:cs="Consolas" w:eastAsia="Consolas" w:hAnsi="Consolas"/>
          <w:sz w:val="18"/>
          <w:szCs w:val="18"/>
        </w:rPr>
        <w:t xml:space="preserve">  │  Lab 2   │ │   Lab 3    │ │   Lab 4   │ │   Lab 5    │</w:t>
      </w:r>
    </w:p>
    <w:p>
      <w:pPr>
        <w:shd w:fill="F2F2F2" w:val="clear"/>
        <w:spacing w:after="0"/>
        <w:ind w:left="240" w:right="240"/>
      </w:pPr>
      <w:r>
        <w:rPr>
          <w:rFonts w:ascii="Consolas" w:cs="Consolas" w:eastAsia="Consolas" w:hAnsi="Consolas"/>
          <w:sz w:val="18"/>
          <w:szCs w:val="18"/>
        </w:rPr>
        <w:t xml:space="preserve">  │ extracts │ │ scores the │ │ searches  │ │  screens   │</w:t>
      </w:r>
    </w:p>
    <w:p>
      <w:pPr>
        <w:shd w:fill="F2F2F2" w:val="clear"/>
        <w:spacing w:after="0"/>
        <w:ind w:left="240" w:right="240"/>
      </w:pPr>
      <w:r>
        <w:rPr>
          <w:rFonts w:ascii="Consolas" w:cs="Consolas" w:eastAsia="Consolas" w:hAnsi="Consolas"/>
          <w:sz w:val="18"/>
          <w:szCs w:val="18"/>
        </w:rPr>
        <w:t xml:space="preserve">  │deal facts│ │ member data│ │ past deals│ │  watchlist │</w:t>
      </w:r>
    </w:p>
    <w:p>
      <w:pPr>
        <w:shd w:fill="F2F2F2" w:val="clear"/>
        <w:spacing w:after="0"/>
        <w:ind w:left="240" w:right="240"/>
      </w:pPr>
      <w:r>
        <w:rPr>
          <w:rFonts w:ascii="Consolas" w:cs="Consolas" w:eastAsia="Consolas" w:hAnsi="Consolas"/>
          <w:sz w:val="18"/>
          <w:szCs w:val="18"/>
        </w:rPr>
        <w:t xml:space="preserve">  └──────────┘ └────────────┘ └───────────┘ └────────────┘</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Output: one-page Deal Triage Memo</w:t>
      </w:r>
    </w:p>
    <w:p>
      <w:pPr>
        <w:shd w:fill="F2F2F2" w:val="clear"/>
        <w:spacing w:after="160"/>
        <w:ind w:left="240" w:right="240"/>
      </w:pPr>
      <w:r>
        <w:rPr>
          <w:rFonts w:ascii="Consolas" w:cs="Consolas" w:eastAsia="Consolas" w:hAnsi="Consolas"/>
          <w:sz w:val="18"/>
          <w:szCs w:val="18"/>
        </w:rPr>
        <w:t xml:space="preserve">       with a Proceed / Escalate / Decline flag</w:t>
      </w:r>
    </w:p>
    <w:p>
      <w:pPr>
        <w:pStyle w:val="Heading2"/>
        <w:spacing w:after="120" w:before="240"/>
      </w:pPr>
      <w:r>
        <w:rPr>
          <w:rFonts w:ascii="Calibri" w:cs="Calibri" w:eastAsia="Calibri" w:hAnsi="Calibri"/>
        </w:rPr>
        <w:t xml:space="preserve">Answer to the design question: is an orchestrator model best?</w:t>
      </w:r>
    </w:p>
    <w:p>
      <w:pPr>
        <w:spacing w:after="120"/>
      </w:pPr>
      <w:r>
        <w:rPr>
          <w:rFonts w:ascii="Calibri" w:cs="Calibri" w:eastAsia="Calibri" w:hAnsi="Calibri"/>
          <w:sz w:val="22"/>
          <w:szCs w:val="22"/>
        </w:rPr>
        <w:t xml:space="preserve">Yes. The recommended pattern is a </w:t>
      </w:r>
      <w:r>
        <w:rPr>
          <w:rFonts w:ascii="Calibri" w:cs="Calibri" w:eastAsia="Calibri" w:hAnsi="Calibri"/>
          <w:b/>
          <w:bCs/>
          <w:sz w:val="22"/>
          <w:szCs w:val="22"/>
        </w:rPr>
        <w:t xml:space="preserve">parent agent with generative orchestration enabled, calling child agents via the “connected agents” (Add an agent) capability</w:t>
      </w:r>
      <w:r>
        <w:rPr>
          <w:rFonts w:ascii="Calibri" w:cs="Calibri" w:eastAsia="Calibri" w:hAnsi="Calibri"/>
          <w:sz w:val="22"/>
          <w:szCs w:val="22"/>
        </w:rPr>
        <w:t xml:space="preserve">. Generative orchestration lets the parent decide </w:t>
      </w:r>
      <w:r>
        <w:rPr>
          <w:rFonts w:ascii="Calibri" w:cs="Calibri" w:eastAsia="Calibri" w:hAnsi="Calibri"/>
          <w:i/>
          <w:iCs/>
          <w:sz w:val="22"/>
          <w:szCs w:val="22"/>
        </w:rPr>
        <w:t xml:space="preserve">which</w:t>
      </w:r>
      <w:r>
        <w:rPr>
          <w:rFonts w:ascii="Calibri" w:cs="Calibri" w:eastAsia="Calibri" w:hAnsi="Calibri"/>
          <w:sz w:val="22"/>
          <w:szCs w:val="22"/>
        </w:rPr>
        <w:t xml:space="preserve"> specialist to invoke and in what order based on the user's request and each child agent's description — that decision-making is exactly what makes the demo feel “multi-agent” rather than a scripted flow.</w:t>
      </w:r>
    </w:p>
    <w:p>
      <w:pPr>
        <w:spacing w:after="120"/>
      </w:pPr>
      <w:r>
        <w:rPr>
          <w:rFonts w:ascii="Calibri" w:cs="Calibri" w:eastAsia="Calibri" w:hAnsi="Calibri"/>
          <w:sz w:val="22"/>
          <w:szCs w:val="22"/>
        </w:rPr>
        <w:t xml:space="preserve">Building the orchestrator </w:t>
      </w:r>
      <w:r>
        <w:rPr>
          <w:rFonts w:ascii="Calibri" w:cs="Calibri" w:eastAsia="Calibri" w:hAnsi="Calibri"/>
          <w:i/>
          <w:iCs/>
          <w:sz w:val="22"/>
          <w:szCs w:val="22"/>
        </w:rPr>
        <w:t xml:space="preserve">first</w:t>
      </w:r>
      <w:r>
        <w:rPr>
          <w:rFonts w:ascii="Calibri" w:cs="Calibri" w:eastAsia="Calibri" w:hAnsi="Calibri"/>
          <w:sz w:val="22"/>
          <w:szCs w:val="22"/>
        </w:rPr>
        <w:t xml:space="preserve"> has a pedagogical bonus: attendees test the empty Deal Desk in Lab 1 and watch it try to answer alone, then watch its behaviour change in every subsequent lab as each child agent is connected. Routing stops being abstract — you see it appear one specialist at a time.</w:t>
      </w:r>
    </w:p>
    <w:p>
      <w:pPr>
        <w:spacing w:after="120"/>
      </w:pPr>
      <w:r>
        <w:rPr>
          <w:rFonts w:ascii="Calibri" w:cs="Calibri" w:eastAsia="Calibri" w:hAnsi="Calibri"/>
          <w:sz w:val="22"/>
          <w:szCs w:val="22"/>
        </w:rPr>
        <w:t xml:space="preserve">Two practical caveats to state to the class:</w:t>
      </w:r>
    </w:p>
    <w:p>
      <w:pPr>
        <w:pStyle w:val="ListParagraph"/>
        <w:numPr>
          <w:ilvl w:val="0"/>
          <w:numId w:val="2"/>
        </w:numPr>
        <w:spacing w:after="100"/>
      </w:pPr>
      <w:r>
        <w:rPr>
          <w:rFonts w:ascii="Calibri" w:cs="Calibri" w:eastAsia="Calibri" w:hAnsi="Calibri"/>
          <w:b/>
          <w:bCs/>
          <w:sz w:val="22"/>
          <w:szCs w:val="22"/>
        </w:rPr>
        <w:t xml:space="preserve">Descriptions are the routing mechanism. </w:t>
      </w:r>
      <w:r>
        <w:rPr>
          <w:rFonts w:ascii="Calibri" w:cs="Calibri" w:eastAsia="Calibri" w:hAnsi="Calibri"/>
          <w:sz w:val="22"/>
          <w:szCs w:val="22"/>
        </w:rPr>
        <w:t xml:space="preserve">With generative orchestration, the parent picks child agents based on their name and description. Writing crisp descriptions is the most important skill in this lab.</w:t>
      </w:r>
    </w:p>
    <w:p>
      <w:pPr>
        <w:pStyle w:val="ListParagraph"/>
        <w:numPr>
          <w:ilvl w:val="0"/>
          <w:numId w:val="2"/>
        </w:numPr>
        <w:spacing w:after="100"/>
      </w:pPr>
      <w:r>
        <w:rPr>
          <w:rFonts w:ascii="Calibri" w:cs="Calibri" w:eastAsia="Calibri" w:hAnsi="Calibri"/>
          <w:b/>
          <w:bCs/>
          <w:sz w:val="22"/>
          <w:szCs w:val="22"/>
        </w:rPr>
        <w:t xml:space="preserve">Have a fallback. </w:t>
      </w:r>
      <w:r>
        <w:rPr>
          <w:rFonts w:ascii="Calibri" w:cs="Calibri" w:eastAsia="Calibri" w:hAnsi="Calibri"/>
          <w:sz w:val="22"/>
          <w:szCs w:val="22"/>
        </w:rPr>
        <w:t xml:space="preserve">Connected-agent features have evolved quickly and tenant admin settings can restrict them. If connected agents are unavailable in the training tenant, the identical lab can be run as a single agent with four topics (one per specialist) — see the fallback pattern at the end of Lab 5. Verify feature availability in the training tenant before the session (Mike Jones's team has been prepping the environment — confirm with them).</w:t>
      </w:r>
    </w:p>
    <w:p>
      <w:pPr>
        <w:pStyle w:val="Heading1"/>
        <w:spacing w:after="160" w:before="320"/>
      </w:pPr>
      <w:r>
        <w:rPr>
          <w:rFonts w:ascii="Calibri" w:cs="Calibri" w:eastAsia="Calibri" w:hAnsi="Calibri"/>
        </w:rPr>
        <w:t xml:space="preserve">2. Prerequisites and environment setup (facilitator, before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Item</w:t>
            </w:r>
          </w:p>
        </w:tc>
        <w:tc>
          <w:tcPr>
            <w:tcW w:type="dxa" w:w="696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Requirement</w:t>
            </w:r>
          </w:p>
        </w:tc>
      </w:tr>
      <w:tr>
        <w:trPr>
          <w:tblHeader w:val="false"/>
        </w:trPr>
        <w:tc>
          <w:tcPr>
            <w:tcW w:type="dxa" w:w="2400"/>
            <w:tcMar>
              <w:top w:type="dxa" w:w="60"/>
              <w:left w:type="dxa" w:w="100"/>
              <w:bottom w:type="dxa" w:w="60"/>
              <w:right w:type="dxa" w:w="100"/>
            </w:tcMar>
          </w:tcPr>
          <w:p>
            <w:pPr>
              <w:spacing w:after="0"/>
            </w:pPr>
            <w:r>
              <w:rPr>
                <w:rFonts w:ascii="Calibri" w:cs="Calibri" w:eastAsia="Calibri" w:hAnsi="Calibri"/>
                <w:sz w:val="22"/>
                <w:szCs w:val="22"/>
              </w:rPr>
              <w:t xml:space="preserve">Licensing</w:t>
            </w:r>
          </w:p>
        </w:tc>
        <w:tc>
          <w:tcPr>
            <w:tcW w:type="dxa" w:w="6960"/>
            <w:tcMar>
              <w:top w:type="dxa" w:w="60"/>
              <w:left w:type="dxa" w:w="100"/>
              <w:bottom w:type="dxa" w:w="60"/>
              <w:right w:type="dxa" w:w="100"/>
            </w:tcMar>
          </w:tcPr>
          <w:p>
            <w:pPr>
              <w:spacing w:after="0"/>
            </w:pPr>
            <w:r>
              <w:rPr>
                <w:rFonts w:ascii="Calibri" w:cs="Calibri" w:eastAsia="Calibri" w:hAnsi="Calibri"/>
                <w:sz w:val="22"/>
                <w:szCs w:val="22"/>
              </w:rPr>
              <w:t xml:space="preserve">Copilot Studio license or trial for each attendee (trial: sign in at copilotstudio.microsoft.com with a work account and start a trial)</w:t>
            </w:r>
          </w:p>
        </w:tc>
      </w:tr>
      <w:tr>
        <w:trPr>
          <w:tblHeader w:val="false"/>
        </w:trPr>
        <w:tc>
          <w:tcPr>
            <w:tcW w:type="dxa" w:w="2400"/>
            <w:tcMar>
              <w:top w:type="dxa" w:w="60"/>
              <w:left w:type="dxa" w:w="100"/>
              <w:bottom w:type="dxa" w:w="60"/>
              <w:right w:type="dxa" w:w="100"/>
            </w:tcMar>
          </w:tcPr>
          <w:p>
            <w:pPr>
              <w:spacing w:after="0"/>
            </w:pPr>
            <w:r>
              <w:rPr>
                <w:rFonts w:ascii="Calibri" w:cs="Calibri" w:eastAsia="Calibri" w:hAnsi="Calibri"/>
                <w:sz w:val="22"/>
                <w:szCs w:val="22"/>
              </w:rPr>
              <w:t xml:space="preserve">Environment</w:t>
            </w:r>
          </w:p>
        </w:tc>
        <w:tc>
          <w:tcPr>
            <w:tcW w:type="dxa" w:w="6960"/>
            <w:tcMar>
              <w:top w:type="dxa" w:w="60"/>
              <w:left w:type="dxa" w:w="100"/>
              <w:bottom w:type="dxa" w:w="60"/>
              <w:right w:type="dxa" w:w="100"/>
            </w:tcMar>
          </w:tcPr>
          <w:p>
            <w:pPr>
              <w:spacing w:after="0"/>
            </w:pPr>
            <w:r>
              <w:rPr>
                <w:rFonts w:ascii="Calibri" w:cs="Calibri" w:eastAsia="Calibri" w:hAnsi="Calibri"/>
                <w:sz w:val="22"/>
                <w:szCs w:val="22"/>
              </w:rPr>
              <w:t xml:space="preserve">A Power Platform environment where attendees can create agents; Dataverse enabled</w:t>
            </w:r>
          </w:p>
        </w:tc>
      </w:tr>
      <w:tr>
        <w:trPr>
          <w:tblHeader w:val="false"/>
        </w:trPr>
        <w:tc>
          <w:tcPr>
            <w:tcW w:type="dxa" w:w="2400"/>
            <w:tcMar>
              <w:top w:type="dxa" w:w="60"/>
              <w:left w:type="dxa" w:w="100"/>
              <w:bottom w:type="dxa" w:w="60"/>
              <w:right w:type="dxa" w:w="100"/>
            </w:tcMar>
          </w:tcPr>
          <w:p>
            <w:pPr>
              <w:spacing w:after="0"/>
            </w:pPr>
            <w:r>
              <w:rPr>
                <w:rFonts w:ascii="Calibri" w:cs="Calibri" w:eastAsia="Calibri" w:hAnsi="Calibri"/>
                <w:sz w:val="22"/>
                <w:szCs w:val="22"/>
              </w:rPr>
              <w:t xml:space="preserve">SharePoint</w:t>
            </w:r>
          </w:p>
        </w:tc>
        <w:tc>
          <w:tcPr>
            <w:tcW w:type="dxa" w:w="6960"/>
            <w:tcMar>
              <w:top w:type="dxa" w:w="60"/>
              <w:left w:type="dxa" w:w="100"/>
              <w:bottom w:type="dxa" w:w="60"/>
              <w:right w:type="dxa" w:w="100"/>
            </w:tcMar>
          </w:tcPr>
          <w:p>
            <w:pPr>
              <w:spacing w:after="0"/>
            </w:pPr>
            <w:r>
              <w:rPr>
                <w:rFonts w:ascii="Calibri" w:cs="Calibri" w:eastAsia="Calibri" w:hAnsi="Calibri"/>
                <w:sz w:val="22"/>
                <w:szCs w:val="22"/>
              </w:rPr>
              <w:t xml:space="preserve">One training site, e.g. LGRe-CopilotLab, where mock data will be uploaded; all attendees need read access, facilitator needs edit</w:t>
            </w:r>
          </w:p>
        </w:tc>
      </w:tr>
      <w:tr>
        <w:trPr>
          <w:tblHeader w:val="false"/>
        </w:trPr>
        <w:tc>
          <w:tcPr>
            <w:tcW w:type="dxa" w:w="2400"/>
            <w:tcMar>
              <w:top w:type="dxa" w:w="60"/>
              <w:left w:type="dxa" w:w="100"/>
              <w:bottom w:type="dxa" w:w="60"/>
              <w:right w:type="dxa" w:w="100"/>
            </w:tcMar>
          </w:tcPr>
          <w:p>
            <w:pPr>
              <w:spacing w:after="0"/>
            </w:pPr>
            <w:r>
              <w:rPr>
                <w:rFonts w:ascii="Calibri" w:cs="Calibri" w:eastAsia="Calibri" w:hAnsi="Calibri"/>
                <w:sz w:val="22"/>
                <w:szCs w:val="22"/>
              </w:rPr>
              <w:t xml:space="preserve">Teams (optional, Lab 6)</w:t>
            </w:r>
          </w:p>
        </w:tc>
        <w:tc>
          <w:tcPr>
            <w:tcW w:type="dxa" w:w="6960"/>
            <w:tcMar>
              <w:top w:type="dxa" w:w="60"/>
              <w:left w:type="dxa" w:w="100"/>
              <w:bottom w:type="dxa" w:w="60"/>
              <w:right w:type="dxa" w:w="100"/>
            </w:tcMar>
          </w:tcPr>
          <w:p>
            <w:pPr>
              <w:spacing w:after="0"/>
            </w:pPr>
            <w:r>
              <w:rPr>
                <w:rFonts w:ascii="Calibri" w:cs="Calibri" w:eastAsia="Calibri" w:hAnsi="Calibri"/>
                <w:sz w:val="22"/>
                <w:szCs w:val="22"/>
              </w:rPr>
              <w:t xml:space="preserve">A training team/channel where the memo can be posted</w:t>
            </w:r>
          </w:p>
        </w:tc>
      </w:tr>
      <w:tr>
        <w:trPr>
          <w:tblHeader w:val="false"/>
        </w:trPr>
        <w:tc>
          <w:tcPr>
            <w:tcW w:type="dxa" w:w="2400"/>
            <w:tcMar>
              <w:top w:type="dxa" w:w="60"/>
              <w:left w:type="dxa" w:w="100"/>
              <w:bottom w:type="dxa" w:w="60"/>
              <w:right w:type="dxa" w:w="100"/>
            </w:tcMar>
          </w:tcPr>
          <w:p>
            <w:pPr>
              <w:spacing w:after="0"/>
            </w:pPr>
            <w:r>
              <w:rPr>
                <w:rFonts w:ascii="Calibri" w:cs="Calibri" w:eastAsia="Calibri" w:hAnsi="Calibri"/>
                <w:sz w:val="22"/>
                <w:szCs w:val="22"/>
              </w:rPr>
              <w:t xml:space="preserve">Feature check</w:t>
            </w:r>
          </w:p>
        </w:tc>
        <w:tc>
          <w:tcPr>
            <w:tcW w:type="dxa" w:w="6960"/>
            <w:tcMar>
              <w:top w:type="dxa" w:w="60"/>
              <w:left w:type="dxa" w:w="100"/>
              <w:bottom w:type="dxa" w:w="60"/>
              <w:right w:type="dxa" w:w="100"/>
            </w:tcMar>
          </w:tcPr>
          <w:p>
            <w:pPr>
              <w:spacing w:after="0"/>
            </w:pPr>
            <w:r>
              <w:rPr>
                <w:rFonts w:ascii="Calibri" w:cs="Calibri" w:eastAsia="Calibri" w:hAnsi="Calibri"/>
                <w:sz w:val="22"/>
                <w:szCs w:val="22"/>
              </w:rPr>
              <w:t xml:space="preserve">Confirm: generative orchestration toggle available; “Add an agent” / connected agents available; SharePoint knowledge allowed by admin; Power Automate flows allowed</w:t>
            </w:r>
          </w:p>
        </w:tc>
      </w:tr>
      <w:tr>
        <w:trPr>
          <w:tblHeader w:val="false"/>
        </w:trPr>
        <w:tc>
          <w:tcPr>
            <w:tcW w:type="dxa" w:w="2400"/>
            <w:tcMar>
              <w:top w:type="dxa" w:w="60"/>
              <w:left w:type="dxa" w:w="100"/>
              <w:bottom w:type="dxa" w:w="60"/>
              <w:right w:type="dxa" w:w="100"/>
            </w:tcMar>
          </w:tcPr>
          <w:p>
            <w:pPr>
              <w:spacing w:after="0"/>
            </w:pPr>
            <w:r>
              <w:rPr>
                <w:rFonts w:ascii="Calibri" w:cs="Calibri" w:eastAsia="Calibri" w:hAnsi="Calibri"/>
                <w:sz w:val="22"/>
                <w:szCs w:val="22"/>
              </w:rPr>
              <w:t xml:space="preserve">Mock data</w:t>
            </w:r>
          </w:p>
        </w:tc>
        <w:tc>
          <w:tcPr>
            <w:tcW w:type="dxa" w:w="6960"/>
            <w:tcMar>
              <w:top w:type="dxa" w:w="60"/>
              <w:left w:type="dxa" w:w="100"/>
              <w:bottom w:type="dxa" w:w="60"/>
              <w:right w:type="dxa" w:w="100"/>
            </w:tcMar>
          </w:tcPr>
          <w:p>
            <w:pPr>
              <w:spacing w:after="0"/>
            </w:pPr>
            <w:r>
              <w:rPr>
                <w:rFonts w:ascii="Calibri" w:cs="Calibri" w:eastAsia="Calibri" w:hAnsi="Calibri"/>
                <w:sz w:val="22"/>
                <w:szCs w:val="22"/>
              </w:rPr>
              <w:t xml:space="preserve">Upload the mock_data folder contents to the SharePoint site (see below)</w:t>
            </w:r>
          </w:p>
        </w:tc>
      </w:tr>
    </w:tbl>
    <w:p>
      <w:pPr>
        <w:spacing w:after="120"/>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Mock data placement</w:t>
      </w:r>
    </w:p>
    <w:p>
      <w:pPr>
        <w:spacing w:after="120"/>
      </w:pPr>
      <w:r>
        <w:rPr>
          <w:rFonts w:ascii="Calibri" w:cs="Calibri" w:eastAsia="Calibri" w:hAnsi="Calibri"/>
          <w:sz w:val="22"/>
          <w:szCs w:val="22"/>
        </w:rPr>
        <w:t xml:space="preserve">Upload to the SharePoint training site's Documents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File</w:t>
            </w:r>
          </w:p>
        </w:tc>
        <w:tc>
          <w:tcPr>
            <w:tcW w:type="dxa" w:w="300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Where</w:t>
            </w:r>
          </w:p>
        </w:tc>
        <w:tc>
          <w:tcPr>
            <w:tcW w:type="dxa" w:w="316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Used by</w:t>
            </w:r>
          </w:p>
        </w:tc>
      </w:tr>
      <w:tr>
        <w:trPr>
          <w:tblHeader w:val="false"/>
        </w:trPr>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01_RFP_Email_Albion_Scheme.txt</w:t>
            </w:r>
          </w:p>
        </w:tc>
        <w:tc>
          <w:tcPr>
            <w:tcW w:type="dxa" w:w="3000"/>
            <w:tcMar>
              <w:top w:type="dxa" w:w="60"/>
              <w:left w:type="dxa" w:w="100"/>
              <w:bottom w:type="dxa" w:w="60"/>
              <w:right w:type="dxa" w:w="100"/>
            </w:tcMar>
          </w:tcPr>
          <w:p>
            <w:pPr>
              <w:spacing w:after="0"/>
            </w:pPr>
            <w:r>
              <w:rPr>
                <w:rFonts w:ascii="Calibri" w:cs="Calibri" w:eastAsia="Calibri" w:hAnsi="Calibri"/>
                <w:sz w:val="22"/>
                <w:szCs w:val="22"/>
              </w:rPr>
              <w:t xml:space="preserve">/Shared Documents/RFP/</w:t>
            </w:r>
          </w:p>
        </w:tc>
        <w:tc>
          <w:tcPr>
            <w:tcW w:type="dxa" w:w="3160"/>
            <w:tcMar>
              <w:top w:type="dxa" w:w="60"/>
              <w:left w:type="dxa" w:w="100"/>
              <w:bottom w:type="dxa" w:w="60"/>
              <w:right w:type="dxa" w:w="100"/>
            </w:tcMar>
          </w:tcPr>
          <w:p>
            <w:pPr>
              <w:spacing w:after="0"/>
            </w:pPr>
            <w:r>
              <w:rPr>
                <w:rFonts w:ascii="Calibri" w:cs="Calibri" w:eastAsia="Calibri" w:hAnsi="Calibri"/>
                <w:sz w:val="22"/>
                <w:szCs w:val="22"/>
              </w:rPr>
              <w:t xml:space="preserve">Pasted into chat in Labs 1–2; email trigger in Lab 6</w:t>
            </w:r>
          </w:p>
        </w:tc>
      </w:tr>
      <w:tr>
        <w:trPr>
          <w:tblHeader w:val="false"/>
        </w:trPr>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02_Albion_Member_Data.xlsx</w:t>
            </w:r>
          </w:p>
        </w:tc>
        <w:tc>
          <w:tcPr>
            <w:tcW w:type="dxa" w:w="3000"/>
            <w:tcMar>
              <w:top w:type="dxa" w:w="60"/>
              <w:left w:type="dxa" w:w="100"/>
              <w:bottom w:type="dxa" w:w="60"/>
              <w:right w:type="dxa" w:w="100"/>
            </w:tcMar>
          </w:tcPr>
          <w:p>
            <w:pPr>
              <w:spacing w:after="0"/>
            </w:pPr>
            <w:r>
              <w:rPr>
                <w:rFonts w:ascii="Calibri" w:cs="Calibri" w:eastAsia="Calibri" w:hAnsi="Calibri"/>
                <w:sz w:val="22"/>
                <w:szCs w:val="22"/>
              </w:rPr>
              <w:t xml:space="preserve">/Shared Documents/Data/</w:t>
            </w:r>
          </w:p>
        </w:tc>
        <w:tc>
          <w:tcPr>
            <w:tcW w:type="dxa" w:w="3160"/>
            <w:tcMar>
              <w:top w:type="dxa" w:w="60"/>
              <w:left w:type="dxa" w:w="100"/>
              <w:bottom w:type="dxa" w:w="60"/>
              <w:right w:type="dxa" w:w="100"/>
            </w:tcMar>
          </w:tcPr>
          <w:p>
            <w:pPr>
              <w:spacing w:after="0"/>
            </w:pPr>
            <w:r>
              <w:rPr>
                <w:rFonts w:ascii="Calibri" w:cs="Calibri" w:eastAsia="Calibri" w:hAnsi="Calibri"/>
                <w:sz w:val="22"/>
                <w:szCs w:val="22"/>
              </w:rPr>
              <w:t xml:space="preserve">Data Quality Agent (Lab 3)</w:t>
            </w:r>
          </w:p>
        </w:tc>
      </w:tr>
      <w:tr>
        <w:trPr>
          <w:tblHeader w:val="false"/>
        </w:trPr>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precedent_deals/ (4 .txt files)</w:t>
            </w:r>
          </w:p>
        </w:tc>
        <w:tc>
          <w:tcPr>
            <w:tcW w:type="dxa" w:w="3000"/>
            <w:tcMar>
              <w:top w:type="dxa" w:w="60"/>
              <w:left w:type="dxa" w:w="100"/>
              <w:bottom w:type="dxa" w:w="60"/>
              <w:right w:type="dxa" w:w="100"/>
            </w:tcMar>
          </w:tcPr>
          <w:p>
            <w:pPr>
              <w:spacing w:after="0"/>
            </w:pPr>
            <w:r>
              <w:rPr>
                <w:rFonts w:ascii="Calibri" w:cs="Calibri" w:eastAsia="Calibri" w:hAnsi="Calibri"/>
                <w:sz w:val="22"/>
                <w:szCs w:val="22"/>
              </w:rPr>
              <w:t xml:space="preserve">/Shared Documents/Precedents/</w:t>
            </w:r>
          </w:p>
        </w:tc>
        <w:tc>
          <w:tcPr>
            <w:tcW w:type="dxa" w:w="3160"/>
            <w:tcMar>
              <w:top w:type="dxa" w:w="60"/>
              <w:left w:type="dxa" w:w="100"/>
              <w:bottom w:type="dxa" w:w="60"/>
              <w:right w:type="dxa" w:w="100"/>
            </w:tcMar>
          </w:tcPr>
          <w:p>
            <w:pPr>
              <w:spacing w:after="0"/>
            </w:pPr>
            <w:r>
              <w:rPr>
                <w:rFonts w:ascii="Calibri" w:cs="Calibri" w:eastAsia="Calibri" w:hAnsi="Calibri"/>
                <w:sz w:val="22"/>
                <w:szCs w:val="22"/>
              </w:rPr>
              <w:t xml:space="preserve">Precedent Agent knowledge (Lab 4)</w:t>
            </w:r>
          </w:p>
        </w:tc>
      </w:tr>
      <w:tr>
        <w:trPr>
          <w:tblHeader w:val="false"/>
        </w:trPr>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04_Internal_Watchlist.xlsx</w:t>
            </w:r>
          </w:p>
        </w:tc>
        <w:tc>
          <w:tcPr>
            <w:tcW w:type="dxa" w:w="3000"/>
            <w:tcMar>
              <w:top w:type="dxa" w:w="60"/>
              <w:left w:type="dxa" w:w="100"/>
              <w:bottom w:type="dxa" w:w="60"/>
              <w:right w:type="dxa" w:w="100"/>
            </w:tcMar>
          </w:tcPr>
          <w:p>
            <w:pPr>
              <w:spacing w:after="0"/>
            </w:pPr>
            <w:r>
              <w:rPr>
                <w:rFonts w:ascii="Calibri" w:cs="Calibri" w:eastAsia="Calibri" w:hAnsi="Calibri"/>
                <w:sz w:val="22"/>
                <w:szCs w:val="22"/>
              </w:rPr>
              <w:t xml:space="preserve">/Shared Documents/Compliance/</w:t>
            </w:r>
          </w:p>
        </w:tc>
        <w:tc>
          <w:tcPr>
            <w:tcW w:type="dxa" w:w="3160"/>
            <w:tcMar>
              <w:top w:type="dxa" w:w="60"/>
              <w:left w:type="dxa" w:w="100"/>
              <w:bottom w:type="dxa" w:w="60"/>
              <w:right w:type="dxa" w:w="100"/>
            </w:tcMar>
          </w:tcPr>
          <w:p>
            <w:pPr>
              <w:spacing w:after="0"/>
            </w:pPr>
            <w:r>
              <w:rPr>
                <w:rFonts w:ascii="Calibri" w:cs="Calibri" w:eastAsia="Calibri" w:hAnsi="Calibri"/>
                <w:sz w:val="22"/>
                <w:szCs w:val="22"/>
              </w:rPr>
              <w:t xml:space="preserve">Compliance Agent (Lab 5)</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Tip: </w:t>
      </w:r>
      <w:r>
        <w:rPr>
          <w:rFonts w:ascii="Calibri" w:cs="Calibri" w:eastAsia="Calibri" w:hAnsi="Calibri"/>
          <w:sz w:val="22"/>
          <w:szCs w:val="22"/>
        </w:rPr>
        <w:t xml:space="preserve">If SharePoint knowledge is restricted in the tenant, every knowledge step in this lab also works with direct file upload as a knowledge source — upload the same files into each agent instead.</w:t>
      </w:r>
    </w:p>
    <w:p>
      <w:pPr>
        <w:pStyle w:val="Heading1"/>
        <w:spacing w:after="160" w:before="320"/>
      </w:pPr>
      <w:r>
        <w:rPr>
          <w:rFonts w:ascii="Calibri" w:cs="Calibri" w:eastAsia="Calibri" w:hAnsi="Calibri"/>
        </w:rPr>
        <w:t xml:space="preserve">3. The scenario (read aloud to the class)</w:t>
      </w:r>
    </w:p>
    <w:p>
      <w:pPr>
        <w:spacing w:after="120"/>
      </w:pPr>
      <w:r>
        <w:rPr>
          <w:rFonts w:ascii="Calibri" w:cs="Calibri" w:eastAsia="Calibri" w:hAnsi="Calibri"/>
          <w:sz w:val="22"/>
          <w:szCs w:val="22"/>
        </w:rPr>
        <w:t xml:space="preserve">It is Monday morning. Sterling Rowe Advisory has invited us to quote on a </w:t>
      </w:r>
      <w:r>
        <w:rPr>
          <w:rFonts w:ascii="Calibri" w:cs="Calibri" w:eastAsia="Calibri" w:hAnsi="Calibri"/>
          <w:b/>
          <w:bCs/>
          <w:sz w:val="22"/>
          <w:szCs w:val="22"/>
        </w:rPr>
        <w:t xml:space="preserve">GBP 500m pensioner buy-in</w:t>
      </w:r>
      <w:r>
        <w:rPr>
          <w:rFonts w:ascii="Calibri" w:cs="Calibri" w:eastAsia="Calibri" w:hAnsi="Calibri"/>
          <w:sz w:val="22"/>
          <w:szCs w:val="22"/>
        </w:rPr>
        <w:t xml:space="preserve"> for the </w:t>
      </w:r>
      <w:r>
        <w:rPr>
          <w:rFonts w:ascii="Calibri" w:cs="Calibri" w:eastAsia="Calibri" w:hAnsi="Calibri"/>
          <w:b/>
          <w:bCs/>
          <w:sz w:val="22"/>
          <w:szCs w:val="22"/>
        </w:rPr>
        <w:t xml:space="preserve">Albion Manufacturing Pension Scheme</w:t>
      </w:r>
      <w:r>
        <w:rPr>
          <w:rFonts w:ascii="Calibri" w:cs="Calibri" w:eastAsia="Calibri" w:hAnsi="Calibri"/>
          <w:sz w:val="22"/>
          <w:szCs w:val="22"/>
        </w:rPr>
        <w:t xml:space="preserve">, ceding through </w:t>
      </w:r>
      <w:r>
        <w:rPr>
          <w:rFonts w:ascii="Calibri" w:cs="Calibri" w:eastAsia="Calibri" w:hAnsi="Calibri"/>
          <w:b/>
          <w:bCs/>
          <w:sz w:val="22"/>
          <w:szCs w:val="22"/>
        </w:rPr>
        <w:t xml:space="preserve">Crownfield Insurance Company</w:t>
      </w:r>
      <w:r>
        <w:rPr>
          <w:rFonts w:ascii="Calibri" w:cs="Calibri" w:eastAsia="Calibri" w:hAnsi="Calibri"/>
          <w:sz w:val="22"/>
          <w:szCs w:val="22"/>
        </w:rPr>
        <w:t xml:space="preserve">, with indicative pricing due </w:t>
      </w:r>
      <w:r>
        <w:rPr>
          <w:rFonts w:ascii="Calibri" w:cs="Calibri" w:eastAsia="Calibri" w:hAnsi="Calibri"/>
          <w:b/>
          <w:bCs/>
          <w:sz w:val="22"/>
          <w:szCs w:val="22"/>
        </w:rPr>
        <w:t xml:space="preserve">24 July</w:t>
      </w:r>
      <w:r>
        <w:rPr>
          <w:rFonts w:ascii="Calibri" w:cs="Calibri" w:eastAsia="Calibri" w:hAnsi="Calibri"/>
          <w:sz w:val="22"/>
          <w:szCs w:val="22"/>
        </w:rPr>
        <w:t xml:space="preserve">. Before anyone spends pricing-team hours on it, the Deal Desk must produce a one-page triage memo: What is the deal? How good is the data? Have we seen anything like it? Are there compliance flags? Should we proceed?</w:t>
      </w:r>
    </w:p>
    <w:p>
      <w:pPr>
        <w:spacing w:after="120"/>
      </w:pPr>
      <w:r>
        <w:rPr>
          <w:rFonts w:ascii="Calibri" w:cs="Calibri" w:eastAsia="Calibri" w:hAnsi="Calibri"/>
          <w:i/>
          <w:iCs/>
          <w:sz w:val="22"/>
          <w:szCs w:val="22"/>
        </w:rPr>
        <w:t xml:space="preserve">Today, the Deal Desk is a team of agents — and we build the desk itself first.</w:t>
      </w:r>
    </w:p>
    <w:p>
      <w:pPr>
        <w:pStyle w:val="Heading1"/>
        <w:spacing w:after="160" w:before="320"/>
      </w:pPr>
      <w:r>
        <w:rPr>
          <w:rFonts w:ascii="Calibri" w:cs="Calibri" w:eastAsia="Calibri" w:hAnsi="Calibri"/>
        </w:rPr>
        <w:t xml:space="preserve">Lab 1 — The Deal Desk Orchestrator (30 min)</w:t>
      </w:r>
    </w:p>
    <w:p>
      <w:pPr>
        <w:spacing w:after="120"/>
      </w:pPr>
      <w:r>
        <w:rPr>
          <w:rFonts w:ascii="Calibri" w:cs="Calibri" w:eastAsia="Calibri" w:hAnsi="Calibri"/>
          <w:b/>
          <w:bCs/>
          <w:sz w:val="22"/>
          <w:szCs w:val="22"/>
        </w:rPr>
        <w:t xml:space="preserve">Goal: </w:t>
      </w:r>
      <w:r>
        <w:rPr>
          <w:rFonts w:ascii="Calibri" w:cs="Calibri" w:eastAsia="Calibri" w:hAnsi="Calibri"/>
          <w:sz w:val="22"/>
          <w:szCs w:val="22"/>
        </w:rPr>
        <w:t xml:space="preserve">the parent agent that will coordinate all four specialists and produce the triage memo. In this lab you build it, switch on generative orchestration, and see how it behaves with no children connected. Each of Labs 2–5 then adds one connected child agent.</w:t>
      </w:r>
    </w:p>
    <w:p>
      <w:pPr>
        <w:pStyle w:val="Heading2"/>
        <w:spacing w:after="120" w:before="240"/>
      </w:pPr>
      <w:r>
        <w:rPr>
          <w:rFonts w:ascii="Calibri" w:cs="Calibri" w:eastAsia="Calibri" w:hAnsi="Calibri"/>
        </w:rPr>
        <w:t xml:space="preserve">Steps</w:t>
      </w:r>
    </w:p>
    <w:p>
      <w:pPr>
        <w:pStyle w:val="ListParagraph"/>
        <w:numPr>
          <w:ilvl w:val="0"/>
          <w:numId w:val="2"/>
        </w:numPr>
        <w:spacing w:after="100"/>
      </w:pPr>
      <w:r>
        <w:rPr>
          <w:rFonts w:ascii="Calibri" w:cs="Calibri" w:eastAsia="Calibri" w:hAnsi="Calibri"/>
          <w:sz w:val="22"/>
          <w:szCs w:val="22"/>
        </w:rPr>
        <w:t xml:space="preserve">In Copilot Studio, select your training environment (top right), then </w:t>
      </w:r>
      <w:r>
        <w:rPr>
          <w:rFonts w:ascii="Calibri" w:cs="Calibri" w:eastAsia="Calibri" w:hAnsi="Calibri"/>
          <w:b/>
          <w:bCs/>
          <w:sz w:val="22"/>
          <w:szCs w:val="22"/>
        </w:rPr>
        <w:t xml:space="preserve">Create &gt; New agent</w:t>
      </w:r>
      <w:r>
        <w:rPr>
          <w:rFonts w:ascii="Calibri" w:cs="Calibri" w:eastAsia="Calibri" w:hAnsi="Calibri"/>
          <w:sz w:val="22"/>
          <w:szCs w:val="22"/>
        </w:rPr>
        <w:t xml:space="preserve">. Choose </w:t>
      </w:r>
      <w:r>
        <w:rPr>
          <w:rFonts w:ascii="Calibri" w:cs="Calibri" w:eastAsia="Calibri" w:hAnsi="Calibri"/>
          <w:b/>
          <w:bCs/>
          <w:sz w:val="22"/>
          <w:szCs w:val="22"/>
        </w:rPr>
        <w:t xml:space="preserve">Skip to configure</w:t>
      </w:r>
      <w:r>
        <w:rPr>
          <w:rFonts w:ascii="Calibri" w:cs="Calibri" w:eastAsia="Calibri" w:hAnsi="Calibri"/>
          <w:sz w:val="22"/>
          <w:szCs w:val="22"/>
        </w:rPr>
        <w:t xml:space="preserve"> (skip the conversational builder).</w:t>
      </w:r>
    </w:p>
    <w:p>
      <w:pPr>
        <w:pStyle w:val="ListParagraph"/>
        <w:numPr>
          <w:ilvl w:val="0"/>
          <w:numId w:val="2"/>
        </w:numPr>
        <w:spacing w:after="100"/>
      </w:pPr>
      <w:r>
        <w:rPr>
          <w:rFonts w:ascii="Calibri" w:cs="Calibri" w:eastAsia="Calibri" w:hAnsi="Calibri"/>
          <w:sz w:val="22"/>
          <w:szCs w:val="22"/>
        </w:rPr>
        <w:t xml:space="preserve">Configure the agent with the name, description, and instructions below.</w:t>
      </w:r>
    </w:p>
    <w:p>
      <w:pPr>
        <w:spacing w:after="120"/>
      </w:pPr>
      <w:r>
        <w:rPr>
          <w:rFonts w:ascii="Calibri" w:cs="Calibri" w:eastAsia="Calibri" w:hAnsi="Calibri"/>
          <w:b/>
          <w:bCs/>
          <w:sz w:val="22"/>
          <w:szCs w:val="22"/>
        </w:rPr>
        <w:t xml:space="preserve">Name: </w:t>
      </w:r>
      <w:r>
        <w:rPr>
          <w:rFonts w:ascii="Calibri" w:cs="Calibri" w:eastAsia="Calibri" w:hAnsi="Calibri"/>
          <w:sz w:val="22"/>
          <w:szCs w:val="22"/>
        </w:rPr>
        <w:t xml:space="preserve">Deal Desk</w:t>
      </w:r>
    </w:p>
    <w:p>
      <w:pPr>
        <w:spacing w:after="120"/>
      </w:pPr>
      <w:r>
        <w:rPr>
          <w:rFonts w:ascii="Calibri" w:cs="Calibri" w:eastAsia="Calibri" w:hAnsi="Calibri"/>
          <w:b/>
          <w:bCs/>
          <w:sz w:val="22"/>
          <w:szCs w:val="22"/>
        </w:rPr>
        <w:t xml:space="preserve">Description:</w:t>
      </w:r>
    </w:p>
    <w:p>
      <w:pPr>
        <w:shd w:fill="F2F2F2" w:val="clear"/>
        <w:spacing w:after="0"/>
        <w:ind w:left="240" w:right="240"/>
      </w:pPr>
      <w:r>
        <w:rPr>
          <w:rFonts w:ascii="Consolas" w:cs="Consolas" w:eastAsia="Consolas" w:hAnsi="Consolas"/>
          <w:sz w:val="18"/>
          <w:szCs w:val="18"/>
        </w:rPr>
        <w:t xml:space="preserve">Orchestrates PRT deal triage. Coordinates intake extraction, data</w:t>
      </w:r>
    </w:p>
    <w:p>
      <w:pPr>
        <w:shd w:fill="F2F2F2" w:val="clear"/>
        <w:spacing w:after="0"/>
        <w:ind w:left="240" w:right="240"/>
      </w:pPr>
      <w:r>
        <w:rPr>
          <w:rFonts w:ascii="Consolas" w:cs="Consolas" w:eastAsia="Consolas" w:hAnsi="Consolas"/>
          <w:sz w:val="18"/>
          <w:szCs w:val="18"/>
        </w:rPr>
        <w:t xml:space="preserve">quality assessment, precedent search, and compliance screening, then</w:t>
      </w:r>
    </w:p>
    <w:p>
      <w:pPr>
        <w:shd w:fill="F2F2F2" w:val="clear"/>
        <w:spacing w:after="0"/>
        <w:ind w:left="240" w:right="240"/>
      </w:pPr>
      <w:r>
        <w:rPr>
          <w:rFonts w:ascii="Consolas" w:cs="Consolas" w:eastAsia="Consolas" w:hAnsi="Consolas"/>
          <w:sz w:val="18"/>
          <w:szCs w:val="18"/>
        </w:rPr>
        <w:t xml:space="preserve">assembles a one-page deal triage memo with a Proceed / Escalate /</w:t>
      </w:r>
    </w:p>
    <w:p>
      <w:pPr>
        <w:shd w:fill="F2F2F2" w:val="clear"/>
        <w:spacing w:after="160"/>
        <w:ind w:left="240" w:right="240"/>
      </w:pPr>
      <w:r>
        <w:rPr>
          <w:rFonts w:ascii="Consolas" w:cs="Consolas" w:eastAsia="Consolas" w:hAnsi="Consolas"/>
          <w:sz w:val="18"/>
          <w:szCs w:val="18"/>
        </w:rPr>
        <w:t xml:space="preserve">Decline recommendation.</w:t>
      </w:r>
    </w:p>
    <w:p>
      <w:pPr>
        <w:spacing w:after="120"/>
      </w:pPr>
      <w:r>
        <w:rPr>
          <w:rFonts w:ascii="Calibri" w:cs="Calibri" w:eastAsia="Calibri" w:hAnsi="Calibri"/>
          <w:b/>
          <w:bCs/>
          <w:sz w:val="22"/>
          <w:szCs w:val="22"/>
        </w:rPr>
        <w:t xml:space="preserve">Instructions:</w:t>
      </w:r>
    </w:p>
    <w:p>
      <w:pPr>
        <w:shd w:fill="F2F2F2" w:val="clear"/>
        <w:spacing w:after="0"/>
        <w:ind w:left="240" w:right="240"/>
      </w:pPr>
      <w:r>
        <w:rPr>
          <w:rFonts w:ascii="Consolas" w:cs="Consolas" w:eastAsia="Consolas" w:hAnsi="Consolas"/>
          <w:sz w:val="18"/>
          <w:szCs w:val="18"/>
        </w:rPr>
        <w:t xml:space="preserve">You are the Deal Desk orchestrator for a reinsurance PRT triage process.</w:t>
      </w:r>
    </w:p>
    <w:p>
      <w:pPr>
        <w:shd w:fill="F2F2F2" w:val="clear"/>
        <w:spacing w:after="0"/>
        <w:ind w:left="240" w:right="240"/>
      </w:pPr>
      <w:r>
        <w:rPr>
          <w:rFonts w:ascii="Consolas" w:cs="Consolas" w:eastAsia="Consolas" w:hAnsi="Consolas"/>
          <w:sz w:val="18"/>
          <w:szCs w:val="18"/>
        </w:rPr>
        <w:t xml:space="preserve">When given a new RFP or asked to triage a deal, complete these steps in</w:t>
      </w:r>
    </w:p>
    <w:p>
      <w:pPr>
        <w:shd w:fill="F2F2F2" w:val="clear"/>
        <w:spacing w:after="0"/>
        <w:ind w:left="240" w:right="240"/>
      </w:pPr>
      <w:r>
        <w:rPr>
          <w:rFonts w:ascii="Consolas" w:cs="Consolas" w:eastAsia="Consolas" w:hAnsi="Consolas"/>
          <w:sz w:val="18"/>
          <w:szCs w:val="18"/>
        </w:rPr>
        <w:t xml:space="preserve">order, delegating to your connected agents:</w:t>
      </w:r>
    </w:p>
    <w:p>
      <w:pPr>
        <w:shd w:fill="F2F2F2" w:val="clear"/>
        <w:spacing w:after="0"/>
        <w:ind w:left="240" w:right="240"/>
      </w:pPr>
      <w:r>
        <w:rPr>
          <w:rFonts w:ascii="Consolas" w:cs="Consolas" w:eastAsia="Consolas" w:hAnsi="Consolas"/>
          <w:sz w:val="18"/>
          <w:szCs w:val="18"/>
        </w:rPr>
        <w:t xml:space="preserve">1. Send the RFP text to the Intake Agent to get a structured deal record.</w:t>
      </w:r>
    </w:p>
    <w:p>
      <w:pPr>
        <w:shd w:fill="F2F2F2" w:val="clear"/>
        <w:spacing w:after="0"/>
        <w:ind w:left="240" w:right="240"/>
      </w:pPr>
      <w:r>
        <w:rPr>
          <w:rFonts w:ascii="Consolas" w:cs="Consolas" w:eastAsia="Consolas" w:hAnsi="Consolas"/>
          <w:sz w:val="18"/>
          <w:szCs w:val="18"/>
        </w:rPr>
        <w:t xml:space="preserve">2. Ask the Data Quality Agent to assess the member data extract.</w:t>
      </w:r>
    </w:p>
    <w:p>
      <w:pPr>
        <w:shd w:fill="F2F2F2" w:val="clear"/>
        <w:spacing w:after="0"/>
        <w:ind w:left="240" w:right="240"/>
      </w:pPr>
      <w:r>
        <w:rPr>
          <w:rFonts w:ascii="Consolas" w:cs="Consolas" w:eastAsia="Consolas" w:hAnsi="Consolas"/>
          <w:sz w:val="18"/>
          <w:szCs w:val="18"/>
        </w:rPr>
        <w:t xml:space="preserve">3. Ask the Precedent Agent for comparable deals, counterparty history,</w:t>
      </w:r>
    </w:p>
    <w:p>
      <w:pPr>
        <w:shd w:fill="F2F2F2" w:val="clear"/>
        <w:spacing w:after="0"/>
        <w:ind w:left="240" w:right="240"/>
      </w:pPr>
      <w:r>
        <w:rPr>
          <w:rFonts w:ascii="Consolas" w:cs="Consolas" w:eastAsia="Consolas" w:hAnsi="Consolas"/>
          <w:sz w:val="18"/>
          <w:szCs w:val="18"/>
        </w:rPr>
        <w:t xml:space="preserve">   and applicable Pricing Committee rules for this deal.</w:t>
      </w:r>
    </w:p>
    <w:p>
      <w:pPr>
        <w:shd w:fill="F2F2F2" w:val="clear"/>
        <w:spacing w:after="0"/>
        <w:ind w:left="240" w:right="240"/>
      </w:pPr>
      <w:r>
        <w:rPr>
          <w:rFonts w:ascii="Consolas" w:cs="Consolas" w:eastAsia="Consolas" w:hAnsi="Consolas"/>
          <w:sz w:val="18"/>
          <w:szCs w:val="18"/>
        </w:rPr>
        <w:t xml:space="preserve">4. Ask the Compliance Agent to screen the sponsor, ceding insurer,</w:t>
      </w:r>
    </w:p>
    <w:p>
      <w:pPr>
        <w:shd w:fill="F2F2F2" w:val="clear"/>
        <w:spacing w:after="0"/>
        <w:ind w:left="240" w:right="240"/>
      </w:pPr>
      <w:r>
        <w:rPr>
          <w:rFonts w:ascii="Consolas" w:cs="Consolas" w:eastAsia="Consolas" w:hAnsi="Consolas"/>
          <w:sz w:val="18"/>
          <w:szCs w:val="18"/>
        </w:rPr>
        <w:t xml:space="preserve">   trustee, and adviser named in the deal record.</w:t>
      </w:r>
    </w:p>
    <w:p>
      <w:pPr>
        <w:shd w:fill="F2F2F2" w:val="clear"/>
        <w:spacing w:after="0"/>
        <w:ind w:left="240" w:right="240"/>
      </w:pPr>
      <w:r>
        <w:rPr>
          <w:rFonts w:ascii="Consolas" w:cs="Consolas" w:eastAsia="Consolas" w:hAnsi="Consolas"/>
          <w:sz w:val="18"/>
          <w:szCs w:val="18"/>
        </w:rPr>
        <w:t xml:space="preserve">If a step's connected agent is not yet available, say so explicitly in</w:t>
      </w:r>
    </w:p>
    <w:p>
      <w:pPr>
        <w:shd w:fill="F2F2F2" w:val="clear"/>
        <w:spacing w:after="0"/>
        <w:ind w:left="240" w:right="240"/>
      </w:pPr>
      <w:r>
        <w:rPr>
          <w:rFonts w:ascii="Consolas" w:cs="Consolas" w:eastAsia="Consolas" w:hAnsi="Consolas"/>
          <w:sz w:val="18"/>
          <w:szCs w:val="18"/>
        </w:rPr>
        <w:t xml:space="preserve">the memo section instead of inventing content.</w:t>
      </w:r>
    </w:p>
    <w:p>
      <w:pPr>
        <w:shd w:fill="F2F2F2" w:val="clear"/>
        <w:spacing w:after="0"/>
        <w:ind w:left="240" w:right="240"/>
      </w:pPr>
      <w:r>
        <w:rPr>
          <w:rFonts w:ascii="Consolas" w:cs="Consolas" w:eastAsia="Consolas" w:hAnsi="Consolas"/>
          <w:sz w:val="18"/>
          <w:szCs w:val="18"/>
        </w:rPr>
        <w:t xml:space="preserve">Then assemble a DEAL TRIAGE MEMO with sections: Deal Summary (from</w:t>
      </w:r>
    </w:p>
    <w:p>
      <w:pPr>
        <w:shd w:fill="F2F2F2" w:val="clear"/>
        <w:spacing w:after="0"/>
        <w:ind w:left="240" w:right="240"/>
      </w:pPr>
      <w:r>
        <w:rPr>
          <w:rFonts w:ascii="Consolas" w:cs="Consolas" w:eastAsia="Consolas" w:hAnsi="Consolas"/>
          <w:sz w:val="18"/>
          <w:szCs w:val="18"/>
        </w:rPr>
        <w:t xml:space="preserve">intake), Data Quality (score and top issues), Precedents &amp; Lessons,</w:t>
      </w:r>
    </w:p>
    <w:p>
      <w:pPr>
        <w:shd w:fill="F2F2F2" w:val="clear"/>
        <w:spacing w:after="0"/>
        <w:ind w:left="240" w:right="240"/>
      </w:pPr>
      <w:r>
        <w:rPr>
          <w:rFonts w:ascii="Consolas" w:cs="Consolas" w:eastAsia="Consolas" w:hAnsi="Consolas"/>
          <w:sz w:val="18"/>
          <w:szCs w:val="18"/>
        </w:rPr>
        <w:t xml:space="preserve">Compliance Screening, and Recommendation. The recommendation must be</w:t>
      </w:r>
    </w:p>
    <w:p>
      <w:pPr>
        <w:shd w:fill="F2F2F2" w:val="clear"/>
        <w:spacing w:after="0"/>
        <w:ind w:left="240" w:right="240"/>
      </w:pPr>
      <w:r>
        <w:rPr>
          <w:rFonts w:ascii="Consolas" w:cs="Consolas" w:eastAsia="Consolas" w:hAnsi="Consolas"/>
          <w:sz w:val="18"/>
          <w:szCs w:val="18"/>
        </w:rPr>
        <w:t xml:space="preserve">one of PROCEED TO PRICING, ESCALATE TO PRICING COMMITTEE, or DECLINE,</w:t>
      </w:r>
    </w:p>
    <w:p>
      <w:pPr>
        <w:shd w:fill="F2F2F2" w:val="clear"/>
        <w:spacing w:after="0"/>
        <w:ind w:left="240" w:right="240"/>
      </w:pPr>
      <w:r>
        <w:rPr>
          <w:rFonts w:ascii="Consolas" w:cs="Consolas" w:eastAsia="Consolas" w:hAnsi="Consolas"/>
          <w:sz w:val="18"/>
          <w:szCs w:val="18"/>
        </w:rPr>
        <w:t xml:space="preserve">with reasons that reference the Pricing Committee thresholds</w:t>
      </w:r>
    </w:p>
    <w:p>
      <w:pPr>
        <w:shd w:fill="F2F2F2" w:val="clear"/>
        <w:spacing w:after="0"/>
        <w:ind w:left="240" w:right="240"/>
      </w:pPr>
      <w:r>
        <w:rPr>
          <w:rFonts w:ascii="Consolas" w:cs="Consolas" w:eastAsia="Consolas" w:hAnsi="Consolas"/>
          <w:sz w:val="18"/>
          <w:szCs w:val="18"/>
        </w:rPr>
        <w:t xml:space="preserve">(GBP 750m Board threshold, 70/100 data score threshold, deferred &gt; 50%</w:t>
      </w:r>
    </w:p>
    <w:p>
      <w:pPr>
        <w:shd w:fill="F2F2F2" w:val="clear"/>
        <w:spacing w:after="0"/>
        <w:ind w:left="240" w:right="240"/>
      </w:pPr>
      <w:r>
        <w:rPr>
          <w:rFonts w:ascii="Consolas" w:cs="Consolas" w:eastAsia="Consolas" w:hAnsi="Consolas"/>
          <w:sz w:val="18"/>
          <w:szCs w:val="18"/>
        </w:rPr>
        <w:t xml:space="preserve">appetite rule, watchlist blocking rule). Keep the memo to one page.</w:t>
      </w:r>
    </w:p>
    <w:p>
      <w:pPr>
        <w:shd w:fill="F2F2F2" w:val="clear"/>
        <w:spacing w:after="160"/>
        <w:ind w:left="240" w:right="240"/>
      </w:pPr>
      <w:r>
        <w:rPr>
          <w:rFonts w:ascii="Consolas" w:cs="Consolas" w:eastAsia="Consolas" w:hAnsi="Consolas"/>
          <w:sz w:val="18"/>
          <w:szCs w:val="18"/>
        </w:rPr>
        <w:t xml:space="preserve">This is a training exercise on fictional data.</w:t>
      </w:r>
    </w:p>
    <w:p>
      <w:pPr>
        <w:pStyle w:val="ListParagraph"/>
        <w:numPr>
          <w:ilvl w:val="0"/>
          <w:numId w:val="2"/>
        </w:numPr>
        <w:spacing w:after="100"/>
      </w:pPr>
      <w:r>
        <w:rPr>
          <w:rFonts w:ascii="Calibri" w:cs="Calibri" w:eastAsia="Calibri" w:hAnsi="Calibri"/>
          <w:b/>
          <w:bCs/>
          <w:sz w:val="22"/>
          <w:szCs w:val="22"/>
        </w:rPr>
        <w:t xml:space="preserve">Create</w:t>
      </w:r>
      <w:r>
        <w:rPr>
          <w:rFonts w:ascii="Calibri" w:cs="Calibri" w:eastAsia="Calibri" w:hAnsi="Calibri"/>
          <w:sz w:val="22"/>
          <w:szCs w:val="22"/>
        </w:rPr>
        <w:t xml:space="preserve"> the agent. In </w:t>
      </w:r>
      <w:r>
        <w:rPr>
          <w:rFonts w:ascii="Calibri" w:cs="Calibri" w:eastAsia="Calibri" w:hAnsi="Calibri"/>
          <w:b/>
          <w:bCs/>
          <w:sz w:val="22"/>
          <w:szCs w:val="22"/>
        </w:rPr>
        <w:t xml:space="preserve">Settings</w:t>
      </w:r>
      <w:r>
        <w:rPr>
          <w:rFonts w:ascii="Calibri" w:cs="Calibri" w:eastAsia="Calibri" w:hAnsi="Calibri"/>
          <w:sz w:val="22"/>
          <w:szCs w:val="22"/>
        </w:rPr>
        <w:t xml:space="preserve"> (gear icon) confirm </w:t>
      </w:r>
      <w:r>
        <w:rPr>
          <w:rFonts w:ascii="Calibri" w:cs="Calibri" w:eastAsia="Calibri" w:hAnsi="Calibri"/>
          <w:b/>
          <w:bCs/>
          <w:sz w:val="22"/>
          <w:szCs w:val="22"/>
        </w:rPr>
        <w:t xml:space="preserve">Orchestration: Generative</w:t>
      </w:r>
      <w:r>
        <w:rPr>
          <w:rFonts w:ascii="Calibri" w:cs="Calibri" w:eastAsia="Calibri" w:hAnsi="Calibri"/>
          <w:sz w:val="22"/>
          <w:szCs w:val="22"/>
        </w:rPr>
        <w:t xml:space="preserve"> is on (naming varies slightly by release: “Use generative AI to determine how best to respond”). Connected-agent delegation in the later labs depends on it.</w:t>
      </w:r>
    </w:p>
    <w:p>
      <w:pPr>
        <w:pStyle w:val="ListParagraph"/>
        <w:numPr>
          <w:ilvl w:val="0"/>
          <w:numId w:val="2"/>
        </w:numPr>
        <w:spacing w:after="100"/>
      </w:pPr>
      <w:r>
        <w:rPr>
          <w:rFonts w:ascii="Calibri" w:cs="Calibri" w:eastAsia="Calibri" w:hAnsi="Calibri"/>
          <w:sz w:val="22"/>
          <w:szCs w:val="22"/>
        </w:rPr>
        <w:t xml:space="preserve">Find the </w:t>
      </w:r>
      <w:r>
        <w:rPr>
          <w:rFonts w:ascii="Calibri" w:cs="Calibri" w:eastAsia="Calibri" w:hAnsi="Calibri"/>
          <w:b/>
          <w:bCs/>
          <w:sz w:val="22"/>
          <w:szCs w:val="22"/>
        </w:rPr>
        <w:t xml:space="preserve">Agents</w:t>
      </w:r>
      <w:r>
        <w:rPr>
          <w:rFonts w:ascii="Calibri" w:cs="Calibri" w:eastAsia="Calibri" w:hAnsi="Calibri"/>
          <w:sz w:val="22"/>
          <w:szCs w:val="22"/>
        </w:rPr>
        <w:t xml:space="preserve"> tab (or </w:t>
      </w:r>
      <w:r>
        <w:rPr>
          <w:rFonts w:ascii="Calibri" w:cs="Calibri" w:eastAsia="Calibri" w:hAnsi="Calibri"/>
          <w:b/>
          <w:bCs/>
          <w:sz w:val="22"/>
          <w:szCs w:val="22"/>
        </w:rPr>
        <w:t xml:space="preserve">Tools/Agents</w:t>
      </w:r>
      <w:r>
        <w:rPr>
          <w:rFonts w:ascii="Calibri" w:cs="Calibri" w:eastAsia="Calibri" w:hAnsi="Calibri"/>
          <w:sz w:val="22"/>
          <w:szCs w:val="22"/>
        </w:rPr>
        <w:t xml:space="preserve"> area — naming varies) and locate </w:t>
      </w:r>
      <w:r>
        <w:rPr>
          <w:rFonts w:ascii="Calibri" w:cs="Calibri" w:eastAsia="Calibri" w:hAnsi="Calibri"/>
          <w:b/>
          <w:bCs/>
          <w:sz w:val="22"/>
          <w:szCs w:val="22"/>
        </w:rPr>
        <w:t xml:space="preserve">Add &gt; Add an agent</w:t>
      </w:r>
      <w:r>
        <w:rPr>
          <w:rFonts w:ascii="Calibri" w:cs="Calibri" w:eastAsia="Calibri" w:hAnsi="Calibri"/>
          <w:sz w:val="22"/>
          <w:szCs w:val="22"/>
        </w:rPr>
        <w:t xml:space="preserve">. It will be empty for now; this is where each specialist gets connected in Labs 2–5.</w:t>
      </w:r>
    </w:p>
    <w:p>
      <w:pPr>
        <w:pStyle w:val="ListParagraph"/>
        <w:numPr>
          <w:ilvl w:val="0"/>
          <w:numId w:val="2"/>
        </w:numPr>
        <w:spacing w:after="100"/>
      </w:pPr>
      <w:r>
        <w:rPr>
          <w:rFonts w:ascii="Calibri" w:cs="Calibri" w:eastAsia="Calibri" w:hAnsi="Calibri"/>
          <w:b/>
          <w:bCs/>
          <w:sz w:val="22"/>
          <w:szCs w:val="22"/>
        </w:rPr>
        <w:t xml:space="preserve">Baseline test</w:t>
      </w:r>
      <w:r>
        <w:rPr>
          <w:rFonts w:ascii="Calibri" w:cs="Calibri" w:eastAsia="Calibri" w:hAnsi="Calibri"/>
          <w:sz w:val="22"/>
          <w:szCs w:val="22"/>
        </w:rPr>
        <w:t xml:space="preserve"> in the </w:t>
      </w:r>
      <w:r>
        <w:rPr>
          <w:rFonts w:ascii="Calibri" w:cs="Calibri" w:eastAsia="Calibri" w:hAnsi="Calibri"/>
          <w:b/>
          <w:bCs/>
          <w:sz w:val="22"/>
          <w:szCs w:val="22"/>
        </w:rPr>
        <w:t xml:space="preserve">Test agent</w:t>
      </w:r>
      <w:r>
        <w:rPr>
          <w:rFonts w:ascii="Calibri" w:cs="Calibri" w:eastAsia="Calibri" w:hAnsi="Calibri"/>
          <w:sz w:val="22"/>
          <w:szCs w:val="22"/>
        </w:rPr>
        <w:t xml:space="preserve"> pane: paste the full text of 01_RFP_Email_Albion_Scheme.txt with the prompt “New invitation to quote received. Please run full triage.”</w:t>
      </w:r>
    </w:p>
    <w:p>
      <w:pPr>
        <w:pStyle w:val="Heading2"/>
        <w:spacing w:after="120" w:before="240"/>
      </w:pPr>
      <w:r>
        <w:rPr>
          <w:rFonts w:ascii="Calibri" w:cs="Calibri" w:eastAsia="Calibri" w:hAnsi="Calibri"/>
        </w:rPr>
        <w:t xml:space="preserve">Expected result</w:t>
      </w:r>
    </w:p>
    <w:p>
      <w:pPr>
        <w:spacing w:after="120"/>
      </w:pPr>
      <w:r>
        <w:rPr>
          <w:rFonts w:ascii="Calibri" w:cs="Calibri" w:eastAsia="Calibri" w:hAnsi="Calibri"/>
          <w:sz w:val="22"/>
          <w:szCs w:val="22"/>
        </w:rPr>
        <w:t xml:space="preserve">With no connected agents, the Deal Desk attempts the memo alone: it can loosely summarise the RFP from the pasted text, but the Data Quality, Precedents, and Compliance sections should come back empty or flagged as unavailable (per the instructions). Keep a copy of this baseline output — attendees will compare it against the run at the end of each subsequent lab as the specialists come online.</w:t>
      </w:r>
    </w:p>
    <w:p>
      <w:pPr>
        <w:spacing w:after="120"/>
      </w:pPr>
      <w:r>
        <w:rPr>
          <w:rFonts w:ascii="Calibri" w:cs="Calibri" w:eastAsia="Calibri" w:hAnsi="Calibri"/>
          <w:b/>
          <w:bCs/>
          <w:sz w:val="22"/>
          <w:szCs w:val="22"/>
        </w:rPr>
        <w:t xml:space="preserve">Checkpoint ✅  </w:t>
      </w:r>
      <w:r>
        <w:rPr>
          <w:rFonts w:ascii="Calibri" w:cs="Calibri" w:eastAsia="Calibri" w:hAnsi="Calibri"/>
          <w:sz w:val="22"/>
          <w:szCs w:val="22"/>
        </w:rPr>
        <w:t xml:space="preserve">Every attendee has a Deal Desk agent with generative orchestration on, has found the Add an agent screen, and has saved the baseline (no-children) triage output.</w:t>
      </w:r>
    </w:p>
    <w:p>
      <w:pPr>
        <w:spacing w:after="120"/>
      </w:pPr>
      <w:r>
        <w:rPr>
          <w:rFonts w:ascii="Calibri" w:cs="Calibri" w:eastAsia="Calibri" w:hAnsi="Calibri"/>
          <w:b/>
          <w:bCs/>
          <w:sz w:val="22"/>
          <w:szCs w:val="22"/>
        </w:rPr>
        <w:t xml:space="preserve">Discussion point: </w:t>
      </w:r>
      <w:r>
        <w:rPr>
          <w:rFonts w:ascii="Calibri" w:cs="Calibri" w:eastAsia="Calibri" w:hAnsi="Calibri"/>
          <w:sz w:val="22"/>
          <w:szCs w:val="22"/>
        </w:rPr>
        <w:t xml:space="preserve">Why shouldn't the orchestrator just do everything itself? (Separation of concerns, per-agent knowledge scoping, per-agent governance, reuse of specialists by other orchestrators.)</w:t>
      </w:r>
    </w:p>
    <w:p>
      <w:pPr>
        <w:pStyle w:val="Heading1"/>
        <w:spacing w:after="160" w:before="320"/>
      </w:pPr>
      <w:r>
        <w:rPr>
          <w:rFonts w:ascii="Calibri" w:cs="Calibri" w:eastAsia="Calibri" w:hAnsi="Calibri"/>
        </w:rPr>
        <w:t xml:space="preserve">Lab 2 — Child Agent: Intake (35 min)</w:t>
      </w:r>
    </w:p>
    <w:p>
      <w:pPr>
        <w:spacing w:after="120"/>
      </w:pPr>
      <w:r>
        <w:rPr>
          <w:rFonts w:ascii="Calibri" w:cs="Calibri" w:eastAsia="Calibri" w:hAnsi="Calibri"/>
          <w:b/>
          <w:bCs/>
          <w:sz w:val="22"/>
          <w:szCs w:val="22"/>
        </w:rPr>
        <w:t xml:space="preserve">Goal: </w:t>
      </w:r>
      <w:r>
        <w:rPr>
          <w:rFonts w:ascii="Calibri" w:cs="Calibri" w:eastAsia="Calibri" w:hAnsi="Calibri"/>
          <w:sz w:val="22"/>
          <w:szCs w:val="22"/>
        </w:rPr>
        <w:t xml:space="preserve">a specialist that reads unstructured RFP text and returns a structured deal record — built, then connected to the Deal Desk as its first child agent.</w:t>
      </w:r>
    </w:p>
    <w:p>
      <w:pPr>
        <w:pStyle w:val="Heading2"/>
        <w:spacing w:after="120" w:before="240"/>
      </w:pPr>
      <w:r>
        <w:rPr>
          <w:rFonts w:ascii="Calibri" w:cs="Calibri" w:eastAsia="Calibri" w:hAnsi="Calibri"/>
        </w:rPr>
        <w:t xml:space="preserve">Steps</w:t>
      </w:r>
    </w:p>
    <w:p>
      <w:pPr>
        <w:pStyle w:val="ListParagraph"/>
        <w:numPr>
          <w:ilvl w:val="0"/>
          <w:numId w:val="2"/>
        </w:numPr>
        <w:spacing w:after="100"/>
      </w:pPr>
      <w:r>
        <w:rPr>
          <w:rFonts w:ascii="Calibri" w:cs="Calibri" w:eastAsia="Calibri" w:hAnsi="Calibri"/>
          <w:sz w:val="22"/>
          <w:szCs w:val="22"/>
        </w:rPr>
        <w:t xml:space="preserve">Create a new agent (</w:t>
      </w:r>
      <w:r>
        <w:rPr>
          <w:rFonts w:ascii="Calibri" w:cs="Calibri" w:eastAsia="Calibri" w:hAnsi="Calibri"/>
          <w:b/>
          <w:bCs/>
          <w:sz w:val="22"/>
          <w:szCs w:val="22"/>
        </w:rPr>
        <w:t xml:space="preserve">Create &gt; New agent &gt; Skip to configure</w:t>
      </w:r>
      <w:r>
        <w:rPr>
          <w:rFonts w:ascii="Calibri" w:cs="Calibri" w:eastAsia="Calibri" w:hAnsi="Calibri"/>
          <w:sz w:val="22"/>
          <w:szCs w:val="22"/>
        </w:rPr>
        <w:t xml:space="preserve">) with the configuration below. The description is what the orchestrator will read when routing — copy carefully.</w:t>
      </w:r>
    </w:p>
    <w:p>
      <w:pPr>
        <w:spacing w:after="120"/>
      </w:pPr>
      <w:r>
        <w:rPr>
          <w:rFonts w:ascii="Calibri" w:cs="Calibri" w:eastAsia="Calibri" w:hAnsi="Calibri"/>
          <w:b/>
          <w:bCs/>
          <w:sz w:val="22"/>
          <w:szCs w:val="22"/>
        </w:rPr>
        <w:t xml:space="preserve">Name: </w:t>
      </w:r>
      <w:r>
        <w:rPr>
          <w:rFonts w:ascii="Calibri" w:cs="Calibri" w:eastAsia="Calibri" w:hAnsi="Calibri"/>
          <w:sz w:val="22"/>
          <w:szCs w:val="22"/>
        </w:rPr>
        <w:t xml:space="preserve">Intake Agent</w:t>
      </w:r>
    </w:p>
    <w:p>
      <w:pPr>
        <w:spacing w:after="120"/>
      </w:pPr>
      <w:r>
        <w:rPr>
          <w:rFonts w:ascii="Calibri" w:cs="Calibri" w:eastAsia="Calibri" w:hAnsi="Calibri"/>
          <w:b/>
          <w:bCs/>
          <w:sz w:val="22"/>
          <w:szCs w:val="22"/>
        </w:rPr>
        <w:t xml:space="preserve">Description:</w:t>
      </w:r>
    </w:p>
    <w:p>
      <w:pPr>
        <w:shd w:fill="F2F2F2" w:val="clear"/>
        <w:spacing w:after="0"/>
        <w:ind w:left="240" w:right="240"/>
      </w:pPr>
      <w:r>
        <w:rPr>
          <w:rFonts w:ascii="Consolas" w:cs="Consolas" w:eastAsia="Consolas" w:hAnsi="Consolas"/>
          <w:sz w:val="18"/>
          <w:szCs w:val="18"/>
        </w:rPr>
        <w:t xml:space="preserve">Extracts structured deal facts from pension risk transfer RFP text:</w:t>
      </w:r>
    </w:p>
    <w:p>
      <w:pPr>
        <w:shd w:fill="F2F2F2" w:val="clear"/>
        <w:spacing w:after="0"/>
        <w:ind w:left="240" w:right="240"/>
      </w:pPr>
      <w:r>
        <w:rPr>
          <w:rFonts w:ascii="Consolas" w:cs="Consolas" w:eastAsia="Consolas" w:hAnsi="Consolas"/>
          <w:sz w:val="18"/>
          <w:szCs w:val="18"/>
        </w:rPr>
        <w:t xml:space="preserve">scheme name, transaction type, premium size, member counts,</w:t>
      </w:r>
    </w:p>
    <w:p>
      <w:pPr>
        <w:shd w:fill="F2F2F2" w:val="clear"/>
        <w:spacing w:after="0"/>
        <w:ind w:left="240" w:right="240"/>
      </w:pPr>
      <w:r>
        <w:rPr>
          <w:rFonts w:ascii="Consolas" w:cs="Consolas" w:eastAsia="Consolas" w:hAnsi="Consolas"/>
          <w:sz w:val="18"/>
          <w:szCs w:val="18"/>
        </w:rPr>
        <w:t xml:space="preserve">pensioner/deferred split, benefit structure, sponsor, ceding insurer,</w:t>
      </w:r>
    </w:p>
    <w:p>
      <w:pPr>
        <w:shd w:fill="F2F2F2" w:val="clear"/>
        <w:spacing w:after="0"/>
        <w:ind w:left="240" w:right="240"/>
      </w:pPr>
      <w:r>
        <w:rPr>
          <w:rFonts w:ascii="Consolas" w:cs="Consolas" w:eastAsia="Consolas" w:hAnsi="Consolas"/>
          <w:sz w:val="18"/>
          <w:szCs w:val="18"/>
        </w:rPr>
        <w:t xml:space="preserve">trustee, adviser, longevity basis, exclusivity, and key deadlines.</w:t>
      </w:r>
    </w:p>
    <w:p>
      <w:pPr>
        <w:shd w:fill="F2F2F2" w:val="clear"/>
        <w:spacing w:after="0"/>
        <w:ind w:left="240" w:right="240"/>
      </w:pPr>
      <w:r>
        <w:rPr>
          <w:rFonts w:ascii="Consolas" w:cs="Consolas" w:eastAsia="Consolas" w:hAnsi="Consolas"/>
          <w:sz w:val="18"/>
          <w:szCs w:val="18"/>
        </w:rPr>
        <w:t xml:space="preserve">Use when raw RFP or broker email text needs to be converted into a</w:t>
      </w:r>
    </w:p>
    <w:p>
      <w:pPr>
        <w:shd w:fill="F2F2F2" w:val="clear"/>
        <w:spacing w:after="160"/>
        <w:ind w:left="240" w:right="240"/>
      </w:pPr>
      <w:r>
        <w:rPr>
          <w:rFonts w:ascii="Consolas" w:cs="Consolas" w:eastAsia="Consolas" w:hAnsi="Consolas"/>
          <w:sz w:val="18"/>
          <w:szCs w:val="18"/>
        </w:rPr>
        <w:t xml:space="preserve">structured deal record.</w:t>
      </w:r>
    </w:p>
    <w:p>
      <w:pPr>
        <w:spacing w:after="120"/>
      </w:pPr>
      <w:r>
        <w:rPr>
          <w:rFonts w:ascii="Calibri" w:cs="Calibri" w:eastAsia="Calibri" w:hAnsi="Calibri"/>
          <w:b/>
          <w:bCs/>
          <w:sz w:val="22"/>
          <w:szCs w:val="22"/>
        </w:rPr>
        <w:t xml:space="preserve">Instructions:</w:t>
      </w:r>
    </w:p>
    <w:p>
      <w:pPr>
        <w:shd w:fill="F2F2F2" w:val="clear"/>
        <w:spacing w:after="0"/>
        <w:ind w:left="240" w:right="240"/>
      </w:pPr>
      <w:r>
        <w:rPr>
          <w:rFonts w:ascii="Consolas" w:cs="Consolas" w:eastAsia="Consolas" w:hAnsi="Consolas"/>
          <w:sz w:val="18"/>
          <w:szCs w:val="18"/>
        </w:rPr>
        <w:t xml:space="preserve">You are the Intake Agent for a reinsurance deal desk. When given RFP or</w:t>
      </w:r>
    </w:p>
    <w:p>
      <w:pPr>
        <w:shd w:fill="F2F2F2" w:val="clear"/>
        <w:spacing w:after="0"/>
        <w:ind w:left="240" w:right="240"/>
      </w:pPr>
      <w:r>
        <w:rPr>
          <w:rFonts w:ascii="Consolas" w:cs="Consolas" w:eastAsia="Consolas" w:hAnsi="Consolas"/>
          <w:sz w:val="18"/>
          <w:szCs w:val="18"/>
        </w:rPr>
        <w:t xml:space="preserve">broker email text, extract and return a structured deal record with these</w:t>
      </w:r>
    </w:p>
    <w:p>
      <w:pPr>
        <w:shd w:fill="F2F2F2" w:val="clear"/>
        <w:spacing w:after="0"/>
        <w:ind w:left="240" w:right="240"/>
      </w:pPr>
      <w:r>
        <w:rPr>
          <w:rFonts w:ascii="Consolas" w:cs="Consolas" w:eastAsia="Consolas" w:hAnsi="Consolas"/>
          <w:sz w:val="18"/>
          <w:szCs w:val="18"/>
        </w:rPr>
        <w:t xml:space="preserve">fields, using "NOT STATED" for anything missing:</w:t>
      </w:r>
    </w:p>
    <w:p>
      <w:pPr>
        <w:shd w:fill="F2F2F2" w:val="clear"/>
        <w:spacing w:after="0"/>
        <w:ind w:left="240" w:right="240"/>
      </w:pPr>
      <w:r>
        <w:rPr>
          <w:rFonts w:ascii="Consolas" w:cs="Consolas" w:eastAsia="Consolas" w:hAnsi="Consolas"/>
          <w:sz w:val="18"/>
          <w:szCs w:val="18"/>
        </w:rPr>
        <w:t xml:space="preserve">Scheme name | Transaction type | Estimated premium | Member count |</w:t>
      </w:r>
    </w:p>
    <w:p>
      <w:pPr>
        <w:shd w:fill="F2F2F2" w:val="clear"/>
        <w:spacing w:after="0"/>
        <w:ind w:left="240" w:right="240"/>
      </w:pPr>
      <w:r>
        <w:rPr>
          <w:rFonts w:ascii="Consolas" w:cs="Consolas" w:eastAsia="Consolas" w:hAnsi="Consolas"/>
          <w:sz w:val="18"/>
          <w:szCs w:val="18"/>
        </w:rPr>
        <w:t xml:space="preserve">Pensioner/deferred split | Benefit structure | Sponsor | Ceding insurer |</w:t>
      </w:r>
    </w:p>
    <w:p>
      <w:pPr>
        <w:shd w:fill="F2F2F2" w:val="clear"/>
        <w:spacing w:after="0"/>
        <w:ind w:left="240" w:right="240"/>
      </w:pPr>
      <w:r>
        <w:rPr>
          <w:rFonts w:ascii="Consolas" w:cs="Consolas" w:eastAsia="Consolas" w:hAnsi="Consolas"/>
          <w:sz w:val="18"/>
          <w:szCs w:val="18"/>
        </w:rPr>
        <w:t xml:space="preserve">Trustee | Adviser/broker | Longevity basis | Exclusivity | Response deadline |</w:t>
      </w:r>
    </w:p>
    <w:p>
      <w:pPr>
        <w:shd w:fill="F2F2F2" w:val="clear"/>
        <w:spacing w:after="0"/>
        <w:ind w:left="240" w:right="240"/>
      </w:pPr>
      <w:r>
        <w:rPr>
          <w:rFonts w:ascii="Consolas" w:cs="Consolas" w:eastAsia="Consolas" w:hAnsi="Consolas"/>
          <w:sz w:val="18"/>
          <w:szCs w:val="18"/>
        </w:rPr>
        <w:t xml:space="preserve">Target execution date.</w:t>
      </w:r>
    </w:p>
    <w:p>
      <w:pPr>
        <w:shd w:fill="F2F2F2" w:val="clear"/>
        <w:spacing w:after="0"/>
        <w:ind w:left="240" w:right="240"/>
      </w:pPr>
      <w:r>
        <w:rPr>
          <w:rFonts w:ascii="Consolas" w:cs="Consolas" w:eastAsia="Consolas" w:hAnsi="Consolas"/>
          <w:sz w:val="18"/>
          <w:szCs w:val="18"/>
        </w:rPr>
        <w:t xml:space="preserve">Present the record as a markdown table. After the table, list any</w:t>
      </w:r>
    </w:p>
    <w:p>
      <w:pPr>
        <w:shd w:fill="F2F2F2" w:val="clear"/>
        <w:spacing w:after="0"/>
        <w:ind w:left="240" w:right="240"/>
      </w:pPr>
      <w:r>
        <w:rPr>
          <w:rFonts w:ascii="Consolas" w:cs="Consolas" w:eastAsia="Consolas" w:hAnsi="Consolas"/>
          <w:sz w:val="18"/>
          <w:szCs w:val="18"/>
        </w:rPr>
        <w:t xml:space="preserve">ambiguities or missing information under "Open questions". Do not invent</w:t>
      </w:r>
    </w:p>
    <w:p>
      <w:pPr>
        <w:shd w:fill="F2F2F2" w:val="clear"/>
        <w:spacing w:after="160"/>
        <w:ind w:left="240" w:right="240"/>
      </w:pPr>
      <w:r>
        <w:rPr>
          <w:rFonts w:ascii="Consolas" w:cs="Consolas" w:eastAsia="Consolas" w:hAnsi="Consolas"/>
          <w:sz w:val="18"/>
          <w:szCs w:val="18"/>
        </w:rPr>
        <w:t xml:space="preserve">facts that are not in the source text. Do not provide pricing opinions.</w:t>
      </w:r>
    </w:p>
    <w:p>
      <w:pPr>
        <w:pStyle w:val="ListParagraph"/>
        <w:numPr>
          <w:ilvl w:val="0"/>
          <w:numId w:val="2"/>
        </w:numPr>
        <w:spacing w:after="100"/>
      </w:pPr>
      <w:r>
        <w:rPr>
          <w:rFonts w:ascii="Calibri" w:cs="Calibri" w:eastAsia="Calibri" w:hAnsi="Calibri"/>
          <w:b/>
          <w:bCs/>
          <w:sz w:val="22"/>
          <w:szCs w:val="22"/>
        </w:rPr>
        <w:t xml:space="preserve">Create</w:t>
      </w:r>
      <w:r>
        <w:rPr>
          <w:rFonts w:ascii="Calibri" w:cs="Calibri" w:eastAsia="Calibri" w:hAnsi="Calibri"/>
          <w:sz w:val="22"/>
          <w:szCs w:val="22"/>
        </w:rPr>
        <w:t xml:space="preserve"> the agent and confirm </w:t>
      </w:r>
      <w:r>
        <w:rPr>
          <w:rFonts w:ascii="Calibri" w:cs="Calibri" w:eastAsia="Calibri" w:hAnsi="Calibri"/>
          <w:b/>
          <w:bCs/>
          <w:sz w:val="22"/>
          <w:szCs w:val="22"/>
        </w:rPr>
        <w:t xml:space="preserve">Orchestration: Generative</w:t>
      </w:r>
      <w:r>
        <w:rPr>
          <w:rFonts w:ascii="Calibri" w:cs="Calibri" w:eastAsia="Calibri" w:hAnsi="Calibri"/>
          <w:sz w:val="22"/>
          <w:szCs w:val="22"/>
        </w:rPr>
        <w:t xml:space="preserve"> is on in Settings.</w:t>
      </w:r>
    </w:p>
    <w:p>
      <w:pPr>
        <w:pStyle w:val="ListParagraph"/>
        <w:numPr>
          <w:ilvl w:val="0"/>
          <w:numId w:val="2"/>
        </w:numPr>
        <w:spacing w:after="100"/>
      </w:pPr>
      <w:r>
        <w:rPr>
          <w:rFonts w:ascii="Calibri" w:cs="Calibri" w:eastAsia="Calibri" w:hAnsi="Calibri"/>
          <w:b/>
          <w:bCs/>
          <w:sz w:val="22"/>
          <w:szCs w:val="22"/>
        </w:rPr>
        <w:t xml:space="preserve">Standalone test</w:t>
      </w:r>
      <w:r>
        <w:rPr>
          <w:rFonts w:ascii="Calibri" w:cs="Calibri" w:eastAsia="Calibri" w:hAnsi="Calibri"/>
          <w:sz w:val="22"/>
          <w:szCs w:val="22"/>
        </w:rPr>
        <w:t xml:space="preserve"> in the Test agent pane: paste the full text of 01_RFP_Email_Albion_Scheme.txt and send. Verify the structured table before connecting.</w:t>
      </w:r>
    </w:p>
    <w:p>
      <w:pPr>
        <w:pStyle w:val="ListParagraph"/>
        <w:numPr>
          <w:ilvl w:val="0"/>
          <w:numId w:val="2"/>
        </w:numPr>
        <w:spacing w:after="100"/>
      </w:pPr>
      <w:r>
        <w:rPr>
          <w:rFonts w:ascii="Calibri" w:cs="Calibri" w:eastAsia="Calibri" w:hAnsi="Calibri"/>
          <w:b/>
          <w:bCs/>
          <w:sz w:val="22"/>
          <w:szCs w:val="22"/>
        </w:rPr>
        <w:t xml:space="preserve">Publish</w:t>
      </w:r>
      <w:r>
        <w:rPr>
          <w:rFonts w:ascii="Calibri" w:cs="Calibri" w:eastAsia="Calibri" w:hAnsi="Calibri"/>
          <w:sz w:val="22"/>
          <w:szCs w:val="22"/>
        </w:rPr>
        <w:t xml:space="preserve"> the Intake Agent (Publish button) if the tenant requires published agents for connection.</w:t>
      </w:r>
    </w:p>
    <w:p>
      <w:pPr>
        <w:pStyle w:val="ListParagraph"/>
        <w:numPr>
          <w:ilvl w:val="0"/>
          <w:numId w:val="2"/>
        </w:numPr>
        <w:spacing w:after="100"/>
      </w:pPr>
      <w:r>
        <w:rPr>
          <w:rFonts w:ascii="Calibri" w:cs="Calibri" w:eastAsia="Calibri" w:hAnsi="Calibri"/>
          <w:b/>
          <w:bCs/>
          <w:sz w:val="22"/>
          <w:szCs w:val="22"/>
        </w:rPr>
        <w:t xml:space="preserve">Connect it: </w:t>
      </w:r>
      <w:r>
        <w:rPr>
          <w:rFonts w:ascii="Calibri" w:cs="Calibri" w:eastAsia="Calibri" w:hAnsi="Calibri"/>
          <w:sz w:val="22"/>
          <w:szCs w:val="22"/>
        </w:rPr>
        <w:t xml:space="preserve">open the </w:t>
      </w:r>
      <w:r>
        <w:rPr>
          <w:rFonts w:ascii="Calibri" w:cs="Calibri" w:eastAsia="Calibri" w:hAnsi="Calibri"/>
          <w:b/>
          <w:bCs/>
          <w:sz w:val="22"/>
          <w:szCs w:val="22"/>
        </w:rPr>
        <w:t xml:space="preserve">Deal Desk</w:t>
      </w:r>
      <w:r>
        <w:rPr>
          <w:rFonts w:ascii="Calibri" w:cs="Calibri" w:eastAsia="Calibri" w:hAnsi="Calibri"/>
          <w:sz w:val="22"/>
          <w:szCs w:val="22"/>
        </w:rPr>
        <w:t xml:space="preserve"> agent &gt; </w:t>
      </w:r>
      <w:r>
        <w:rPr>
          <w:rFonts w:ascii="Calibri" w:cs="Calibri" w:eastAsia="Calibri" w:hAnsi="Calibri"/>
          <w:b/>
          <w:bCs/>
          <w:sz w:val="22"/>
          <w:szCs w:val="22"/>
        </w:rPr>
        <w:t xml:space="preserve">Agents</w:t>
      </w:r>
      <w:r>
        <w:rPr>
          <w:rFonts w:ascii="Calibri" w:cs="Calibri" w:eastAsia="Calibri" w:hAnsi="Calibri"/>
          <w:sz w:val="22"/>
          <w:szCs w:val="22"/>
        </w:rPr>
        <w:t xml:space="preserve"> tab &gt; </w:t>
      </w:r>
      <w:r>
        <w:rPr>
          <w:rFonts w:ascii="Calibri" w:cs="Calibri" w:eastAsia="Calibri" w:hAnsi="Calibri"/>
          <w:b/>
          <w:bCs/>
          <w:sz w:val="22"/>
          <w:szCs w:val="22"/>
        </w:rPr>
        <w:t xml:space="preserve">Add &gt; Add an agent</w:t>
      </w:r>
      <w:r>
        <w:rPr>
          <w:rFonts w:ascii="Calibri" w:cs="Calibri" w:eastAsia="Calibri" w:hAnsi="Calibri"/>
          <w:sz w:val="22"/>
          <w:szCs w:val="22"/>
        </w:rPr>
        <w:t xml:space="preserve"> &gt; select </w:t>
      </w:r>
      <w:r>
        <w:rPr>
          <w:rFonts w:ascii="Calibri" w:cs="Calibri" w:eastAsia="Calibri" w:hAnsi="Calibri"/>
          <w:b/>
          <w:bCs/>
          <w:sz w:val="22"/>
          <w:szCs w:val="22"/>
        </w:rPr>
        <w:t xml:space="preserve">Intake Agent</w:t>
      </w:r>
      <w:r>
        <w:rPr>
          <w:rFonts w:ascii="Calibri" w:cs="Calibri" w:eastAsia="Calibri" w:hAnsi="Calibri"/>
          <w:sz w:val="22"/>
          <w:szCs w:val="22"/>
        </w:rPr>
        <w:t xml:space="preserve"> (it must be in the same environment). Confirm the description shown is the routing description you wrote — this is what the orchestrator uses to decide when to call it.</w:t>
      </w:r>
    </w:p>
    <w:p>
      <w:pPr>
        <w:pStyle w:val="ListParagraph"/>
        <w:numPr>
          <w:ilvl w:val="0"/>
          <w:numId w:val="2"/>
        </w:numPr>
        <w:spacing w:after="100"/>
      </w:pPr>
      <w:r>
        <w:rPr>
          <w:rFonts w:ascii="Calibri" w:cs="Calibri" w:eastAsia="Calibri" w:hAnsi="Calibri"/>
          <w:b/>
          <w:bCs/>
          <w:sz w:val="22"/>
          <w:szCs w:val="22"/>
        </w:rPr>
        <w:t xml:space="preserve">Orchestrated test: </w:t>
      </w:r>
      <w:r>
        <w:rPr>
          <w:rFonts w:ascii="Calibri" w:cs="Calibri" w:eastAsia="Calibri" w:hAnsi="Calibri"/>
          <w:sz w:val="22"/>
          <w:szCs w:val="22"/>
        </w:rPr>
        <w:t xml:space="preserve">in the Deal Desk's Test pane, re-run “New invitation to quote received. Please run full triage.” with the RFP text pasted.</w:t>
      </w:r>
    </w:p>
    <w:p>
      <w:pPr>
        <w:pStyle w:val="Heading2"/>
        <w:spacing w:after="120" w:before="240"/>
      </w:pPr>
      <w:r>
        <w:rPr>
          <w:rFonts w:ascii="Calibri" w:cs="Calibri" w:eastAsia="Calibri" w:hAnsi="Calibri"/>
        </w:rPr>
        <w:t xml:space="preserve">Expected result</w:t>
      </w:r>
    </w:p>
    <w:p>
      <w:pPr>
        <w:spacing w:after="120"/>
      </w:pPr>
      <w:r>
        <w:rPr>
          <w:rFonts w:ascii="Calibri" w:cs="Calibri" w:eastAsia="Calibri" w:hAnsi="Calibri"/>
          <w:sz w:val="22"/>
          <w:szCs w:val="22"/>
        </w:rPr>
        <w:t xml:space="preserve">Standalone: a table with Scheme = Albion Manufacturing Pension Scheme, premium GBP 500m, ~3,100 members, 55/45 pensioner-deferred by count, 60/40 by value, LPI 0/5, Crownfield as ceding insurer, deadline 24 July 2026 — and “Open questions” noting the data gaps mentioned in the email.</w:t>
      </w:r>
    </w:p>
    <w:p>
      <w:pPr>
        <w:spacing w:after="120"/>
      </w:pPr>
      <w:r>
        <w:rPr>
          <w:rFonts w:ascii="Calibri" w:cs="Calibri" w:eastAsia="Calibri" w:hAnsi="Calibri"/>
          <w:sz w:val="22"/>
          <w:szCs w:val="22"/>
        </w:rPr>
        <w:t xml:space="preserve">Orchestrated: the Deal Desk's activity map shows it </w:t>
      </w:r>
      <w:r>
        <w:rPr>
          <w:rFonts w:ascii="Calibri" w:cs="Calibri" w:eastAsia="Calibri" w:hAnsi="Calibri"/>
          <w:b/>
          <w:bCs/>
          <w:sz w:val="22"/>
          <w:szCs w:val="22"/>
        </w:rPr>
        <w:t xml:space="preserve">delegating to the Intake Agent</w:t>
      </w:r>
      <w:r>
        <w:rPr>
          <w:rFonts w:ascii="Calibri" w:cs="Calibri" w:eastAsia="Calibri" w:hAnsi="Calibri"/>
          <w:sz w:val="22"/>
          <w:szCs w:val="22"/>
        </w:rPr>
        <w:t xml:space="preserve"> and the memo's Deal Summary section is now populated from the child's structured record. Data Quality, Precedents, and Compliance sections remain unavailable — correct at this stage.</w:t>
      </w:r>
    </w:p>
    <w:p>
      <w:pPr>
        <w:spacing w:after="120"/>
      </w:pPr>
      <w:r>
        <w:rPr>
          <w:rFonts w:ascii="Calibri" w:cs="Calibri" w:eastAsia="Calibri" w:hAnsi="Calibri"/>
          <w:b/>
          <w:bCs/>
          <w:sz w:val="22"/>
          <w:szCs w:val="22"/>
        </w:rPr>
        <w:t xml:space="preserve">Checkpoint ✅  </w:t>
      </w:r>
      <w:r>
        <w:rPr>
          <w:rFonts w:ascii="Calibri" w:cs="Calibri" w:eastAsia="Calibri" w:hAnsi="Calibri"/>
          <w:sz w:val="22"/>
          <w:szCs w:val="22"/>
        </w:rPr>
        <w:t xml:space="preserve">Every attendee's Deal Desk delegates to a working Intake Agent before moving on.</w:t>
      </w:r>
    </w:p>
    <w:p>
      <w:pPr>
        <w:spacing w:after="120"/>
      </w:pPr>
      <w:r>
        <w:rPr>
          <w:rFonts w:ascii="Calibri" w:cs="Calibri" w:eastAsia="Calibri" w:hAnsi="Calibri"/>
          <w:b/>
          <w:bCs/>
          <w:sz w:val="22"/>
          <w:szCs w:val="22"/>
        </w:rPr>
        <w:t xml:space="preserve">Discussion point: </w:t>
      </w:r>
      <w:r>
        <w:rPr>
          <w:rFonts w:ascii="Calibri" w:cs="Calibri" w:eastAsia="Calibri" w:hAnsi="Calibri"/>
          <w:sz w:val="22"/>
          <w:szCs w:val="22"/>
        </w:rPr>
        <w:t xml:space="preserve">The difference between “NOT STATED” and hallucinated detail — ask attendees to remove the “do not invent facts” line, re-test, and observe the change. Also: temporarily blank out the Intake Agent's description and watch the Deal Desk stop routing to it — descriptions are prompts.</w:t>
      </w:r>
    </w:p>
    <w:p>
      <w:pPr>
        <w:pStyle w:val="Heading1"/>
        <w:spacing w:after="160" w:before="320"/>
      </w:pPr>
      <w:r>
        <w:rPr>
          <w:rFonts w:ascii="Calibri" w:cs="Calibri" w:eastAsia="Calibri" w:hAnsi="Calibri"/>
        </w:rPr>
        <w:t xml:space="preserve">Lab 3 — Child Agent: Data Quality (45 min)</w:t>
      </w:r>
    </w:p>
    <w:p>
      <w:pPr>
        <w:spacing w:after="120"/>
      </w:pPr>
      <w:r>
        <w:rPr>
          <w:rFonts w:ascii="Calibri" w:cs="Calibri" w:eastAsia="Calibri" w:hAnsi="Calibri"/>
          <w:b/>
          <w:bCs/>
          <w:sz w:val="22"/>
          <w:szCs w:val="22"/>
        </w:rPr>
        <w:t xml:space="preserve">Goal: </w:t>
      </w:r>
      <w:r>
        <w:rPr>
          <w:rFonts w:ascii="Calibri" w:cs="Calibri" w:eastAsia="Calibri" w:hAnsi="Calibri"/>
          <w:sz w:val="22"/>
          <w:szCs w:val="22"/>
        </w:rPr>
        <w:t xml:space="preserve">a specialist that inspects the member data file and produces a completeness score — then becomes the Deal Desk's second child agent.</w:t>
      </w:r>
    </w:p>
    <w:p>
      <w:pPr>
        <w:spacing w:after="120"/>
      </w:pPr>
      <w:r>
        <w:rPr>
          <w:rFonts w:ascii="Calibri" w:cs="Calibri" w:eastAsia="Calibri" w:hAnsi="Calibri"/>
          <w:sz w:val="22"/>
          <w:szCs w:val="22"/>
        </w:rPr>
        <w:t xml:space="preserve">The simplest reliable classroom pattern is </w:t>
      </w:r>
      <w:r>
        <w:rPr>
          <w:rFonts w:ascii="Calibri" w:cs="Calibri" w:eastAsia="Calibri" w:hAnsi="Calibri"/>
          <w:b/>
          <w:bCs/>
          <w:sz w:val="22"/>
          <w:szCs w:val="22"/>
        </w:rPr>
        <w:t xml:space="preserve">file as knowledge + analytical instructions</w:t>
      </w:r>
      <w:r>
        <w:rPr>
          <w:rFonts w:ascii="Calibri" w:cs="Calibri" w:eastAsia="Calibri" w:hAnsi="Calibri"/>
          <w:sz w:val="22"/>
          <w:szCs w:val="22"/>
        </w:rPr>
        <w:t xml:space="preserve">. (An advanced variant with an agent flow is at the end of this lab.)</w:t>
      </w:r>
    </w:p>
    <w:p>
      <w:pPr>
        <w:pStyle w:val="Heading2"/>
        <w:spacing w:after="120" w:before="240"/>
      </w:pPr>
      <w:r>
        <w:rPr>
          <w:rFonts w:ascii="Calibri" w:cs="Calibri" w:eastAsia="Calibri" w:hAnsi="Calibri"/>
        </w:rPr>
        <w:t xml:space="preserve">Steps</w:t>
      </w:r>
    </w:p>
    <w:p>
      <w:pPr>
        <w:pStyle w:val="ListParagraph"/>
        <w:numPr>
          <w:ilvl w:val="0"/>
          <w:numId w:val="2"/>
        </w:numPr>
        <w:spacing w:after="100"/>
      </w:pPr>
      <w:r>
        <w:rPr>
          <w:rFonts w:ascii="Calibri" w:cs="Calibri" w:eastAsia="Calibri" w:hAnsi="Calibri"/>
          <w:sz w:val="22"/>
          <w:szCs w:val="22"/>
        </w:rPr>
        <w:t xml:space="preserve">Create a new agent with the following configuration.</w:t>
      </w:r>
    </w:p>
    <w:p>
      <w:pPr>
        <w:spacing w:after="120"/>
      </w:pPr>
      <w:r>
        <w:rPr>
          <w:rFonts w:ascii="Calibri" w:cs="Calibri" w:eastAsia="Calibri" w:hAnsi="Calibri"/>
          <w:b/>
          <w:bCs/>
          <w:sz w:val="22"/>
          <w:szCs w:val="22"/>
        </w:rPr>
        <w:t xml:space="preserve">Name: </w:t>
      </w:r>
      <w:r>
        <w:rPr>
          <w:rFonts w:ascii="Calibri" w:cs="Calibri" w:eastAsia="Calibri" w:hAnsi="Calibri"/>
          <w:sz w:val="22"/>
          <w:szCs w:val="22"/>
        </w:rPr>
        <w:t xml:space="preserve">Data Quality Agent</w:t>
      </w:r>
    </w:p>
    <w:p>
      <w:pPr>
        <w:spacing w:after="120"/>
      </w:pPr>
      <w:r>
        <w:rPr>
          <w:rFonts w:ascii="Calibri" w:cs="Calibri" w:eastAsia="Calibri" w:hAnsi="Calibri"/>
          <w:b/>
          <w:bCs/>
          <w:sz w:val="22"/>
          <w:szCs w:val="22"/>
        </w:rPr>
        <w:t xml:space="preserve">Description:</w:t>
      </w:r>
    </w:p>
    <w:p>
      <w:pPr>
        <w:shd w:fill="F2F2F2" w:val="clear"/>
        <w:spacing w:after="0"/>
        <w:ind w:left="240" w:right="240"/>
      </w:pPr>
      <w:r>
        <w:rPr>
          <w:rFonts w:ascii="Consolas" w:cs="Consolas" w:eastAsia="Consolas" w:hAnsi="Consolas"/>
          <w:sz w:val="18"/>
          <w:szCs w:val="18"/>
        </w:rPr>
        <w:t xml:space="preserve">Reviews pension scheme member data extracts and reports data quality:</w:t>
      </w:r>
    </w:p>
    <w:p>
      <w:pPr>
        <w:shd w:fill="F2F2F2" w:val="clear"/>
        <w:spacing w:after="0"/>
        <w:ind w:left="240" w:right="240"/>
      </w:pPr>
      <w:r>
        <w:rPr>
          <w:rFonts w:ascii="Consolas" w:cs="Consolas" w:eastAsia="Consolas" w:hAnsi="Consolas"/>
          <w:sz w:val="18"/>
          <w:szCs w:val="18"/>
        </w:rPr>
        <w:t xml:space="preserve">missing dates of birth, missing postcodes, married members missing spouse</w:t>
      </w:r>
    </w:p>
    <w:p>
      <w:pPr>
        <w:shd w:fill="F2F2F2" w:val="clear"/>
        <w:spacing w:after="0"/>
        <w:ind w:left="240" w:right="240"/>
      </w:pPr>
      <w:r>
        <w:rPr>
          <w:rFonts w:ascii="Consolas" w:cs="Consolas" w:eastAsia="Consolas" w:hAnsi="Consolas"/>
          <w:sz w:val="18"/>
          <w:szCs w:val="18"/>
        </w:rPr>
        <w:t xml:space="preserve">dates of birth, implausible ages, negative pension amounts, and duplicate</w:t>
      </w:r>
    </w:p>
    <w:p>
      <w:pPr>
        <w:shd w:fill="F2F2F2" w:val="clear"/>
        <w:spacing w:after="0"/>
        <w:ind w:left="240" w:right="240"/>
      </w:pPr>
      <w:r>
        <w:rPr>
          <w:rFonts w:ascii="Consolas" w:cs="Consolas" w:eastAsia="Consolas" w:hAnsi="Consolas"/>
          <w:sz w:val="18"/>
          <w:szCs w:val="18"/>
        </w:rPr>
        <w:t xml:space="preserve">member IDs. Returns a completeness score out of 100 and a remediation</w:t>
      </w:r>
    </w:p>
    <w:p>
      <w:pPr>
        <w:shd w:fill="F2F2F2" w:val="clear"/>
        <w:spacing w:after="160"/>
        <w:ind w:left="240" w:right="240"/>
      </w:pPr>
      <w:r>
        <w:rPr>
          <w:rFonts w:ascii="Consolas" w:cs="Consolas" w:eastAsia="Consolas" w:hAnsi="Consolas"/>
          <w:sz w:val="18"/>
          <w:szCs w:val="18"/>
        </w:rPr>
        <w:t xml:space="preserve">list. Use when member data quality must be assessed.</w:t>
      </w:r>
    </w:p>
    <w:p>
      <w:pPr>
        <w:spacing w:after="120"/>
      </w:pPr>
      <w:r>
        <w:rPr>
          <w:rFonts w:ascii="Calibri" w:cs="Calibri" w:eastAsia="Calibri" w:hAnsi="Calibri"/>
          <w:b/>
          <w:bCs/>
          <w:sz w:val="22"/>
          <w:szCs w:val="22"/>
        </w:rPr>
        <w:t xml:space="preserve">Instructions:</w:t>
      </w:r>
    </w:p>
    <w:p>
      <w:pPr>
        <w:shd w:fill="F2F2F2" w:val="clear"/>
        <w:spacing w:after="0"/>
        <w:ind w:left="240" w:right="240"/>
      </w:pPr>
      <w:r>
        <w:rPr>
          <w:rFonts w:ascii="Consolas" w:cs="Consolas" w:eastAsia="Consolas" w:hAnsi="Consolas"/>
          <w:sz w:val="18"/>
          <w:szCs w:val="18"/>
        </w:rPr>
        <w:t xml:space="preserve">You are the Data Quality Agent. Using the member data provided in your</w:t>
      </w:r>
    </w:p>
    <w:p>
      <w:pPr>
        <w:shd w:fill="F2F2F2" w:val="clear"/>
        <w:spacing w:after="0"/>
        <w:ind w:left="240" w:right="240"/>
      </w:pPr>
      <w:r>
        <w:rPr>
          <w:rFonts w:ascii="Consolas" w:cs="Consolas" w:eastAsia="Consolas" w:hAnsi="Consolas"/>
          <w:sz w:val="18"/>
          <w:szCs w:val="18"/>
        </w:rPr>
        <w:t xml:space="preserve">knowledge, check for and report:</w:t>
      </w:r>
    </w:p>
    <w:p>
      <w:pPr>
        <w:shd w:fill="F2F2F2" w:val="clear"/>
        <w:spacing w:after="0"/>
        <w:ind w:left="240" w:right="240"/>
      </w:pPr>
      <w:r>
        <w:rPr>
          <w:rFonts w:ascii="Consolas" w:cs="Consolas" w:eastAsia="Consolas" w:hAnsi="Consolas"/>
          <w:sz w:val="18"/>
          <w:szCs w:val="18"/>
        </w:rPr>
        <w:t xml:space="preserve">1. Members with missing DateOfBirth</w:t>
      </w:r>
    </w:p>
    <w:p>
      <w:pPr>
        <w:shd w:fill="F2F2F2" w:val="clear"/>
        <w:spacing w:after="0"/>
        <w:ind w:left="240" w:right="240"/>
      </w:pPr>
      <w:r>
        <w:rPr>
          <w:rFonts w:ascii="Consolas" w:cs="Consolas" w:eastAsia="Consolas" w:hAnsi="Consolas"/>
          <w:sz w:val="18"/>
          <w:szCs w:val="18"/>
        </w:rPr>
        <w:t xml:space="preserve">2. Members with missing Postcode</w:t>
      </w:r>
    </w:p>
    <w:p>
      <w:pPr>
        <w:shd w:fill="F2F2F2" w:val="clear"/>
        <w:spacing w:after="0"/>
        <w:ind w:left="240" w:right="240"/>
      </w:pPr>
      <w:r>
        <w:rPr>
          <w:rFonts w:ascii="Consolas" w:cs="Consolas" w:eastAsia="Consolas" w:hAnsi="Consolas"/>
          <w:sz w:val="18"/>
          <w:szCs w:val="18"/>
        </w:rPr>
        <w:t xml:space="preserve">3. Members with MaritalStatus = Married but missing SpouseDateOfBirth</w:t>
      </w:r>
    </w:p>
    <w:p>
      <w:pPr>
        <w:shd w:fill="F2F2F2" w:val="clear"/>
        <w:spacing w:after="0"/>
        <w:ind w:left="240" w:right="240"/>
      </w:pPr>
      <w:r>
        <w:rPr>
          <w:rFonts w:ascii="Consolas" w:cs="Consolas" w:eastAsia="Consolas" w:hAnsi="Consolas"/>
          <w:sz w:val="18"/>
          <w:szCs w:val="18"/>
        </w:rPr>
        <w:t xml:space="preserve">4. Implausible dates of birth (age over 110)</w:t>
      </w:r>
    </w:p>
    <w:p>
      <w:pPr>
        <w:shd w:fill="F2F2F2" w:val="clear"/>
        <w:spacing w:after="0"/>
        <w:ind w:left="240" w:right="240"/>
      </w:pPr>
      <w:r>
        <w:rPr>
          <w:rFonts w:ascii="Consolas" w:cs="Consolas" w:eastAsia="Consolas" w:hAnsi="Consolas"/>
          <w:sz w:val="18"/>
          <w:szCs w:val="18"/>
        </w:rPr>
        <w:t xml:space="preserve">5. Negative AnnualPension_GBP values</w:t>
      </w:r>
    </w:p>
    <w:p>
      <w:pPr>
        <w:shd w:fill="F2F2F2" w:val="clear"/>
        <w:spacing w:after="0"/>
        <w:ind w:left="240" w:right="240"/>
      </w:pPr>
      <w:r>
        <w:rPr>
          <w:rFonts w:ascii="Consolas" w:cs="Consolas" w:eastAsia="Consolas" w:hAnsi="Consolas"/>
          <w:sz w:val="18"/>
          <w:szCs w:val="18"/>
        </w:rPr>
        <w:t xml:space="preserve">6. Duplicate MemberID values</w:t>
      </w:r>
    </w:p>
    <w:p>
      <w:pPr>
        <w:shd w:fill="F2F2F2" w:val="clear"/>
        <w:spacing w:after="0"/>
        <w:ind w:left="240" w:right="240"/>
      </w:pPr>
      <w:r>
        <w:rPr>
          <w:rFonts w:ascii="Consolas" w:cs="Consolas" w:eastAsia="Consolas" w:hAnsi="Consolas"/>
          <w:sz w:val="18"/>
          <w:szCs w:val="18"/>
        </w:rPr>
        <w:t xml:space="preserve">Report the count for each issue and up to 10 example MemberIDs per issue.</w:t>
      </w:r>
    </w:p>
    <w:p>
      <w:pPr>
        <w:shd w:fill="F2F2F2" w:val="clear"/>
        <w:spacing w:after="0"/>
        <w:ind w:left="240" w:right="240"/>
      </w:pPr>
      <w:r>
        <w:rPr>
          <w:rFonts w:ascii="Consolas" w:cs="Consolas" w:eastAsia="Consolas" w:hAnsi="Consolas"/>
          <w:sz w:val="18"/>
          <w:szCs w:val="18"/>
        </w:rPr>
        <w:t xml:space="preserve">Then compute a data quality score out of 100: start at 100 and subtract</w:t>
      </w:r>
    </w:p>
    <w:p>
      <w:pPr>
        <w:shd w:fill="F2F2F2" w:val="clear"/>
        <w:spacing w:after="0"/>
        <w:ind w:left="240" w:right="240"/>
      </w:pPr>
      <w:r>
        <w:rPr>
          <w:rFonts w:ascii="Consolas" w:cs="Consolas" w:eastAsia="Consolas" w:hAnsi="Consolas"/>
          <w:sz w:val="18"/>
          <w:szCs w:val="18"/>
        </w:rPr>
        <w:t xml:space="preserve">0.5 points per affected record. State the score, and state whether the</w:t>
      </w:r>
    </w:p>
    <w:p>
      <w:pPr>
        <w:shd w:fill="F2F2F2" w:val="clear"/>
        <w:spacing w:after="0"/>
        <w:ind w:left="240" w:right="240"/>
      </w:pPr>
      <w:r>
        <w:rPr>
          <w:rFonts w:ascii="Consolas" w:cs="Consolas" w:eastAsia="Consolas" w:hAnsi="Consolas"/>
          <w:sz w:val="18"/>
          <w:szCs w:val="18"/>
        </w:rPr>
        <w:t xml:space="preserve">score is above or below the 70/100 escalation threshold from Pricing</w:t>
      </w:r>
    </w:p>
    <w:p>
      <w:pPr>
        <w:shd w:fill="F2F2F2" w:val="clear"/>
        <w:spacing w:after="160"/>
        <w:ind w:left="240" w:right="240"/>
      </w:pPr>
      <w:r>
        <w:rPr>
          <w:rFonts w:ascii="Consolas" w:cs="Consolas" w:eastAsia="Consolas" w:hAnsi="Consolas"/>
          <w:sz w:val="18"/>
          <w:szCs w:val="18"/>
        </w:rPr>
        <w:t xml:space="preserve">Committee guidance. End with a short remediation list in priority order.</w:t>
      </w:r>
    </w:p>
    <w:p>
      <w:pPr>
        <w:pStyle w:val="ListParagraph"/>
        <w:numPr>
          <w:ilvl w:val="0"/>
          <w:numId w:val="2"/>
        </w:numPr>
        <w:spacing w:after="100"/>
      </w:pPr>
      <w:r>
        <w:rPr>
          <w:rFonts w:ascii="Calibri" w:cs="Calibri" w:eastAsia="Calibri" w:hAnsi="Calibri"/>
          <w:sz w:val="22"/>
          <w:szCs w:val="22"/>
        </w:rPr>
        <w:t xml:space="preserve">Add the data: </w:t>
      </w:r>
      <w:r>
        <w:rPr>
          <w:rFonts w:ascii="Calibri" w:cs="Calibri" w:eastAsia="Calibri" w:hAnsi="Calibri"/>
          <w:b/>
          <w:bCs/>
          <w:sz w:val="22"/>
          <w:szCs w:val="22"/>
        </w:rPr>
        <w:t xml:space="preserve">Knowledge &gt; Add knowledge</w:t>
      </w:r>
      <w:r>
        <w:rPr>
          <w:rFonts w:ascii="Calibri" w:cs="Calibri" w:eastAsia="Calibri" w:hAnsi="Calibri"/>
          <w:sz w:val="22"/>
          <w:szCs w:val="22"/>
        </w:rPr>
        <w:t xml:space="preserve"> &gt; upload 02_Albion_Member_Data.xlsx (or point to the SharePoint /Data/ folder if SharePoint knowledge is enabled in the tenant). Note: putting it in knowledge is your best bet since it is an xlsx.</w:t>
      </w:r>
    </w:p>
    <w:p>
      <w:pPr>
        <w:pStyle w:val="ListParagraph"/>
        <w:numPr>
          <w:ilvl w:val="0"/>
          <w:numId w:val="2"/>
        </w:numPr>
        <w:spacing w:after="100"/>
      </w:pPr>
      <w:r>
        <w:rPr>
          <w:rFonts w:ascii="Calibri" w:cs="Calibri" w:eastAsia="Calibri" w:hAnsi="Calibri"/>
          <w:b/>
          <w:bCs/>
          <w:sz w:val="22"/>
          <w:szCs w:val="22"/>
        </w:rPr>
        <w:t xml:space="preserve">Standalone test</w:t>
      </w:r>
      <w:r>
        <w:rPr>
          <w:rFonts w:ascii="Calibri" w:cs="Calibri" w:eastAsia="Calibri" w:hAnsi="Calibri"/>
          <w:sz w:val="22"/>
          <w:szCs w:val="22"/>
        </w:rPr>
        <w:t xml:space="preserve"> with: Assess the data quality of the Albion member data extract.</w:t>
      </w:r>
    </w:p>
    <w:p>
      <w:pPr>
        <w:pStyle w:val="ListParagraph"/>
        <w:numPr>
          <w:ilvl w:val="0"/>
          <w:numId w:val="2"/>
        </w:numPr>
        <w:spacing w:after="100"/>
      </w:pPr>
      <w:r>
        <w:rPr>
          <w:rFonts w:ascii="Calibri" w:cs="Calibri" w:eastAsia="Calibri" w:hAnsi="Calibri"/>
          <w:b/>
          <w:bCs/>
          <w:sz w:val="22"/>
          <w:szCs w:val="22"/>
        </w:rPr>
        <w:t xml:space="preserve">Publish</w:t>
      </w:r>
      <w:r>
        <w:rPr>
          <w:rFonts w:ascii="Calibri" w:cs="Calibri" w:eastAsia="Calibri" w:hAnsi="Calibri"/>
          <w:sz w:val="22"/>
          <w:szCs w:val="22"/>
        </w:rPr>
        <w:t xml:space="preserve"> the agent, then </w:t>
      </w:r>
      <w:r>
        <w:rPr>
          <w:rFonts w:ascii="Calibri" w:cs="Calibri" w:eastAsia="Calibri" w:hAnsi="Calibri"/>
          <w:b/>
          <w:bCs/>
          <w:sz w:val="22"/>
          <w:szCs w:val="22"/>
        </w:rPr>
        <w:t xml:space="preserve">connect it</w:t>
      </w:r>
      <w:r>
        <w:rPr>
          <w:rFonts w:ascii="Calibri" w:cs="Calibri" w:eastAsia="Calibri" w:hAnsi="Calibri"/>
          <w:sz w:val="22"/>
          <w:szCs w:val="22"/>
        </w:rPr>
        <w:t xml:space="preserve"> on the Deal Desk: </w:t>
      </w:r>
      <w:r>
        <w:rPr>
          <w:rFonts w:ascii="Calibri" w:cs="Calibri" w:eastAsia="Calibri" w:hAnsi="Calibri"/>
          <w:b/>
          <w:bCs/>
          <w:sz w:val="22"/>
          <w:szCs w:val="22"/>
        </w:rPr>
        <w:t xml:space="preserve">Agents &gt; Add &gt; Add an agent</w:t>
      </w:r>
      <w:r>
        <w:rPr>
          <w:rFonts w:ascii="Calibri" w:cs="Calibri" w:eastAsia="Calibri" w:hAnsi="Calibri"/>
          <w:sz w:val="22"/>
          <w:szCs w:val="22"/>
        </w:rPr>
        <w:t xml:space="preserve"> &gt; select Data Quality Agent; confirm its description.</w:t>
      </w:r>
    </w:p>
    <w:p>
      <w:pPr>
        <w:pStyle w:val="ListParagraph"/>
        <w:numPr>
          <w:ilvl w:val="0"/>
          <w:numId w:val="2"/>
        </w:numPr>
        <w:spacing w:after="100"/>
      </w:pPr>
      <w:r>
        <w:rPr>
          <w:rFonts w:ascii="Calibri" w:cs="Calibri" w:eastAsia="Calibri" w:hAnsi="Calibri"/>
          <w:b/>
          <w:bCs/>
          <w:sz w:val="22"/>
          <w:szCs w:val="22"/>
        </w:rPr>
        <w:t xml:space="preserve">Orchestrated test: </w:t>
      </w:r>
      <w:r>
        <w:rPr>
          <w:rFonts w:ascii="Calibri" w:cs="Calibri" w:eastAsia="Calibri" w:hAnsi="Calibri"/>
          <w:sz w:val="22"/>
          <w:szCs w:val="22"/>
        </w:rPr>
        <w:t xml:space="preserve">re-run the full triage prompt on the Deal Desk with the RFP text.</w:t>
      </w:r>
    </w:p>
    <w:p>
      <w:pPr>
        <w:pStyle w:val="Heading2"/>
        <w:spacing w:after="120" w:before="240"/>
      </w:pPr>
      <w:r>
        <w:rPr>
          <w:rFonts w:ascii="Calibri" w:cs="Calibri" w:eastAsia="Calibri" w:hAnsi="Calibri"/>
        </w:rPr>
        <w:t xml:space="preserve">Expected result (answer key)</w:t>
      </w:r>
    </w:p>
    <w:p>
      <w:pPr>
        <w:spacing w:after="120"/>
      </w:pPr>
      <w:r>
        <w:rPr>
          <w:rFonts w:ascii="Calibri" w:cs="Calibri" w:eastAsia="Calibri" w:hAnsi="Calibri"/>
          <w:sz w:val="22"/>
          <w:szCs w:val="22"/>
        </w:rPr>
        <w:t xml:space="preserve">The file contains </w:t>
      </w:r>
      <w:r>
        <w:rPr>
          <w:rFonts w:ascii="Calibri" w:cs="Calibri" w:eastAsia="Calibri" w:hAnsi="Calibri"/>
          <w:b/>
          <w:bCs/>
          <w:sz w:val="22"/>
          <w:szCs w:val="22"/>
        </w:rPr>
        <w:t xml:space="preserve">162 rows</w:t>
      </w:r>
      <w:r>
        <w:rPr>
          <w:rFonts w:ascii="Calibri" w:cs="Calibri" w:eastAsia="Calibri" w:hAnsi="Calibri"/>
          <w:sz w:val="22"/>
          <w:szCs w:val="22"/>
        </w:rPr>
        <w:t xml:space="preserve"> and these seeded issues — attendees' agents should find most of them (generative retrieval over a spreadsheet may not be perfectly exhaustive; that itself is a teaching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900"/>
        <w:gridCol w:w="5360"/>
      </w:tblGrid>
      <w:tr>
        <w:trPr>
          <w:tblHeader/>
        </w:trPr>
        <w:tc>
          <w:tcPr>
            <w:tcW w:type="dxa" w:w="310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Issue</w:t>
            </w:r>
          </w:p>
        </w:tc>
        <w:tc>
          <w:tcPr>
            <w:tcW w:type="dxa" w:w="90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Count</w:t>
            </w:r>
          </w:p>
        </w:tc>
        <w:tc>
          <w:tcPr>
            <w:tcW w:type="dxa" w:w="536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Example MemberIDs</w:t>
            </w:r>
          </w:p>
        </w:tc>
      </w:tr>
      <w:tr>
        <w:trPr>
          <w:tblHeader w:val="false"/>
        </w:trPr>
        <w:tc>
          <w:tcPr>
            <w:tcW w:type="dxa" w:w="3100"/>
            <w:tcMar>
              <w:top w:type="dxa" w:w="60"/>
              <w:left w:type="dxa" w:w="100"/>
              <w:bottom w:type="dxa" w:w="60"/>
              <w:right w:type="dxa" w:w="100"/>
            </w:tcMar>
          </w:tcPr>
          <w:p>
            <w:pPr>
              <w:spacing w:after="0"/>
            </w:pPr>
            <w:r>
              <w:rPr>
                <w:rFonts w:ascii="Calibri" w:cs="Calibri" w:eastAsia="Calibri" w:hAnsi="Calibri"/>
                <w:sz w:val="22"/>
                <w:szCs w:val="22"/>
              </w:rPr>
              <w:t xml:space="preserve">Missing DateOfBirth</w:t>
            </w:r>
          </w:p>
        </w:tc>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9</w:t>
            </w:r>
          </w:p>
        </w:tc>
        <w:tc>
          <w:tcPr>
            <w:tcW w:type="dxa" w:w="5360"/>
            <w:tcMar>
              <w:top w:type="dxa" w:w="60"/>
              <w:left w:type="dxa" w:w="100"/>
              <w:bottom w:type="dxa" w:w="60"/>
              <w:right w:type="dxa" w:w="100"/>
            </w:tcMar>
          </w:tcPr>
          <w:p>
            <w:pPr>
              <w:spacing w:after="0"/>
            </w:pPr>
            <w:r>
              <w:rPr>
                <w:rFonts w:ascii="Calibri" w:cs="Calibri" w:eastAsia="Calibri" w:hAnsi="Calibri"/>
                <w:sz w:val="22"/>
                <w:szCs w:val="22"/>
              </w:rPr>
              <w:t xml:space="preserve">ALB-00021, ALB-00035, ALB-00090, ALB-00096, ALB-00097, ALB-00098, ALB-00108, ALB-00115, ALB-00139</w:t>
            </w:r>
          </w:p>
        </w:tc>
      </w:tr>
      <w:tr>
        <w:trPr>
          <w:tblHeader w:val="false"/>
        </w:trPr>
        <w:tc>
          <w:tcPr>
            <w:tcW w:type="dxa" w:w="3100"/>
            <w:tcMar>
              <w:top w:type="dxa" w:w="60"/>
              <w:left w:type="dxa" w:w="100"/>
              <w:bottom w:type="dxa" w:w="60"/>
              <w:right w:type="dxa" w:w="100"/>
            </w:tcMar>
          </w:tcPr>
          <w:p>
            <w:pPr>
              <w:spacing w:after="0"/>
            </w:pPr>
            <w:r>
              <w:rPr>
                <w:rFonts w:ascii="Calibri" w:cs="Calibri" w:eastAsia="Calibri" w:hAnsi="Calibri"/>
                <w:sz w:val="22"/>
                <w:szCs w:val="22"/>
              </w:rPr>
              <w:t xml:space="preserve">Missing Postcode</w:t>
            </w:r>
          </w:p>
        </w:tc>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14</w:t>
            </w:r>
          </w:p>
        </w:tc>
        <w:tc>
          <w:tcPr>
            <w:tcW w:type="dxa" w:w="5360"/>
            <w:tcMar>
              <w:top w:type="dxa" w:w="60"/>
              <w:left w:type="dxa" w:w="100"/>
              <w:bottom w:type="dxa" w:w="60"/>
              <w:right w:type="dxa" w:w="100"/>
            </w:tcMar>
          </w:tcPr>
          <w:p>
            <w:pPr>
              <w:spacing w:after="0"/>
            </w:pPr>
            <w:r>
              <w:rPr>
                <w:rFonts w:ascii="Calibri" w:cs="Calibri" w:eastAsia="Calibri" w:hAnsi="Calibri"/>
                <w:sz w:val="22"/>
                <w:szCs w:val="22"/>
              </w:rPr>
              <w:t xml:space="preserve">ALB-00001, ALB-00006, ALB-00032, ALB-00034, ALB-00048, ALB-00060, ALB-00079, ALB-00107, ALB-00117, ALB-00127, ALB-00145, ALB-00146, ALB-00147, ALB-00149</w:t>
            </w:r>
          </w:p>
        </w:tc>
      </w:tr>
      <w:tr>
        <w:trPr>
          <w:tblHeader w:val="false"/>
        </w:trPr>
        <w:tc>
          <w:tcPr>
            <w:tcW w:type="dxa" w:w="3100"/>
            <w:tcMar>
              <w:top w:type="dxa" w:w="60"/>
              <w:left w:type="dxa" w:w="100"/>
              <w:bottom w:type="dxa" w:w="60"/>
              <w:right w:type="dxa" w:w="100"/>
            </w:tcMar>
          </w:tcPr>
          <w:p>
            <w:pPr>
              <w:spacing w:after="0"/>
            </w:pPr>
            <w:r>
              <w:rPr>
                <w:rFonts w:ascii="Calibri" w:cs="Calibri" w:eastAsia="Calibri" w:hAnsi="Calibri"/>
                <w:sz w:val="22"/>
                <w:szCs w:val="22"/>
              </w:rPr>
              <w:t xml:space="preserve">Married, missing SpouseDateOfBirth</w:t>
            </w:r>
          </w:p>
        </w:tc>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11</w:t>
            </w:r>
          </w:p>
        </w:tc>
        <w:tc>
          <w:tcPr>
            <w:tcW w:type="dxa" w:w="5360"/>
            <w:tcMar>
              <w:top w:type="dxa" w:w="60"/>
              <w:left w:type="dxa" w:w="100"/>
              <w:bottom w:type="dxa" w:w="60"/>
              <w:right w:type="dxa" w:w="100"/>
            </w:tcMar>
          </w:tcPr>
          <w:p>
            <w:pPr>
              <w:spacing w:after="0"/>
            </w:pPr>
            <w:r>
              <w:rPr>
                <w:rFonts w:ascii="Calibri" w:cs="Calibri" w:eastAsia="Calibri" w:hAnsi="Calibri"/>
                <w:sz w:val="22"/>
                <w:szCs w:val="22"/>
              </w:rPr>
              <w:t xml:space="preserve">ALB-00011, ALB-00033, ALB-00046, ALB-00056, ALB-00067, ALB-00072, ALB-00080, ALB-00102, ALB-00113, ALB-00125, ALB-00136</w:t>
            </w:r>
          </w:p>
        </w:tc>
      </w:tr>
      <w:tr>
        <w:trPr>
          <w:tblHeader w:val="false"/>
        </w:trPr>
        <w:tc>
          <w:tcPr>
            <w:tcW w:type="dxa" w:w="3100"/>
            <w:tcMar>
              <w:top w:type="dxa" w:w="60"/>
              <w:left w:type="dxa" w:w="100"/>
              <w:bottom w:type="dxa" w:w="60"/>
              <w:right w:type="dxa" w:w="100"/>
            </w:tcMar>
          </w:tcPr>
          <w:p>
            <w:pPr>
              <w:spacing w:after="0"/>
            </w:pPr>
            <w:r>
              <w:rPr>
                <w:rFonts w:ascii="Calibri" w:cs="Calibri" w:eastAsia="Calibri" w:hAnsi="Calibri"/>
                <w:sz w:val="22"/>
                <w:szCs w:val="22"/>
              </w:rPr>
              <w:t xml:space="preserve">Implausible DOB (age &gt; 120)</w:t>
            </w:r>
          </w:p>
        </w:tc>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3</w:t>
            </w:r>
          </w:p>
        </w:tc>
        <w:tc>
          <w:tcPr>
            <w:tcW w:type="dxa" w:w="5360"/>
            <w:tcMar>
              <w:top w:type="dxa" w:w="60"/>
              <w:left w:type="dxa" w:w="100"/>
              <w:bottom w:type="dxa" w:w="60"/>
              <w:right w:type="dxa" w:w="100"/>
            </w:tcMar>
          </w:tcPr>
          <w:p>
            <w:pPr>
              <w:spacing w:after="0"/>
            </w:pPr>
            <w:r>
              <w:rPr>
                <w:rFonts w:ascii="Calibri" w:cs="Calibri" w:eastAsia="Calibri" w:hAnsi="Calibri"/>
                <w:sz w:val="22"/>
                <w:szCs w:val="22"/>
              </w:rPr>
              <w:t xml:space="preserve">ALB-00099, ALB-00126, ALB-00154</w:t>
            </w:r>
          </w:p>
        </w:tc>
      </w:tr>
      <w:tr>
        <w:trPr>
          <w:tblHeader w:val="false"/>
        </w:trPr>
        <w:tc>
          <w:tcPr>
            <w:tcW w:type="dxa" w:w="3100"/>
            <w:tcMar>
              <w:top w:type="dxa" w:w="60"/>
              <w:left w:type="dxa" w:w="100"/>
              <w:bottom w:type="dxa" w:w="60"/>
              <w:right w:type="dxa" w:w="100"/>
            </w:tcMar>
          </w:tcPr>
          <w:p>
            <w:pPr>
              <w:spacing w:after="0"/>
            </w:pPr>
            <w:r>
              <w:rPr>
                <w:rFonts w:ascii="Calibri" w:cs="Calibri" w:eastAsia="Calibri" w:hAnsi="Calibri"/>
                <w:sz w:val="22"/>
                <w:szCs w:val="22"/>
              </w:rPr>
              <w:t xml:space="preserve">Negative AnnualPension_GBP</w:t>
            </w:r>
          </w:p>
        </w:tc>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2</w:t>
            </w:r>
          </w:p>
        </w:tc>
        <w:tc>
          <w:tcPr>
            <w:tcW w:type="dxa" w:w="5360"/>
            <w:tcMar>
              <w:top w:type="dxa" w:w="60"/>
              <w:left w:type="dxa" w:w="100"/>
              <w:bottom w:type="dxa" w:w="60"/>
              <w:right w:type="dxa" w:w="100"/>
            </w:tcMar>
          </w:tcPr>
          <w:p>
            <w:pPr>
              <w:spacing w:after="0"/>
            </w:pPr>
            <w:r>
              <w:rPr>
                <w:rFonts w:ascii="Calibri" w:cs="Calibri" w:eastAsia="Calibri" w:hAnsi="Calibri"/>
                <w:sz w:val="22"/>
                <w:szCs w:val="22"/>
              </w:rPr>
              <w:t xml:space="preserve">ALB-00007, ALB-00071</w:t>
            </w:r>
          </w:p>
        </w:tc>
      </w:tr>
      <w:tr>
        <w:trPr>
          <w:tblHeader w:val="false"/>
        </w:trPr>
        <w:tc>
          <w:tcPr>
            <w:tcW w:type="dxa" w:w="3100"/>
            <w:tcMar>
              <w:top w:type="dxa" w:w="60"/>
              <w:left w:type="dxa" w:w="100"/>
              <w:bottom w:type="dxa" w:w="60"/>
              <w:right w:type="dxa" w:w="100"/>
            </w:tcMar>
          </w:tcPr>
          <w:p>
            <w:pPr>
              <w:spacing w:after="0"/>
            </w:pPr>
            <w:r>
              <w:rPr>
                <w:rFonts w:ascii="Calibri" w:cs="Calibri" w:eastAsia="Calibri" w:hAnsi="Calibri"/>
                <w:sz w:val="22"/>
                <w:szCs w:val="22"/>
              </w:rPr>
              <w:t xml:space="preserve">Duplicate MemberID</w:t>
            </w:r>
          </w:p>
        </w:tc>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2</w:t>
            </w:r>
          </w:p>
        </w:tc>
        <w:tc>
          <w:tcPr>
            <w:tcW w:type="dxa" w:w="5360"/>
            <w:tcMar>
              <w:top w:type="dxa" w:w="60"/>
              <w:left w:type="dxa" w:w="100"/>
              <w:bottom w:type="dxa" w:w="60"/>
              <w:right w:type="dxa" w:w="100"/>
            </w:tcMar>
          </w:tcPr>
          <w:p>
            <w:pPr>
              <w:spacing w:after="0"/>
            </w:pPr>
            <w:r>
              <w:rPr>
                <w:rFonts w:ascii="Calibri" w:cs="Calibri" w:eastAsia="Calibri" w:hAnsi="Calibri"/>
                <w:sz w:val="22"/>
                <w:szCs w:val="22"/>
              </w:rPr>
              <w:t xml:space="preserve">ALB-00100, ALB-00114</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Total affected records: 41 → </w:t>
      </w:r>
      <w:r>
        <w:rPr>
          <w:rFonts w:ascii="Calibri" w:cs="Calibri" w:eastAsia="Calibri" w:hAnsi="Calibri"/>
          <w:b/>
          <w:bCs/>
          <w:sz w:val="22"/>
          <w:szCs w:val="22"/>
        </w:rPr>
        <w:t xml:space="preserve">score ≈ 79.5/100</w:t>
      </w:r>
      <w:r>
        <w:rPr>
          <w:rFonts w:ascii="Calibri" w:cs="Calibri" w:eastAsia="Calibri" w:hAnsi="Calibri"/>
          <w:sz w:val="22"/>
          <w:szCs w:val="22"/>
        </w:rPr>
        <w:t xml:space="preserve"> → </w:t>
      </w:r>
      <w:r>
        <w:rPr>
          <w:rFonts w:ascii="Calibri" w:cs="Calibri" w:eastAsia="Calibri" w:hAnsi="Calibri"/>
          <w:b/>
          <w:bCs/>
          <w:sz w:val="22"/>
          <w:szCs w:val="22"/>
        </w:rPr>
        <w:t xml:space="preserve">above</w:t>
      </w:r>
      <w:r>
        <w:rPr>
          <w:rFonts w:ascii="Calibri" w:cs="Calibri" w:eastAsia="Calibri" w:hAnsi="Calibri"/>
          <w:sz w:val="22"/>
          <w:szCs w:val="22"/>
        </w:rPr>
        <w:t xml:space="preserve"> the 70 escalation threshold (proceed, with remediation).</w:t>
      </w:r>
    </w:p>
    <w:p>
      <w:pPr>
        <w:spacing w:after="120"/>
      </w:pPr>
      <w:r>
        <w:rPr>
          <w:rFonts w:ascii="Calibri" w:cs="Calibri" w:eastAsia="Calibri" w:hAnsi="Calibri"/>
          <w:sz w:val="22"/>
          <w:szCs w:val="22"/>
        </w:rPr>
        <w:t xml:space="preserve">Orchestrated: the activity map now shows the Deal Desk calling </w:t>
      </w:r>
      <w:r>
        <w:rPr>
          <w:rFonts w:ascii="Calibri" w:cs="Calibri" w:eastAsia="Calibri" w:hAnsi="Calibri"/>
          <w:b/>
          <w:bCs/>
          <w:sz w:val="22"/>
          <w:szCs w:val="22"/>
        </w:rPr>
        <w:t xml:space="preserve">both</w:t>
      </w:r>
      <w:r>
        <w:rPr>
          <w:rFonts w:ascii="Calibri" w:cs="Calibri" w:eastAsia="Calibri" w:hAnsi="Calibri"/>
          <w:sz w:val="22"/>
          <w:szCs w:val="22"/>
        </w:rPr>
        <w:t xml:space="preserve"> the Intake Agent and the Data Quality Agent, and the memo's Data Quality section carries the score and top issues.</w:t>
      </w:r>
    </w:p>
    <w:p>
      <w:pPr>
        <w:spacing w:after="120"/>
      </w:pPr>
      <w:r>
        <w:rPr>
          <w:rFonts w:ascii="Calibri" w:cs="Calibri" w:eastAsia="Calibri" w:hAnsi="Calibri"/>
          <w:b/>
          <w:bCs/>
          <w:sz w:val="22"/>
          <w:szCs w:val="22"/>
        </w:rPr>
        <w:t xml:space="preserve">Checkpoint ✅  </w:t>
      </w:r>
      <w:r>
        <w:rPr>
          <w:rFonts w:ascii="Calibri" w:cs="Calibri" w:eastAsia="Calibri" w:hAnsi="Calibri"/>
          <w:sz w:val="22"/>
          <w:szCs w:val="22"/>
        </w:rPr>
        <w:t xml:space="preserve">Agent reports issues and a score, and the Deal Desk memo now includes them.</w:t>
      </w:r>
    </w:p>
    <w:p>
      <w:pPr>
        <w:spacing w:after="120"/>
      </w:pPr>
      <w:r>
        <w:rPr>
          <w:rFonts w:ascii="Calibri" w:cs="Calibri" w:eastAsia="Calibri" w:hAnsi="Calibri"/>
          <w:b/>
          <w:bCs/>
          <w:sz w:val="22"/>
          <w:szCs w:val="22"/>
        </w:rPr>
        <w:t xml:space="preserve">Advanced variant (optional, +20 min): </w:t>
      </w:r>
      <w:r>
        <w:rPr>
          <w:rFonts w:ascii="Calibri" w:cs="Calibri" w:eastAsia="Calibri" w:hAnsi="Calibri"/>
          <w:sz w:val="22"/>
          <w:szCs w:val="22"/>
        </w:rPr>
        <w:t xml:space="preserve">Replace knowledge retrieval with a deterministic agent flow: Tools &gt; Add a tool &gt; New agent flow; use the Excel Online (Business) connector's “List rows present in a table” against the MemberData table in SharePoint, then a Compose/expression step to count blanks, returning JSON to the agent. This demonstrates the generative-vs-deterministic trade-off: flows give exact counts every time; knowledge retrieval is faster to build but approximate. For an actuarial audience this contrast lands very well.</w:t>
      </w:r>
    </w:p>
    <w:p>
      <w:pPr>
        <w:pStyle w:val="Heading1"/>
        <w:spacing w:after="160" w:before="320"/>
      </w:pPr>
      <w:r>
        <w:rPr>
          <w:rFonts w:ascii="Calibri" w:cs="Calibri" w:eastAsia="Calibri" w:hAnsi="Calibri"/>
        </w:rPr>
        <w:t xml:space="preserve">Lab 4 — Child Agent: Precedent (30 min)</w:t>
      </w:r>
    </w:p>
    <w:p>
      <w:pPr>
        <w:spacing w:after="120"/>
      </w:pPr>
      <w:r>
        <w:rPr>
          <w:rFonts w:ascii="Calibri" w:cs="Calibri" w:eastAsia="Calibri" w:hAnsi="Calibri"/>
          <w:b/>
          <w:bCs/>
          <w:sz w:val="22"/>
          <w:szCs w:val="22"/>
        </w:rPr>
        <w:t xml:space="preserve">Goal: </w:t>
      </w:r>
      <w:r>
        <w:rPr>
          <w:rFonts w:ascii="Calibri" w:cs="Calibri" w:eastAsia="Calibri" w:hAnsi="Calibri"/>
          <w:sz w:val="22"/>
          <w:szCs w:val="22"/>
        </w:rPr>
        <w:t xml:space="preserve">a specialist grounded in past deal summaries that answers “have we seen this before?” — then becomes the Deal Desk's third child agent.</w:t>
      </w:r>
    </w:p>
    <w:p>
      <w:pPr>
        <w:pStyle w:val="Heading2"/>
        <w:spacing w:after="120" w:before="240"/>
      </w:pPr>
      <w:r>
        <w:rPr>
          <w:rFonts w:ascii="Calibri" w:cs="Calibri" w:eastAsia="Calibri" w:hAnsi="Calibri"/>
        </w:rPr>
        <w:t xml:space="preserve">Steps</w:t>
      </w:r>
    </w:p>
    <w:p>
      <w:pPr>
        <w:pStyle w:val="ListParagraph"/>
        <w:numPr>
          <w:ilvl w:val="0"/>
          <w:numId w:val="2"/>
        </w:numPr>
        <w:spacing w:after="100"/>
      </w:pPr>
      <w:r>
        <w:rPr>
          <w:rFonts w:ascii="Calibri" w:cs="Calibri" w:eastAsia="Calibri" w:hAnsi="Calibri"/>
          <w:sz w:val="22"/>
          <w:szCs w:val="22"/>
        </w:rPr>
        <w:t xml:space="preserve">Create a new agent with the following configuration.</w:t>
      </w:r>
    </w:p>
    <w:p>
      <w:pPr>
        <w:spacing w:after="120"/>
      </w:pPr>
      <w:r>
        <w:rPr>
          <w:rFonts w:ascii="Calibri" w:cs="Calibri" w:eastAsia="Calibri" w:hAnsi="Calibri"/>
          <w:b/>
          <w:bCs/>
          <w:sz w:val="22"/>
          <w:szCs w:val="22"/>
        </w:rPr>
        <w:t xml:space="preserve">Name: </w:t>
      </w:r>
      <w:r>
        <w:rPr>
          <w:rFonts w:ascii="Calibri" w:cs="Calibri" w:eastAsia="Calibri" w:hAnsi="Calibri"/>
          <w:sz w:val="22"/>
          <w:szCs w:val="22"/>
        </w:rPr>
        <w:t xml:space="preserve">Precedent Agent</w:t>
      </w:r>
    </w:p>
    <w:p>
      <w:pPr>
        <w:spacing w:after="120"/>
      </w:pPr>
      <w:r>
        <w:rPr>
          <w:rFonts w:ascii="Calibri" w:cs="Calibri" w:eastAsia="Calibri" w:hAnsi="Calibri"/>
          <w:b/>
          <w:bCs/>
          <w:sz w:val="22"/>
          <w:szCs w:val="22"/>
        </w:rPr>
        <w:t xml:space="preserve">Description:</w:t>
      </w:r>
    </w:p>
    <w:p>
      <w:pPr>
        <w:shd w:fill="F2F2F2" w:val="clear"/>
        <w:spacing w:after="0"/>
        <w:ind w:left="240" w:right="240"/>
      </w:pPr>
      <w:r>
        <w:rPr>
          <w:rFonts w:ascii="Consolas" w:cs="Consolas" w:eastAsia="Consolas" w:hAnsi="Consolas"/>
          <w:sz w:val="18"/>
          <w:szCs w:val="18"/>
        </w:rPr>
        <w:t xml:space="preserve">Searches internal precedent deal summaries and Pricing Committee guidance</w:t>
      </w:r>
    </w:p>
    <w:p>
      <w:pPr>
        <w:shd w:fill="F2F2F2" w:val="clear"/>
        <w:spacing w:after="0"/>
        <w:ind w:left="240" w:right="240"/>
      </w:pPr>
      <w:r>
        <w:rPr>
          <w:rFonts w:ascii="Consolas" w:cs="Consolas" w:eastAsia="Consolas" w:hAnsi="Consolas"/>
          <w:sz w:val="18"/>
          <w:szCs w:val="18"/>
        </w:rPr>
        <w:t xml:space="preserve">to find comparable past transactions, prior experience with</w:t>
      </w:r>
    </w:p>
    <w:p>
      <w:pPr>
        <w:shd w:fill="F2F2F2" w:val="clear"/>
        <w:spacing w:after="0"/>
        <w:ind w:left="240" w:right="240"/>
      </w:pPr>
      <w:r>
        <w:rPr>
          <w:rFonts w:ascii="Consolas" w:cs="Consolas" w:eastAsia="Consolas" w:hAnsi="Consolas"/>
          <w:sz w:val="18"/>
          <w:szCs w:val="18"/>
        </w:rPr>
        <w:t xml:space="preserve">counterparties, and applicable triage rules and thresholds. Use when</w:t>
      </w:r>
    </w:p>
    <w:p>
      <w:pPr>
        <w:shd w:fill="F2F2F2" w:val="clear"/>
        <w:spacing w:after="0"/>
        <w:ind w:left="240" w:right="240"/>
      </w:pPr>
      <w:r>
        <w:rPr>
          <w:rFonts w:ascii="Consolas" w:cs="Consolas" w:eastAsia="Consolas" w:hAnsi="Consolas"/>
          <w:sz w:val="18"/>
          <w:szCs w:val="18"/>
        </w:rPr>
        <w:t xml:space="preserve">asked about similar past deals, lessons learned, counterparty history,</w:t>
      </w:r>
    </w:p>
    <w:p>
      <w:pPr>
        <w:shd w:fill="F2F2F2" w:val="clear"/>
        <w:spacing w:after="160"/>
        <w:ind w:left="240" w:right="240"/>
      </w:pPr>
      <w:r>
        <w:rPr>
          <w:rFonts w:ascii="Consolas" w:cs="Consolas" w:eastAsia="Consolas" w:hAnsi="Consolas"/>
          <w:sz w:val="18"/>
          <w:szCs w:val="18"/>
        </w:rPr>
        <w:t xml:space="preserve">or internal guidance.</w:t>
      </w:r>
    </w:p>
    <w:p>
      <w:pPr>
        <w:spacing w:after="120"/>
      </w:pPr>
      <w:r>
        <w:rPr>
          <w:rFonts w:ascii="Calibri" w:cs="Calibri" w:eastAsia="Calibri" w:hAnsi="Calibri"/>
          <w:b/>
          <w:bCs/>
          <w:sz w:val="22"/>
          <w:szCs w:val="22"/>
        </w:rPr>
        <w:t xml:space="preserve">Instructions:</w:t>
      </w:r>
    </w:p>
    <w:p>
      <w:pPr>
        <w:shd w:fill="F2F2F2" w:val="clear"/>
        <w:spacing w:after="0"/>
        <w:ind w:left="240" w:right="240"/>
      </w:pPr>
      <w:r>
        <w:rPr>
          <w:rFonts w:ascii="Consolas" w:cs="Consolas" w:eastAsia="Consolas" w:hAnsi="Consolas"/>
          <w:sz w:val="18"/>
          <w:szCs w:val="18"/>
        </w:rPr>
        <w:t xml:space="preserve">You are the Precedent Agent. Answer only from your knowledge sources</w:t>
      </w:r>
    </w:p>
    <w:p>
      <w:pPr>
        <w:shd w:fill="F2F2F2" w:val="clear"/>
        <w:spacing w:after="0"/>
        <w:ind w:left="240" w:right="240"/>
      </w:pPr>
      <w:r>
        <w:rPr>
          <w:rFonts w:ascii="Consolas" w:cs="Consolas" w:eastAsia="Consolas" w:hAnsi="Consolas"/>
          <w:sz w:val="18"/>
          <w:szCs w:val="18"/>
        </w:rPr>
        <w:t xml:space="preserve">(deal summaries and Pricing Committee guidance). When asked about a</w:t>
      </w:r>
    </w:p>
    <w:p>
      <w:pPr>
        <w:shd w:fill="F2F2F2" w:val="clear"/>
        <w:spacing w:after="0"/>
        <w:ind w:left="240" w:right="240"/>
      </w:pPr>
      <w:r>
        <w:rPr>
          <w:rFonts w:ascii="Consolas" w:cs="Consolas" w:eastAsia="Consolas" w:hAnsi="Consolas"/>
          <w:sz w:val="18"/>
          <w:szCs w:val="18"/>
        </w:rPr>
        <w:t xml:space="preserve">prospective deal, identify: (1) the most comparable past transactions</w:t>
      </w:r>
    </w:p>
    <w:p>
      <w:pPr>
        <w:shd w:fill="F2F2F2" w:val="clear"/>
        <w:spacing w:after="0"/>
        <w:ind w:left="240" w:right="240"/>
      </w:pPr>
      <w:r>
        <w:rPr>
          <w:rFonts w:ascii="Consolas" w:cs="Consolas" w:eastAsia="Consolas" w:hAnsi="Consolas"/>
          <w:sz w:val="18"/>
          <w:szCs w:val="18"/>
        </w:rPr>
        <w:t xml:space="preserve">and why; (2) any prior experience with the named counterparties;</w:t>
      </w:r>
    </w:p>
    <w:p>
      <w:pPr>
        <w:shd w:fill="F2F2F2" w:val="clear"/>
        <w:spacing w:after="0"/>
        <w:ind w:left="240" w:right="240"/>
      </w:pPr>
      <w:r>
        <w:rPr>
          <w:rFonts w:ascii="Consolas" w:cs="Consolas" w:eastAsia="Consolas" w:hAnsi="Consolas"/>
          <w:sz w:val="18"/>
          <w:szCs w:val="18"/>
        </w:rPr>
        <w:t xml:space="preserve">(3) applicable Pricing Committee thresholds or rules; (4) lessons</w:t>
      </w:r>
    </w:p>
    <w:p>
      <w:pPr>
        <w:shd w:fill="F2F2F2" w:val="clear"/>
        <w:spacing w:after="0"/>
        <w:ind w:left="240" w:right="240"/>
      </w:pPr>
      <w:r>
        <w:rPr>
          <w:rFonts w:ascii="Consolas" w:cs="Consolas" w:eastAsia="Consolas" w:hAnsi="Consolas"/>
          <w:sz w:val="18"/>
          <w:szCs w:val="18"/>
        </w:rPr>
        <w:t xml:space="preserve">learned that should carry over. Cite which document each point comes</w:t>
      </w:r>
    </w:p>
    <w:p>
      <w:pPr>
        <w:shd w:fill="F2F2F2" w:val="clear"/>
        <w:spacing w:after="160"/>
        <w:ind w:left="240" w:right="240"/>
      </w:pPr>
      <w:r>
        <w:rPr>
          <w:rFonts w:ascii="Consolas" w:cs="Consolas" w:eastAsia="Consolas" w:hAnsi="Consolas"/>
          <w:sz w:val="18"/>
          <w:szCs w:val="18"/>
        </w:rPr>
        <w:t xml:space="preserve">from. If the knowledge sources do not cover something, say so plainly.</w:t>
      </w:r>
    </w:p>
    <w:p>
      <w:pPr>
        <w:pStyle w:val="ListParagraph"/>
        <w:numPr>
          <w:ilvl w:val="0"/>
          <w:numId w:val="2"/>
        </w:numPr>
        <w:spacing w:after="100"/>
      </w:pPr>
      <w:r>
        <w:rPr>
          <w:rFonts w:ascii="Calibri" w:cs="Calibri" w:eastAsia="Calibri" w:hAnsi="Calibri"/>
          <w:b/>
          <w:bCs/>
          <w:sz w:val="22"/>
          <w:szCs w:val="22"/>
        </w:rPr>
        <w:t xml:space="preserve">Knowledge</w:t>
      </w:r>
      <w:r>
        <w:rPr>
          <w:rFonts w:ascii="Calibri" w:cs="Calibri" w:eastAsia="Calibri" w:hAnsi="Calibri"/>
          <w:sz w:val="22"/>
          <w:szCs w:val="22"/>
        </w:rPr>
        <w:t xml:space="preserve"> &gt; add the four files from precedent_deals/ (upload directly, or point at the SharePoint /Precedents/ folder). Choose SharePoint powered by WorkIQ.</w:t>
      </w:r>
    </w:p>
    <w:p>
      <w:pPr>
        <w:pStyle w:val="ListParagraph"/>
        <w:numPr>
          <w:ilvl w:val="0"/>
          <w:numId w:val="2"/>
        </w:numPr>
        <w:spacing w:after="100"/>
      </w:pPr>
      <w:r>
        <w:rPr>
          <w:rFonts w:ascii="Calibri" w:cs="Calibri" w:eastAsia="Calibri" w:hAnsi="Calibri"/>
          <w:sz w:val="22"/>
          <w:szCs w:val="22"/>
        </w:rPr>
        <w:t xml:space="preserve">In </w:t>
      </w:r>
      <w:r>
        <w:rPr>
          <w:rFonts w:ascii="Calibri" w:cs="Calibri" w:eastAsia="Calibri" w:hAnsi="Calibri"/>
          <w:b/>
          <w:bCs/>
          <w:sz w:val="22"/>
          <w:szCs w:val="22"/>
        </w:rPr>
        <w:t xml:space="preserve">Settings</w:t>
      </w:r>
      <w:r>
        <w:rPr>
          <w:rFonts w:ascii="Calibri" w:cs="Calibri" w:eastAsia="Calibri" w:hAnsi="Calibri"/>
          <w:sz w:val="22"/>
          <w:szCs w:val="22"/>
        </w:rPr>
        <w:t xml:space="preserve">, consider disabling general knowledge / web fallback for this agent so answers come only from the documents (“Use general knowledge” off, if available in the tenant) — a nice governance talking point.</w:t>
      </w:r>
    </w:p>
    <w:p>
      <w:pPr>
        <w:pStyle w:val="ListParagraph"/>
        <w:numPr>
          <w:ilvl w:val="0"/>
          <w:numId w:val="2"/>
        </w:numPr>
        <w:spacing w:after="100"/>
      </w:pPr>
      <w:r>
        <w:rPr>
          <w:rFonts w:ascii="Calibri" w:cs="Calibri" w:eastAsia="Calibri" w:hAnsi="Calibri"/>
          <w:b/>
          <w:bCs/>
          <w:sz w:val="22"/>
          <w:szCs w:val="22"/>
        </w:rPr>
        <w:t xml:space="preserve">Standalone test</w:t>
      </w:r>
      <w:r>
        <w:rPr>
          <w:rFonts w:ascii="Calibri" w:cs="Calibri" w:eastAsia="Calibri" w:hAnsi="Calibri"/>
          <w:sz w:val="22"/>
          <w:szCs w:val="22"/>
        </w:rPr>
        <w:t xml:space="preserve"> with: We have been invited to quote on a GBP 500m pensioner buy-in for a UK manufacturing scheme, ceding insurer Crownfield, adviser Sterling Rowe. What precedents and rules apply?</w:t>
      </w:r>
    </w:p>
    <w:p>
      <w:pPr>
        <w:pStyle w:val="ListParagraph"/>
        <w:numPr>
          <w:ilvl w:val="0"/>
          <w:numId w:val="2"/>
        </w:numPr>
        <w:spacing w:after="100"/>
      </w:pPr>
      <w:r>
        <w:rPr>
          <w:rFonts w:ascii="Calibri" w:cs="Calibri" w:eastAsia="Calibri" w:hAnsi="Calibri"/>
          <w:b/>
          <w:bCs/>
          <w:sz w:val="22"/>
          <w:szCs w:val="22"/>
        </w:rPr>
        <w:t xml:space="preserve">Publish</w:t>
      </w:r>
      <w:r>
        <w:rPr>
          <w:rFonts w:ascii="Calibri" w:cs="Calibri" w:eastAsia="Calibri" w:hAnsi="Calibri"/>
          <w:sz w:val="22"/>
          <w:szCs w:val="22"/>
        </w:rPr>
        <w:t xml:space="preserve"> the agent, then </w:t>
      </w:r>
      <w:r>
        <w:rPr>
          <w:rFonts w:ascii="Calibri" w:cs="Calibri" w:eastAsia="Calibri" w:hAnsi="Calibri"/>
          <w:b/>
          <w:bCs/>
          <w:sz w:val="22"/>
          <w:szCs w:val="22"/>
        </w:rPr>
        <w:t xml:space="preserve">connect it</w:t>
      </w:r>
      <w:r>
        <w:rPr>
          <w:rFonts w:ascii="Calibri" w:cs="Calibri" w:eastAsia="Calibri" w:hAnsi="Calibri"/>
          <w:sz w:val="22"/>
          <w:szCs w:val="22"/>
        </w:rPr>
        <w:t xml:space="preserve"> on the Deal Desk via </w:t>
      </w:r>
      <w:r>
        <w:rPr>
          <w:rFonts w:ascii="Calibri" w:cs="Calibri" w:eastAsia="Calibri" w:hAnsi="Calibri"/>
          <w:b/>
          <w:bCs/>
          <w:sz w:val="22"/>
          <w:szCs w:val="22"/>
        </w:rPr>
        <w:t xml:space="preserve">Agents &gt; Add &gt; Add an agent</w:t>
      </w:r>
      <w:r>
        <w:rPr>
          <w:rFonts w:ascii="Calibri" w:cs="Calibri" w:eastAsia="Calibri" w:hAnsi="Calibri"/>
          <w:sz w:val="22"/>
          <w:szCs w:val="22"/>
        </w:rPr>
        <w:t xml:space="preserve">; confirm its description.</w:t>
      </w:r>
    </w:p>
    <w:p>
      <w:pPr>
        <w:pStyle w:val="ListParagraph"/>
        <w:numPr>
          <w:ilvl w:val="0"/>
          <w:numId w:val="2"/>
        </w:numPr>
        <w:spacing w:after="100"/>
      </w:pPr>
      <w:r>
        <w:rPr>
          <w:rFonts w:ascii="Calibri" w:cs="Calibri" w:eastAsia="Calibri" w:hAnsi="Calibri"/>
          <w:b/>
          <w:bCs/>
          <w:sz w:val="22"/>
          <w:szCs w:val="22"/>
        </w:rPr>
        <w:t xml:space="preserve">Orchestrated test: </w:t>
      </w:r>
      <w:r>
        <w:rPr>
          <w:rFonts w:ascii="Calibri" w:cs="Calibri" w:eastAsia="Calibri" w:hAnsi="Calibri"/>
          <w:sz w:val="22"/>
          <w:szCs w:val="22"/>
        </w:rPr>
        <w:t xml:space="preserve">re-run the full triage prompt on the Deal Desk.</w:t>
      </w:r>
    </w:p>
    <w:p>
      <w:pPr>
        <w:pStyle w:val="Heading2"/>
        <w:spacing w:after="120" w:before="240"/>
      </w:pPr>
      <w:r>
        <w:rPr>
          <w:rFonts w:ascii="Calibri" w:cs="Calibri" w:eastAsia="Calibri" w:hAnsi="Calibri"/>
        </w:rPr>
        <w:t xml:space="preserve">Expected result</w:t>
      </w:r>
    </w:p>
    <w:p>
      <w:pPr>
        <w:pStyle w:val="ListParagraph"/>
        <w:numPr>
          <w:ilvl w:val="0"/>
          <w:numId w:val="2"/>
        </w:numPr>
        <w:spacing w:after="100"/>
      </w:pPr>
      <w:r>
        <w:rPr>
          <w:rFonts w:ascii="Calibri" w:cs="Calibri" w:eastAsia="Calibri" w:hAnsi="Calibri"/>
          <w:b/>
          <w:bCs/>
          <w:sz w:val="22"/>
          <w:szCs w:val="22"/>
        </w:rPr>
        <w:t xml:space="preserve">Project Coral</w:t>
      </w:r>
      <w:r>
        <w:rPr>
          <w:rFonts w:ascii="Calibri" w:cs="Calibri" w:eastAsia="Calibri" w:hAnsi="Calibri"/>
          <w:sz w:val="22"/>
          <w:szCs w:val="22"/>
        </w:rPr>
        <w:t xml:space="preserve"> flagged as closest analogue (manufacturing, ~GBP 520m, similar benefit structure; sector mortality adjustment +2%; Sterling Rowe strict on deadlines).</w:t>
      </w:r>
    </w:p>
    <w:p>
      <w:pPr>
        <w:pStyle w:val="ListParagraph"/>
        <w:numPr>
          <w:ilvl w:val="0"/>
          <w:numId w:val="2"/>
        </w:numPr>
        <w:spacing w:after="100"/>
      </w:pPr>
      <w:r>
        <w:rPr>
          <w:rFonts w:ascii="Calibri" w:cs="Calibri" w:eastAsia="Calibri" w:hAnsi="Calibri"/>
          <w:b/>
          <w:bCs/>
          <w:sz w:val="22"/>
          <w:szCs w:val="22"/>
        </w:rPr>
        <w:t xml:space="preserve">Project Lighthouse</w:t>
      </w:r>
      <w:r>
        <w:rPr>
          <w:rFonts w:ascii="Calibri" w:cs="Calibri" w:eastAsia="Calibri" w:hAnsi="Calibri"/>
          <w:sz w:val="22"/>
          <w:szCs w:val="22"/>
        </w:rPr>
        <w:t xml:space="preserve"> flagged for Crownfield experience (slow legal team, broad data warranty, spouse-data true-up mechanism, GMP holdback).</w:t>
      </w:r>
    </w:p>
    <w:p>
      <w:pPr>
        <w:pStyle w:val="ListParagraph"/>
        <w:numPr>
          <w:ilvl w:val="0"/>
          <w:numId w:val="2"/>
        </w:numPr>
        <w:spacing w:after="100"/>
      </w:pPr>
      <w:r>
        <w:rPr>
          <w:rFonts w:ascii="Calibri" w:cs="Calibri" w:eastAsia="Calibri" w:hAnsi="Calibri"/>
          <w:b/>
          <w:bCs/>
          <w:sz w:val="22"/>
          <w:szCs w:val="22"/>
        </w:rPr>
        <w:t xml:space="preserve">Guidance Note</w:t>
      </w:r>
      <w:r>
        <w:rPr>
          <w:rFonts w:ascii="Calibri" w:cs="Calibri" w:eastAsia="Calibri" w:hAnsi="Calibri"/>
          <w:sz w:val="22"/>
          <w:szCs w:val="22"/>
        </w:rPr>
        <w:t xml:space="preserve"> rules: GBP 500m is below the 750m Board threshold; data score below 70 requires escalation; “review required” watchlist entries block quoting until cleared.</w:t>
      </w:r>
    </w:p>
    <w:p>
      <w:pPr>
        <w:pStyle w:val="ListParagraph"/>
        <w:numPr>
          <w:ilvl w:val="0"/>
          <w:numId w:val="2"/>
        </w:numPr>
        <w:spacing w:after="100"/>
      </w:pPr>
      <w:r>
        <w:rPr>
          <w:rFonts w:ascii="Calibri" w:cs="Calibri" w:eastAsia="Calibri" w:hAnsi="Calibri"/>
          <w:b/>
          <w:bCs/>
          <w:sz w:val="22"/>
          <w:szCs w:val="22"/>
        </w:rPr>
        <w:t xml:space="preserve">Project Anchor</w:t>
      </w:r>
      <w:r>
        <w:rPr>
          <w:rFonts w:ascii="Calibri" w:cs="Calibri" w:eastAsia="Calibri" w:hAnsi="Calibri"/>
          <w:sz w:val="22"/>
          <w:szCs w:val="22"/>
        </w:rPr>
        <w:t xml:space="preserve"> as the cautionary decline (deferred-heavy, exclusivity demand, data score 61).</w:t>
      </w:r>
    </w:p>
    <w:p>
      <w:pPr>
        <w:spacing w:after="120"/>
      </w:pPr>
      <w:r>
        <w:rPr>
          <w:rFonts w:ascii="Calibri" w:cs="Calibri" w:eastAsia="Calibri" w:hAnsi="Calibri"/>
          <w:sz w:val="22"/>
          <w:szCs w:val="22"/>
        </w:rPr>
        <w:t xml:space="preserve">Orchestrated: three specialists now appear in the activity map, and the memo gains its Precedents &amp; Lessons section, with citations.</w:t>
      </w:r>
    </w:p>
    <w:p>
      <w:pPr>
        <w:spacing w:after="120"/>
      </w:pPr>
      <w:r>
        <w:rPr>
          <w:rFonts w:ascii="Calibri" w:cs="Calibri" w:eastAsia="Calibri" w:hAnsi="Calibri"/>
          <w:b/>
          <w:bCs/>
          <w:sz w:val="22"/>
          <w:szCs w:val="22"/>
        </w:rPr>
        <w:t xml:space="preserve">Checkpoint ✅  </w:t>
      </w:r>
      <w:r>
        <w:rPr>
          <w:rFonts w:ascii="Calibri" w:cs="Calibri" w:eastAsia="Calibri" w:hAnsi="Calibri"/>
          <w:sz w:val="22"/>
          <w:szCs w:val="22"/>
        </w:rPr>
        <w:t xml:space="preserve">Answers cite the documents, and the Deal Desk memo includes the precedent findings.</w:t>
      </w:r>
    </w:p>
    <w:p>
      <w:pPr>
        <w:pStyle w:val="Heading1"/>
        <w:spacing w:after="160" w:before="320"/>
      </w:pPr>
      <w:r>
        <w:rPr>
          <w:rFonts w:ascii="Calibri" w:cs="Calibri" w:eastAsia="Calibri" w:hAnsi="Calibri"/>
        </w:rPr>
        <w:t xml:space="preserve">Lab 5 — Child Agent: Compliance, and the full triage (40 min)</w:t>
      </w:r>
    </w:p>
    <w:p>
      <w:pPr>
        <w:spacing w:after="120"/>
      </w:pPr>
      <w:r>
        <w:rPr>
          <w:rFonts w:ascii="Calibri" w:cs="Calibri" w:eastAsia="Calibri" w:hAnsi="Calibri"/>
          <w:b/>
          <w:bCs/>
          <w:sz w:val="22"/>
          <w:szCs w:val="22"/>
        </w:rPr>
        <w:t xml:space="preserve">Goal: </w:t>
      </w:r>
      <w:r>
        <w:rPr>
          <w:rFonts w:ascii="Calibri" w:cs="Calibri" w:eastAsia="Calibri" w:hAnsi="Calibri"/>
          <w:sz w:val="22"/>
          <w:szCs w:val="22"/>
        </w:rPr>
        <w:t xml:space="preserve">the final specialist screens the deal's counterparties against the internal watchlist — and once it is connected, the Deal Desk runs the complete four-agent triage. This is the payoff lab.</w:t>
      </w:r>
    </w:p>
    <w:p>
      <w:pPr>
        <w:pStyle w:val="Heading2"/>
        <w:spacing w:after="120" w:before="240"/>
      </w:pPr>
      <w:r>
        <w:rPr>
          <w:rFonts w:ascii="Calibri" w:cs="Calibri" w:eastAsia="Calibri" w:hAnsi="Calibri"/>
        </w:rPr>
        <w:t xml:space="preserve">Steps</w:t>
      </w:r>
    </w:p>
    <w:p>
      <w:pPr>
        <w:pStyle w:val="ListParagraph"/>
        <w:numPr>
          <w:ilvl w:val="0"/>
          <w:numId w:val="2"/>
        </w:numPr>
        <w:spacing w:after="100"/>
      </w:pPr>
      <w:r>
        <w:rPr>
          <w:rFonts w:ascii="Calibri" w:cs="Calibri" w:eastAsia="Calibri" w:hAnsi="Calibri"/>
          <w:sz w:val="22"/>
          <w:szCs w:val="22"/>
        </w:rPr>
        <w:t xml:space="preserve">Create a new agent with the following configuration.</w:t>
      </w:r>
    </w:p>
    <w:p>
      <w:pPr>
        <w:spacing w:after="120"/>
      </w:pPr>
      <w:r>
        <w:rPr>
          <w:rFonts w:ascii="Calibri" w:cs="Calibri" w:eastAsia="Calibri" w:hAnsi="Calibri"/>
          <w:b/>
          <w:bCs/>
          <w:sz w:val="22"/>
          <w:szCs w:val="22"/>
        </w:rPr>
        <w:t xml:space="preserve">Name: </w:t>
      </w:r>
      <w:r>
        <w:rPr>
          <w:rFonts w:ascii="Calibri" w:cs="Calibri" w:eastAsia="Calibri" w:hAnsi="Calibri"/>
          <w:sz w:val="22"/>
          <w:szCs w:val="22"/>
        </w:rPr>
        <w:t xml:space="preserve">Compliance Agent</w:t>
      </w:r>
    </w:p>
    <w:p>
      <w:pPr>
        <w:spacing w:after="120"/>
      </w:pPr>
      <w:r>
        <w:rPr>
          <w:rFonts w:ascii="Calibri" w:cs="Calibri" w:eastAsia="Calibri" w:hAnsi="Calibri"/>
          <w:b/>
          <w:bCs/>
          <w:sz w:val="22"/>
          <w:szCs w:val="22"/>
        </w:rPr>
        <w:t xml:space="preserve">Description:</w:t>
      </w:r>
    </w:p>
    <w:p>
      <w:pPr>
        <w:shd w:fill="F2F2F2" w:val="clear"/>
        <w:spacing w:after="0"/>
        <w:ind w:left="240" w:right="240"/>
      </w:pPr>
      <w:r>
        <w:rPr>
          <w:rFonts w:ascii="Consolas" w:cs="Consolas" w:eastAsia="Consolas" w:hAnsi="Consolas"/>
          <w:sz w:val="18"/>
          <w:szCs w:val="18"/>
        </w:rPr>
        <w:t xml:space="preserve">Screens deal counterparties (ceding insurer, trustee, sponsor, adviser)</w:t>
      </w:r>
    </w:p>
    <w:p>
      <w:pPr>
        <w:shd w:fill="F2F2F2" w:val="clear"/>
        <w:spacing w:after="0"/>
        <w:ind w:left="240" w:right="240"/>
      </w:pPr>
      <w:r>
        <w:rPr>
          <w:rFonts w:ascii="Consolas" w:cs="Consolas" w:eastAsia="Consolas" w:hAnsi="Consolas"/>
          <w:sz w:val="18"/>
          <w:szCs w:val="18"/>
        </w:rPr>
        <w:t xml:space="preserve">against the internal watchlist and reports whether each is Cleared, on</w:t>
      </w:r>
    </w:p>
    <w:p>
      <w:pPr>
        <w:shd w:fill="F2F2F2" w:val="clear"/>
        <w:spacing w:after="0"/>
        <w:ind w:left="240" w:right="240"/>
      </w:pPr>
      <w:r>
        <w:rPr>
          <w:rFonts w:ascii="Consolas" w:cs="Consolas" w:eastAsia="Consolas" w:hAnsi="Consolas"/>
          <w:sz w:val="18"/>
          <w:szCs w:val="18"/>
        </w:rPr>
        <w:t xml:space="preserve">the Internal caution list, or flagged as Sanctions screen - review</w:t>
      </w:r>
    </w:p>
    <w:p>
      <w:pPr>
        <w:shd w:fill="F2F2F2" w:val="clear"/>
        <w:spacing w:after="0"/>
        <w:ind w:left="240" w:right="240"/>
      </w:pPr>
      <w:r>
        <w:rPr>
          <w:rFonts w:ascii="Consolas" w:cs="Consolas" w:eastAsia="Consolas" w:hAnsi="Consolas"/>
          <w:sz w:val="18"/>
          <w:szCs w:val="18"/>
        </w:rPr>
        <w:t xml:space="preserve">required. Applies the rule that review-required entries block quoting</w:t>
      </w:r>
    </w:p>
    <w:p>
      <w:pPr>
        <w:shd w:fill="F2F2F2" w:val="clear"/>
        <w:spacing w:after="0"/>
        <w:ind w:left="240" w:right="240"/>
      </w:pPr>
      <w:r>
        <w:rPr>
          <w:rFonts w:ascii="Consolas" w:cs="Consolas" w:eastAsia="Consolas" w:hAnsi="Consolas"/>
          <w:sz w:val="18"/>
          <w:szCs w:val="18"/>
        </w:rPr>
        <w:t xml:space="preserve">until cleared by Compliance. Use when counterparty screening or a</w:t>
      </w:r>
    </w:p>
    <w:p>
      <w:pPr>
        <w:shd w:fill="F2F2F2" w:val="clear"/>
        <w:spacing w:after="160"/>
        <w:ind w:left="240" w:right="240"/>
      </w:pPr>
      <w:r>
        <w:rPr>
          <w:rFonts w:ascii="Consolas" w:cs="Consolas" w:eastAsia="Consolas" w:hAnsi="Consolas"/>
          <w:sz w:val="18"/>
          <w:szCs w:val="18"/>
        </w:rPr>
        <w:t xml:space="preserve">compliance check is needed.</w:t>
      </w:r>
    </w:p>
    <w:p>
      <w:pPr>
        <w:spacing w:after="120"/>
      </w:pPr>
      <w:r>
        <w:rPr>
          <w:rFonts w:ascii="Calibri" w:cs="Calibri" w:eastAsia="Calibri" w:hAnsi="Calibri"/>
          <w:b/>
          <w:bCs/>
          <w:sz w:val="22"/>
          <w:szCs w:val="22"/>
        </w:rPr>
        <w:t xml:space="preserve">Instructions:</w:t>
      </w:r>
    </w:p>
    <w:p>
      <w:pPr>
        <w:shd w:fill="F2F2F2" w:val="clear"/>
        <w:spacing w:after="0"/>
        <w:ind w:left="240" w:right="240"/>
      </w:pPr>
      <w:r>
        <w:rPr>
          <w:rFonts w:ascii="Consolas" w:cs="Consolas" w:eastAsia="Consolas" w:hAnsi="Consolas"/>
          <w:sz w:val="18"/>
          <w:szCs w:val="18"/>
        </w:rPr>
        <w:t xml:space="preserve">You are the Compliance Agent. Given a list of counterparties, check each</w:t>
      </w:r>
    </w:p>
    <w:p>
      <w:pPr>
        <w:shd w:fill="F2F2F2" w:val="clear"/>
        <w:spacing w:after="0"/>
        <w:ind w:left="240" w:right="240"/>
      </w:pPr>
      <w:r>
        <w:rPr>
          <w:rFonts w:ascii="Consolas" w:cs="Consolas" w:eastAsia="Consolas" w:hAnsi="Consolas"/>
          <w:sz w:val="18"/>
          <w:szCs w:val="18"/>
        </w:rPr>
        <w:t xml:space="preserve">against the internal watchlist in your knowledge. For each counterparty</w:t>
      </w:r>
    </w:p>
    <w:p>
      <w:pPr>
        <w:shd w:fill="F2F2F2" w:val="clear"/>
        <w:spacing w:after="0"/>
        <w:ind w:left="240" w:right="240"/>
      </w:pPr>
      <w:r>
        <w:rPr>
          <w:rFonts w:ascii="Consolas" w:cs="Consolas" w:eastAsia="Consolas" w:hAnsi="Consolas"/>
          <w:sz w:val="18"/>
          <w:szCs w:val="18"/>
        </w:rPr>
        <w:t xml:space="preserve">report: name, watchlist status (Cleared / Internal caution list /</w:t>
      </w:r>
    </w:p>
    <w:p>
      <w:pPr>
        <w:shd w:fill="F2F2F2" w:val="clear"/>
        <w:spacing w:after="0"/>
        <w:ind w:left="240" w:right="240"/>
      </w:pPr>
      <w:r>
        <w:rPr>
          <w:rFonts w:ascii="Consolas" w:cs="Consolas" w:eastAsia="Consolas" w:hAnsi="Consolas"/>
          <w:sz w:val="18"/>
          <w:szCs w:val="18"/>
        </w:rPr>
        <w:t xml:space="preserve">Sanctions screen - review required / Not on watchlist), and the notes.</w:t>
      </w:r>
    </w:p>
    <w:p>
      <w:pPr>
        <w:shd w:fill="F2F2F2" w:val="clear"/>
        <w:spacing w:after="0"/>
        <w:ind w:left="240" w:right="240"/>
      </w:pPr>
      <w:r>
        <w:rPr>
          <w:rFonts w:ascii="Consolas" w:cs="Consolas" w:eastAsia="Consolas" w:hAnsi="Consolas"/>
          <w:sz w:val="18"/>
          <w:szCs w:val="18"/>
        </w:rPr>
        <w:t xml:space="preserve">Apply these rules: "review required" entries BLOCK quoting until cleared</w:t>
      </w:r>
    </w:p>
    <w:p>
      <w:pPr>
        <w:shd w:fill="F2F2F2" w:val="clear"/>
        <w:spacing w:after="0"/>
        <w:ind w:left="240" w:right="240"/>
      </w:pPr>
      <w:r>
        <w:rPr>
          <w:rFonts w:ascii="Consolas" w:cs="Consolas" w:eastAsia="Consolas" w:hAnsi="Consolas"/>
          <w:sz w:val="18"/>
          <w:szCs w:val="18"/>
        </w:rPr>
        <w:t xml:space="preserve">by Compliance; "Internal caution list" entries require a documented</w:t>
      </w:r>
    </w:p>
    <w:p>
      <w:pPr>
        <w:shd w:fill="F2F2F2" w:val="clear"/>
        <w:spacing w:after="0"/>
        <w:ind w:left="240" w:right="240"/>
      </w:pPr>
      <w:r>
        <w:rPr>
          <w:rFonts w:ascii="Consolas" w:cs="Consolas" w:eastAsia="Consolas" w:hAnsi="Consolas"/>
          <w:sz w:val="18"/>
          <w:szCs w:val="18"/>
        </w:rPr>
        <w:t xml:space="preserve">mitigation note but do not block; "Cleared" and "Not on watchlist"</w:t>
      </w:r>
    </w:p>
    <w:p>
      <w:pPr>
        <w:shd w:fill="F2F2F2" w:val="clear"/>
        <w:spacing w:after="0"/>
        <w:ind w:left="240" w:right="240"/>
      </w:pPr>
      <w:r>
        <w:rPr>
          <w:rFonts w:ascii="Consolas" w:cs="Consolas" w:eastAsia="Consolas" w:hAnsi="Consolas"/>
          <w:sz w:val="18"/>
          <w:szCs w:val="18"/>
        </w:rPr>
        <w:t xml:space="preserve">entries may proceed. End with an overall recommendation:</w:t>
      </w:r>
    </w:p>
    <w:p>
      <w:pPr>
        <w:shd w:fill="F2F2F2" w:val="clear"/>
        <w:spacing w:after="0"/>
        <w:ind w:left="240" w:right="240"/>
      </w:pPr>
      <w:r>
        <w:rPr>
          <w:rFonts w:ascii="Consolas" w:cs="Consolas" w:eastAsia="Consolas" w:hAnsi="Consolas"/>
          <w:sz w:val="18"/>
          <w:szCs w:val="18"/>
        </w:rPr>
        <w:t xml:space="preserve">CLEAR TO QUOTE, QUOTE WITH MITIGATION NOTE, or BLOCKED PENDING REVIEW.</w:t>
      </w:r>
    </w:p>
    <w:p>
      <w:pPr>
        <w:shd w:fill="F2F2F2" w:val="clear"/>
        <w:spacing w:after="0"/>
        <w:ind w:left="240" w:right="240"/>
      </w:pPr>
      <w:r>
        <w:rPr>
          <w:rFonts w:ascii="Consolas" w:cs="Consolas" w:eastAsia="Consolas" w:hAnsi="Consolas"/>
          <w:sz w:val="18"/>
          <w:szCs w:val="18"/>
        </w:rPr>
        <w:t xml:space="preserve">You are a training assistant using fictional data; never present output</w:t>
      </w:r>
    </w:p>
    <w:p>
      <w:pPr>
        <w:shd w:fill="F2F2F2" w:val="clear"/>
        <w:spacing w:after="160"/>
        <w:ind w:left="240" w:right="240"/>
      </w:pPr>
      <w:r>
        <w:rPr>
          <w:rFonts w:ascii="Consolas" w:cs="Consolas" w:eastAsia="Consolas" w:hAnsi="Consolas"/>
          <w:sz w:val="18"/>
          <w:szCs w:val="18"/>
        </w:rPr>
        <w:t xml:space="preserve">as real compliance advice.</w:t>
      </w:r>
    </w:p>
    <w:p>
      <w:pPr>
        <w:pStyle w:val="ListParagraph"/>
        <w:numPr>
          <w:ilvl w:val="0"/>
          <w:numId w:val="2"/>
        </w:numPr>
        <w:spacing w:after="100"/>
      </w:pPr>
      <w:r>
        <w:rPr>
          <w:rFonts w:ascii="Calibri" w:cs="Calibri" w:eastAsia="Calibri" w:hAnsi="Calibri"/>
          <w:b/>
          <w:bCs/>
          <w:sz w:val="22"/>
          <w:szCs w:val="22"/>
        </w:rPr>
        <w:t xml:space="preserve">Knowledge</w:t>
      </w:r>
      <w:r>
        <w:rPr>
          <w:rFonts w:ascii="Calibri" w:cs="Calibri" w:eastAsia="Calibri" w:hAnsi="Calibri"/>
          <w:sz w:val="22"/>
          <w:szCs w:val="22"/>
        </w:rPr>
        <w:t xml:space="preserve"> &gt; upload 04_Internal_Watchlist.xlsx.</w:t>
      </w:r>
    </w:p>
    <w:p>
      <w:pPr>
        <w:pStyle w:val="ListParagraph"/>
        <w:numPr>
          <w:ilvl w:val="0"/>
          <w:numId w:val="2"/>
        </w:numPr>
        <w:spacing w:after="100"/>
      </w:pPr>
      <w:r>
        <w:rPr>
          <w:rFonts w:ascii="Calibri" w:cs="Calibri" w:eastAsia="Calibri" w:hAnsi="Calibri"/>
          <w:b/>
          <w:bCs/>
          <w:sz w:val="22"/>
          <w:szCs w:val="22"/>
        </w:rPr>
        <w:t xml:space="preserve">Standalone test</w:t>
      </w:r>
      <w:r>
        <w:rPr>
          <w:rFonts w:ascii="Calibri" w:cs="Calibri" w:eastAsia="Calibri" w:hAnsi="Calibri"/>
          <w:sz w:val="22"/>
          <w:szCs w:val="22"/>
        </w:rPr>
        <w:t xml:space="preserve"> with: Screen these counterparties: Crownfield Insurance Company (ceding insurer), Meridian Trustee Services Ltd (trustee), Albion Manufacturing Group plc (sponsor), Sterling Rowe Advisory LLP (adviser).</w:t>
      </w:r>
    </w:p>
    <w:p>
      <w:pPr>
        <w:pStyle w:val="ListParagraph"/>
        <w:numPr>
          <w:ilvl w:val="0"/>
          <w:numId w:val="2"/>
        </w:numPr>
        <w:spacing w:after="100"/>
      </w:pPr>
      <w:r>
        <w:rPr>
          <w:rFonts w:ascii="Calibri" w:cs="Calibri" w:eastAsia="Calibri" w:hAnsi="Calibri"/>
          <w:b/>
          <w:bCs/>
          <w:sz w:val="22"/>
          <w:szCs w:val="22"/>
        </w:rPr>
        <w:t xml:space="preserve">Publish</w:t>
      </w:r>
      <w:r>
        <w:rPr>
          <w:rFonts w:ascii="Calibri" w:cs="Calibri" w:eastAsia="Calibri" w:hAnsi="Calibri"/>
          <w:sz w:val="22"/>
          <w:szCs w:val="22"/>
        </w:rPr>
        <w:t xml:space="preserve"> the agent, then </w:t>
      </w:r>
      <w:r>
        <w:rPr>
          <w:rFonts w:ascii="Calibri" w:cs="Calibri" w:eastAsia="Calibri" w:hAnsi="Calibri"/>
          <w:b/>
          <w:bCs/>
          <w:sz w:val="22"/>
          <w:szCs w:val="22"/>
        </w:rPr>
        <w:t xml:space="preserve">connect it</w:t>
      </w:r>
      <w:r>
        <w:rPr>
          <w:rFonts w:ascii="Calibri" w:cs="Calibri" w:eastAsia="Calibri" w:hAnsi="Calibri"/>
          <w:sz w:val="22"/>
          <w:szCs w:val="22"/>
        </w:rPr>
        <w:t xml:space="preserve"> on the Deal Desk via </w:t>
      </w:r>
      <w:r>
        <w:rPr>
          <w:rFonts w:ascii="Calibri" w:cs="Calibri" w:eastAsia="Calibri" w:hAnsi="Calibri"/>
          <w:b/>
          <w:bCs/>
          <w:sz w:val="22"/>
          <w:szCs w:val="22"/>
        </w:rPr>
        <w:t xml:space="preserve">Agents &gt; Add &gt; Add an agent</w:t>
      </w:r>
      <w:r>
        <w:rPr>
          <w:rFonts w:ascii="Calibri" w:cs="Calibri" w:eastAsia="Calibri" w:hAnsi="Calibri"/>
          <w:sz w:val="22"/>
          <w:szCs w:val="22"/>
        </w:rPr>
        <w:t xml:space="preserve"> — all four specialists should now be listed as connected agents, each with the routing description you wrote.</w:t>
      </w:r>
    </w:p>
    <w:p>
      <w:pPr>
        <w:pStyle w:val="ListParagraph"/>
        <w:numPr>
          <w:ilvl w:val="0"/>
          <w:numId w:val="2"/>
        </w:numPr>
        <w:spacing w:after="100"/>
      </w:pPr>
      <w:r>
        <w:rPr>
          <w:rFonts w:ascii="Calibri" w:cs="Calibri" w:eastAsia="Calibri" w:hAnsi="Calibri"/>
          <w:b/>
          <w:bCs/>
          <w:sz w:val="22"/>
          <w:szCs w:val="22"/>
        </w:rPr>
        <w:t xml:space="preserve">Full triage test: </w:t>
      </w:r>
      <w:r>
        <w:rPr>
          <w:rFonts w:ascii="Calibri" w:cs="Calibri" w:eastAsia="Calibri" w:hAnsi="Calibri"/>
          <w:sz w:val="22"/>
          <w:szCs w:val="22"/>
        </w:rPr>
        <w:t xml:space="preserve">New invitation to quote received. Please run full triage. RFP text follows: (paste the full RFP email text).</w:t>
      </w:r>
    </w:p>
    <w:p>
      <w:pPr>
        <w:pStyle w:val="Heading2"/>
        <w:spacing w:after="120" w:before="240"/>
      </w:pPr>
      <w:r>
        <w:rPr>
          <w:rFonts w:ascii="Calibri" w:cs="Calibri" w:eastAsia="Calibri" w:hAnsi="Calibri"/>
        </w:rPr>
        <w:t xml:space="preserve">Expected result — Compliance Agent (standalone)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Counterparty</w:t>
            </w:r>
          </w:p>
        </w:tc>
        <w:tc>
          <w:tcPr>
            <w:tcW w:type="dxa" w:w="320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Status</w:t>
            </w:r>
          </w:p>
        </w:tc>
        <w:tc>
          <w:tcPr>
            <w:tcW w:type="dxa" w:w="256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Consequence</w:t>
            </w:r>
          </w:p>
        </w:tc>
      </w:tr>
      <w:tr>
        <w:trPr>
          <w:tblHeader w:val="false"/>
        </w:trPr>
        <w:tc>
          <w:tcPr>
            <w:tcW w:type="dxa" w:w="3600"/>
            <w:tcMar>
              <w:top w:type="dxa" w:w="60"/>
              <w:left w:type="dxa" w:w="100"/>
              <w:bottom w:type="dxa" w:w="60"/>
              <w:right w:type="dxa" w:w="100"/>
            </w:tcMar>
          </w:tcPr>
          <w:p>
            <w:pPr>
              <w:spacing w:after="0"/>
            </w:pPr>
            <w:r>
              <w:rPr>
                <w:rFonts w:ascii="Calibri" w:cs="Calibri" w:eastAsia="Calibri" w:hAnsi="Calibri"/>
                <w:sz w:val="22"/>
                <w:szCs w:val="22"/>
              </w:rPr>
              <w:t xml:space="preserve">Crownfield Insurance Company</w:t>
            </w:r>
          </w:p>
        </w:tc>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Internal caution list (disputed data warranty on prior buy-in)</w:t>
            </w:r>
          </w:p>
        </w:tc>
        <w:tc>
          <w:tcPr>
            <w:tcW w:type="dxa" w:w="2560"/>
            <w:tcMar>
              <w:top w:type="dxa" w:w="60"/>
              <w:left w:type="dxa" w:w="100"/>
              <w:bottom w:type="dxa" w:w="60"/>
              <w:right w:type="dxa" w:w="100"/>
            </w:tcMar>
          </w:tcPr>
          <w:p>
            <w:pPr>
              <w:spacing w:after="0"/>
            </w:pPr>
            <w:r>
              <w:rPr>
                <w:rFonts w:ascii="Calibri" w:cs="Calibri" w:eastAsia="Calibri" w:hAnsi="Calibri"/>
                <w:sz w:val="22"/>
                <w:szCs w:val="22"/>
              </w:rPr>
              <w:t xml:space="preserve">Mitigation note required</w:t>
            </w:r>
          </w:p>
        </w:tc>
      </w:tr>
      <w:tr>
        <w:trPr>
          <w:tblHeader w:val="false"/>
        </w:trPr>
        <w:tc>
          <w:tcPr>
            <w:tcW w:type="dxa" w:w="3600"/>
            <w:tcMar>
              <w:top w:type="dxa" w:w="60"/>
              <w:left w:type="dxa" w:w="100"/>
              <w:bottom w:type="dxa" w:w="60"/>
              <w:right w:type="dxa" w:w="100"/>
            </w:tcMar>
          </w:tcPr>
          <w:p>
            <w:pPr>
              <w:spacing w:after="0"/>
            </w:pPr>
            <w:r>
              <w:rPr>
                <w:rFonts w:ascii="Calibri" w:cs="Calibri" w:eastAsia="Calibri" w:hAnsi="Calibri"/>
                <w:sz w:val="22"/>
                <w:szCs w:val="22"/>
              </w:rPr>
              <w:t xml:space="preserve">Meridian Trustee Services Ltd</w:t>
            </w:r>
          </w:p>
        </w:tc>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Internal caution list (late data delivery)</w:t>
            </w:r>
          </w:p>
        </w:tc>
        <w:tc>
          <w:tcPr>
            <w:tcW w:type="dxa" w:w="2560"/>
            <w:tcMar>
              <w:top w:type="dxa" w:w="60"/>
              <w:left w:type="dxa" w:w="100"/>
              <w:bottom w:type="dxa" w:w="60"/>
              <w:right w:type="dxa" w:w="100"/>
            </w:tcMar>
          </w:tcPr>
          <w:p>
            <w:pPr>
              <w:spacing w:after="0"/>
            </w:pPr>
            <w:r>
              <w:rPr>
                <w:rFonts w:ascii="Calibri" w:cs="Calibri" w:eastAsia="Calibri" w:hAnsi="Calibri"/>
                <w:sz w:val="22"/>
                <w:szCs w:val="22"/>
              </w:rPr>
              <w:t xml:space="preserve">Mitigation note required</w:t>
            </w:r>
          </w:p>
        </w:tc>
      </w:tr>
      <w:tr>
        <w:trPr>
          <w:tblHeader w:val="false"/>
        </w:trPr>
        <w:tc>
          <w:tcPr>
            <w:tcW w:type="dxa" w:w="3600"/>
            <w:tcMar>
              <w:top w:type="dxa" w:w="60"/>
              <w:left w:type="dxa" w:w="100"/>
              <w:bottom w:type="dxa" w:w="60"/>
              <w:right w:type="dxa" w:w="100"/>
            </w:tcMar>
          </w:tcPr>
          <w:p>
            <w:pPr>
              <w:spacing w:after="0"/>
            </w:pPr>
            <w:r>
              <w:rPr>
                <w:rFonts w:ascii="Calibri" w:cs="Calibri" w:eastAsia="Calibri" w:hAnsi="Calibri"/>
                <w:sz w:val="22"/>
                <w:szCs w:val="22"/>
              </w:rPr>
              <w:t xml:space="preserve">Albion Manufacturing Group plc</w:t>
            </w:r>
          </w:p>
        </w:tc>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Cleared</w:t>
            </w:r>
          </w:p>
        </w:tc>
        <w:tc>
          <w:tcPr>
            <w:tcW w:type="dxa" w:w="2560"/>
            <w:tcMar>
              <w:top w:type="dxa" w:w="60"/>
              <w:left w:type="dxa" w:w="100"/>
              <w:bottom w:type="dxa" w:w="60"/>
              <w:right w:type="dxa" w:w="100"/>
            </w:tcMar>
          </w:tcPr>
          <w:p>
            <w:pPr>
              <w:spacing w:after="0"/>
            </w:pPr>
            <w:r>
              <w:rPr>
                <w:rFonts w:ascii="Calibri" w:cs="Calibri" w:eastAsia="Calibri" w:hAnsi="Calibri"/>
                <w:sz w:val="22"/>
                <w:szCs w:val="22"/>
              </w:rPr>
              <w:t xml:space="preserve">May proceed</w:t>
            </w:r>
          </w:p>
        </w:tc>
      </w:tr>
      <w:tr>
        <w:trPr>
          <w:tblHeader w:val="false"/>
        </w:trPr>
        <w:tc>
          <w:tcPr>
            <w:tcW w:type="dxa" w:w="3600"/>
            <w:tcMar>
              <w:top w:type="dxa" w:w="60"/>
              <w:left w:type="dxa" w:w="100"/>
              <w:bottom w:type="dxa" w:w="60"/>
              <w:right w:type="dxa" w:w="100"/>
            </w:tcMar>
          </w:tcPr>
          <w:p>
            <w:pPr>
              <w:spacing w:after="0"/>
            </w:pPr>
            <w:r>
              <w:rPr>
                <w:rFonts w:ascii="Calibri" w:cs="Calibri" w:eastAsia="Calibri" w:hAnsi="Calibri"/>
                <w:sz w:val="22"/>
                <w:szCs w:val="22"/>
              </w:rPr>
              <w:t xml:space="preserve">Sterling Rowe Advisory LLP</w:t>
            </w:r>
          </w:p>
        </w:tc>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Not on watchlist</w:t>
            </w:r>
          </w:p>
        </w:tc>
        <w:tc>
          <w:tcPr>
            <w:tcW w:type="dxa" w:w="2560"/>
            <w:tcMar>
              <w:top w:type="dxa" w:w="60"/>
              <w:left w:type="dxa" w:w="100"/>
              <w:bottom w:type="dxa" w:w="60"/>
              <w:right w:type="dxa" w:w="100"/>
            </w:tcMar>
          </w:tcPr>
          <w:p>
            <w:pPr>
              <w:spacing w:after="0"/>
            </w:pPr>
            <w:r>
              <w:rPr>
                <w:rFonts w:ascii="Calibri" w:cs="Calibri" w:eastAsia="Calibri" w:hAnsi="Calibri"/>
                <w:sz w:val="22"/>
                <w:szCs w:val="22"/>
              </w:rPr>
              <w:t xml:space="preserve">May proceed</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Overall: </w:t>
      </w:r>
      <w:r>
        <w:rPr>
          <w:rFonts w:ascii="Calibri" w:cs="Calibri" w:eastAsia="Calibri" w:hAnsi="Calibri"/>
          <w:b/>
          <w:bCs/>
          <w:sz w:val="22"/>
          <w:szCs w:val="22"/>
        </w:rPr>
        <w:t xml:space="preserve">QUOTE WITH MITIGATION NOTE</w:t>
      </w:r>
      <w:r>
        <w:rPr>
          <w:rFonts w:ascii="Calibri" w:cs="Calibri" w:eastAsia="Calibri" w:hAnsi="Calibri"/>
          <w:sz w:val="22"/>
          <w:szCs w:val="22"/>
        </w:rPr>
        <w:t xml:space="preserve"> (nothing blocks).</w:t>
      </w:r>
    </w:p>
    <w:p>
      <w:pPr>
        <w:spacing w:after="120"/>
      </w:pPr>
      <w:r>
        <w:rPr>
          <w:rFonts w:ascii="Calibri" w:cs="Calibri" w:eastAsia="Calibri" w:hAnsi="Calibri"/>
          <w:b/>
          <w:bCs/>
          <w:sz w:val="22"/>
          <w:szCs w:val="22"/>
        </w:rPr>
        <w:t xml:space="preserve">Teaching moment: </w:t>
      </w:r>
      <w:r>
        <w:rPr>
          <w:rFonts w:ascii="Calibri" w:cs="Calibri" w:eastAsia="Calibri" w:hAnsi="Calibri"/>
          <w:sz w:val="22"/>
          <w:szCs w:val="22"/>
        </w:rPr>
        <w:t xml:space="preserve">Ask the class to also screen Harbourline Capital SA and watch the recommendation flip to BLOCKED PENDING REVIEW.</w:t>
      </w:r>
    </w:p>
    <w:p>
      <w:pPr>
        <w:pStyle w:val="Heading2"/>
        <w:spacing w:after="120" w:before="240"/>
      </w:pPr>
      <w:r>
        <w:rPr>
          <w:rFonts w:ascii="Calibri" w:cs="Calibri" w:eastAsia="Calibri" w:hAnsi="Calibri"/>
        </w:rPr>
        <w:t xml:space="preserve">Expected result — the full triage</w:t>
      </w:r>
    </w:p>
    <w:p>
      <w:pPr>
        <w:spacing w:after="120"/>
      </w:pPr>
      <w:r>
        <w:rPr>
          <w:rFonts w:ascii="Calibri" w:cs="Calibri" w:eastAsia="Calibri" w:hAnsi="Calibri"/>
          <w:sz w:val="22"/>
          <w:szCs w:val="22"/>
        </w:rPr>
        <w:t xml:space="preserve">The test pane's activity map should show the Deal Desk invoking each of the four connected agents in turn, then producing a memo whose recommendation is </w:t>
      </w:r>
      <w:r>
        <w:rPr>
          <w:rFonts w:ascii="Calibri" w:cs="Calibri" w:eastAsia="Calibri" w:hAnsi="Calibri"/>
          <w:b/>
          <w:bCs/>
          <w:sz w:val="22"/>
          <w:szCs w:val="22"/>
        </w:rPr>
        <w:t xml:space="preserve">PROCEED TO PRICING</w:t>
      </w:r>
      <w:r>
        <w:rPr>
          <w:rFonts w:ascii="Calibri" w:cs="Calibri" w:eastAsia="Calibri" w:hAnsi="Calibri"/>
          <w:sz w:val="22"/>
          <w:szCs w:val="22"/>
        </w:rPr>
        <w:t xml:space="preserve"> (or ESCALATE, if the agent weighs the caution-list entries heavily — either is defensible; the </w:t>
      </w:r>
      <w:r>
        <w:rPr>
          <w:rFonts w:ascii="Calibri" w:cs="Calibri" w:eastAsia="Calibri" w:hAnsi="Calibri"/>
          <w:i/>
          <w:iCs/>
          <w:sz w:val="22"/>
          <w:szCs w:val="22"/>
        </w:rPr>
        <w:t xml:space="preserve">reasoning</w:t>
      </w:r>
      <w:r>
        <w:rPr>
          <w:rFonts w:ascii="Calibri" w:cs="Calibri" w:eastAsia="Calibri" w:hAnsi="Calibri"/>
          <w:sz w:val="22"/>
          <w:szCs w:val="22"/>
        </w:rPr>
        <w:t xml:space="preserve"> is what you assess): premium below Board threshold, data score ~79.5 above the 70 threshold, pensioner-led liability split within appetite, no blocking compliance flags, strong precedent in Project Coral. Compare against the Lab 1 baseline output to show the class how far the memo has come.</w:t>
      </w:r>
    </w:p>
    <w:p>
      <w:pPr>
        <w:spacing w:after="120"/>
      </w:pPr>
      <w:r>
        <w:rPr>
          <w:rFonts w:ascii="Calibri" w:cs="Calibri" w:eastAsia="Calibri" w:hAnsi="Calibri"/>
          <w:b/>
          <w:bCs/>
          <w:sz w:val="22"/>
          <w:szCs w:val="22"/>
        </w:rPr>
        <w:t xml:space="preserve">Checkpoint ✅  </w:t>
      </w:r>
      <w:r>
        <w:rPr>
          <w:rFonts w:ascii="Calibri" w:cs="Calibri" w:eastAsia="Calibri" w:hAnsi="Calibri"/>
          <w:sz w:val="22"/>
          <w:szCs w:val="22"/>
        </w:rPr>
        <w:t xml:space="preserve">Full four-agent triage runs end to end and produces a defensible memo.</w:t>
      </w:r>
    </w:p>
    <w:p>
      <w:pPr>
        <w:pStyle w:val="Heading2"/>
        <w:spacing w:after="120" w:before="240"/>
      </w:pPr>
      <w:r>
        <w:rPr>
          <w:rFonts w:ascii="Calibri" w:cs="Calibri" w:eastAsia="Calibri" w:hAnsi="Calibri"/>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Symptom</w:t>
            </w:r>
          </w:p>
        </w:tc>
        <w:tc>
          <w:tcPr>
            <w:tcW w:type="dxa" w:w="5060"/>
            <w:shd w:fill="D9E2F3" w:val="clear"/>
            <w:tcMar>
              <w:top w:type="dxa" w:w="60"/>
              <w:left w:type="dxa" w:w="100"/>
              <w:bottom w:type="dxa" w:w="60"/>
              <w:right w:type="dxa" w:w="100"/>
            </w:tcMar>
          </w:tcPr>
          <w:p>
            <w:pPr>
              <w:spacing w:after="0"/>
            </w:pPr>
            <w:r>
              <w:rPr>
                <w:rFonts w:ascii="Calibri" w:cs="Calibri" w:eastAsia="Calibri" w:hAnsi="Calibri"/>
                <w:b/>
                <w:bCs/>
                <w:sz w:val="22"/>
                <w:szCs w:val="22"/>
              </w:rPr>
              <w:t xml:space="preserve">Likely cause / fix</w:t>
            </w:r>
          </w:p>
        </w:tc>
      </w:tr>
      <w:tr>
        <w:trPr>
          <w:tblHeader w:val="false"/>
        </w:trPr>
        <w:tc>
          <w:tcPr>
            <w:tcW w:type="dxa" w:w="4300"/>
            <w:tcMar>
              <w:top w:type="dxa" w:w="60"/>
              <w:left w:type="dxa" w:w="100"/>
              <w:bottom w:type="dxa" w:w="60"/>
              <w:right w:type="dxa" w:w="100"/>
            </w:tcMar>
          </w:tcPr>
          <w:p>
            <w:pPr>
              <w:spacing w:after="0"/>
            </w:pPr>
            <w:r>
              <w:rPr>
                <w:rFonts w:ascii="Calibri" w:cs="Calibri" w:eastAsia="Calibri" w:hAnsi="Calibri"/>
                <w:sz w:val="22"/>
                <w:szCs w:val="22"/>
              </w:rPr>
              <w:t xml:space="preserve">Orchestrator answers itself without calling children</w:t>
            </w:r>
          </w:p>
        </w:tc>
        <w:tc>
          <w:tcPr>
            <w:tcW w:type="dxa" w:w="5060"/>
            <w:tcMar>
              <w:top w:type="dxa" w:w="60"/>
              <w:left w:type="dxa" w:w="100"/>
              <w:bottom w:type="dxa" w:w="60"/>
              <w:right w:type="dxa" w:w="100"/>
            </w:tcMar>
          </w:tcPr>
          <w:p>
            <w:pPr>
              <w:spacing w:after="0"/>
            </w:pPr>
            <w:r>
              <w:rPr>
                <w:rFonts w:ascii="Calibri" w:cs="Calibri" w:eastAsia="Calibri" w:hAnsi="Calibri"/>
                <w:sz w:val="22"/>
                <w:szCs w:val="22"/>
              </w:rPr>
              <w:t xml:space="preserve">Child descriptions too vague — rewrite them as “Use when...” capability statements; or generative orchestration is off</w:t>
            </w:r>
          </w:p>
        </w:tc>
      </w:tr>
      <w:tr>
        <w:trPr>
          <w:tblHeader w:val="false"/>
        </w:trPr>
        <w:tc>
          <w:tcPr>
            <w:tcW w:type="dxa" w:w="4300"/>
            <w:tcMar>
              <w:top w:type="dxa" w:w="60"/>
              <w:left w:type="dxa" w:w="100"/>
              <w:bottom w:type="dxa" w:w="60"/>
              <w:right w:type="dxa" w:w="100"/>
            </w:tcMar>
          </w:tcPr>
          <w:p>
            <w:pPr>
              <w:spacing w:after="0"/>
            </w:pPr>
            <w:r>
              <w:rPr>
                <w:rFonts w:ascii="Calibri" w:cs="Calibri" w:eastAsia="Calibri" w:hAnsi="Calibri"/>
                <w:sz w:val="22"/>
                <w:szCs w:val="22"/>
              </w:rPr>
              <w:t xml:space="preserve">“Add an agent” not visible</w:t>
            </w:r>
          </w:p>
        </w:tc>
        <w:tc>
          <w:tcPr>
            <w:tcW w:type="dxa" w:w="5060"/>
            <w:tcMar>
              <w:top w:type="dxa" w:w="60"/>
              <w:left w:type="dxa" w:w="100"/>
              <w:bottom w:type="dxa" w:w="60"/>
              <w:right w:type="dxa" w:w="100"/>
            </w:tcMar>
          </w:tcPr>
          <w:p>
            <w:pPr>
              <w:spacing w:after="0"/>
            </w:pPr>
            <w:r>
              <w:rPr>
                <w:rFonts w:ascii="Calibri" w:cs="Calibri" w:eastAsia="Calibri" w:hAnsi="Calibri"/>
                <w:sz w:val="22"/>
                <w:szCs w:val="22"/>
              </w:rPr>
              <w:t xml:space="preserve">Tenant/admin setting or licensing; fall back to the single-agent topics pattern below</w:t>
            </w:r>
          </w:p>
        </w:tc>
      </w:tr>
      <w:tr>
        <w:trPr>
          <w:tblHeader w:val="false"/>
        </w:trPr>
        <w:tc>
          <w:tcPr>
            <w:tcW w:type="dxa" w:w="4300"/>
            <w:tcMar>
              <w:top w:type="dxa" w:w="60"/>
              <w:left w:type="dxa" w:w="100"/>
              <w:bottom w:type="dxa" w:w="60"/>
              <w:right w:type="dxa" w:w="100"/>
            </w:tcMar>
          </w:tcPr>
          <w:p>
            <w:pPr>
              <w:spacing w:after="0"/>
            </w:pPr>
            <w:r>
              <w:rPr>
                <w:rFonts w:ascii="Calibri" w:cs="Calibri" w:eastAsia="Calibri" w:hAnsi="Calibri"/>
                <w:sz w:val="22"/>
                <w:szCs w:val="22"/>
              </w:rPr>
              <w:t xml:space="preserve">Child agent not selectable</w:t>
            </w:r>
          </w:p>
        </w:tc>
        <w:tc>
          <w:tcPr>
            <w:tcW w:type="dxa" w:w="5060"/>
            <w:tcMar>
              <w:top w:type="dxa" w:w="60"/>
              <w:left w:type="dxa" w:w="100"/>
              <w:bottom w:type="dxa" w:w="60"/>
              <w:right w:type="dxa" w:w="100"/>
            </w:tcMar>
          </w:tcPr>
          <w:p>
            <w:pPr>
              <w:spacing w:after="0"/>
            </w:pPr>
            <w:r>
              <w:rPr>
                <w:rFonts w:ascii="Calibri" w:cs="Calibri" w:eastAsia="Calibri" w:hAnsi="Calibri"/>
                <w:sz w:val="22"/>
                <w:szCs w:val="22"/>
              </w:rPr>
              <w:t xml:space="preserve">Not published, or in a different environment</w:t>
            </w:r>
          </w:p>
        </w:tc>
      </w:tr>
      <w:tr>
        <w:trPr>
          <w:tblHeader w:val="false"/>
        </w:trPr>
        <w:tc>
          <w:tcPr>
            <w:tcW w:type="dxa" w:w="4300"/>
            <w:tcMar>
              <w:top w:type="dxa" w:w="60"/>
              <w:left w:type="dxa" w:w="100"/>
              <w:bottom w:type="dxa" w:w="60"/>
              <w:right w:type="dxa" w:w="100"/>
            </w:tcMar>
          </w:tcPr>
          <w:p>
            <w:pPr>
              <w:spacing w:after="0"/>
            </w:pPr>
            <w:r>
              <w:rPr>
                <w:rFonts w:ascii="Calibri" w:cs="Calibri" w:eastAsia="Calibri" w:hAnsi="Calibri"/>
                <w:sz w:val="22"/>
                <w:szCs w:val="22"/>
              </w:rPr>
              <w:t xml:space="preserve">Memo missing a section</w:t>
            </w:r>
          </w:p>
        </w:tc>
        <w:tc>
          <w:tcPr>
            <w:tcW w:type="dxa" w:w="5060"/>
            <w:tcMar>
              <w:top w:type="dxa" w:w="60"/>
              <w:left w:type="dxa" w:w="100"/>
              <w:bottom w:type="dxa" w:w="60"/>
              <w:right w:type="dxa" w:w="100"/>
            </w:tcMar>
          </w:tcPr>
          <w:p>
            <w:pPr>
              <w:spacing w:after="0"/>
            </w:pPr>
            <w:r>
              <w:rPr>
                <w:rFonts w:ascii="Calibri" w:cs="Calibri" w:eastAsia="Calibri" w:hAnsi="Calibri"/>
                <w:sz w:val="22"/>
                <w:szCs w:val="22"/>
              </w:rPr>
              <w:t xml:space="preserve">Strengthen the numbered step list in the orchestrator instructions; instructions are followed more reliably when steps are explicit and ordered</w:t>
            </w:r>
          </w:p>
        </w:tc>
      </w:tr>
    </w:tbl>
    <w:p>
      <w:pPr>
        <w:spacing w:after="120"/>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Fallback pattern (no connected agents in tenant)</w:t>
      </w:r>
    </w:p>
    <w:p>
      <w:pPr>
        <w:spacing w:after="120"/>
      </w:pPr>
      <w:r>
        <w:rPr>
          <w:rFonts w:ascii="Calibri" w:cs="Calibri" w:eastAsia="Calibri" w:hAnsi="Calibri"/>
          <w:sz w:val="22"/>
          <w:szCs w:val="22"/>
        </w:rPr>
        <w:t xml:space="preserve">Build one agent with four </w:t>
      </w:r>
      <w:r>
        <w:rPr>
          <w:rFonts w:ascii="Calibri" w:cs="Calibri" w:eastAsia="Calibri" w:hAnsi="Calibri"/>
          <w:b/>
          <w:bCs/>
          <w:sz w:val="22"/>
          <w:szCs w:val="22"/>
        </w:rPr>
        <w:t xml:space="preserve">topics</w:t>
      </w:r>
      <w:r>
        <w:rPr>
          <w:rFonts w:ascii="Calibri" w:cs="Calibri" w:eastAsia="Calibri" w:hAnsi="Calibri"/>
          <w:sz w:val="22"/>
          <w:szCs w:val="22"/>
        </w:rPr>
        <w:t xml:space="preserve"> — Intake, Data Quality, Precedent, Compliance — each topic containing the corresponding instructions as a generative answer node scoped to the right knowledge, plus a fifth “Full triage” topic that calls the other four with topic redirects and composes the memo. Less glamorous, same lesson.</w:t>
      </w:r>
    </w:p>
    <w:p>
      <w:pPr>
        <w:pStyle w:val="Heading1"/>
        <w:spacing w:after="160" w:before="320"/>
      </w:pPr>
      <w:r>
        <w:rPr>
          <w:rFonts w:ascii="Calibri" w:cs="Calibri" w:eastAsia="Calibri" w:hAnsi="Calibri"/>
        </w:rPr>
        <w:t xml:space="preserve">Lab 6 (stretch) — Triggers and delivery (30 min)</w:t>
      </w:r>
    </w:p>
    <w:p>
      <w:pPr>
        <w:spacing w:after="120"/>
      </w:pPr>
      <w:r>
        <w:rPr>
          <w:rFonts w:ascii="Calibri" w:cs="Calibri" w:eastAsia="Calibri" w:hAnsi="Calibri"/>
          <w:sz w:val="22"/>
          <w:szCs w:val="22"/>
        </w:rPr>
        <w:t xml:space="preserve">Two optional extensions for stronger groups:</w:t>
      </w:r>
    </w:p>
    <w:p>
      <w:pPr>
        <w:pStyle w:val="ListParagraph"/>
        <w:numPr>
          <w:ilvl w:val="0"/>
          <w:numId w:val="2"/>
        </w:numPr>
        <w:spacing w:after="100"/>
      </w:pPr>
      <w:r>
        <w:rPr>
          <w:rFonts w:ascii="Calibri" w:cs="Calibri" w:eastAsia="Calibri" w:hAnsi="Calibri"/>
          <w:b/>
          <w:bCs/>
          <w:sz w:val="22"/>
          <w:szCs w:val="22"/>
        </w:rPr>
        <w:t xml:space="preserve">Autonomous trigger: </w:t>
      </w:r>
      <w:r>
        <w:rPr>
          <w:rFonts w:ascii="Calibri" w:cs="Calibri" w:eastAsia="Calibri" w:hAnsi="Calibri"/>
          <w:sz w:val="22"/>
          <w:szCs w:val="22"/>
        </w:rPr>
        <w:t xml:space="preserve">on the Deal Desk agent, add a Trigger &gt; “When a new email arrives” (Office 365 Outlook connector) filtered to a training mailbox/subject containing “Invitation to Quote”. Forward 01_RFP_Email_Albion_Scheme.txt to that mailbox and watch triage start unattended. Discuss autonomous-agent governance: who is accountable for an agent that acts on incoming mail?</w:t>
      </w:r>
    </w:p>
    <w:p>
      <w:pPr>
        <w:pStyle w:val="ListParagraph"/>
        <w:numPr>
          <w:ilvl w:val="0"/>
          <w:numId w:val="2"/>
        </w:numPr>
        <w:spacing w:after="100"/>
      </w:pPr>
      <w:r>
        <w:rPr>
          <w:rFonts w:ascii="Calibri" w:cs="Calibri" w:eastAsia="Calibri" w:hAnsi="Calibri"/>
          <w:b/>
          <w:bCs/>
          <w:sz w:val="22"/>
          <w:szCs w:val="22"/>
        </w:rPr>
        <w:t xml:space="preserve">Delivery: </w:t>
      </w:r>
      <w:r>
        <w:rPr>
          <w:rFonts w:ascii="Calibri" w:cs="Calibri" w:eastAsia="Calibri" w:hAnsi="Calibri"/>
          <w:sz w:val="22"/>
          <w:szCs w:val="22"/>
        </w:rPr>
        <w:t xml:space="preserve">add a tool/agent flow that posts the finished memo to a Teams channel (“Post message in a chat or channel”) or creates a Word file in SharePoint. Adaptive card formatting is a nice flourish for the demo finale.</w:t>
      </w:r>
    </w:p>
    <w:p>
      <w:pPr>
        <w:pStyle w:val="Heading1"/>
        <w:spacing w:after="160" w:before="320"/>
      </w:pPr>
      <w:r>
        <w:rPr>
          <w:rFonts w:ascii="Calibri" w:cs="Calibri" w:eastAsia="Calibri" w:hAnsi="Calibri"/>
        </w:rPr>
        <w:t xml:space="preserve">Wrap-up discussion (15 min)</w:t>
      </w:r>
    </w:p>
    <w:p>
      <w:pPr>
        <w:pStyle w:val="ListParagraph"/>
        <w:numPr>
          <w:ilvl w:val="0"/>
          <w:numId w:val="2"/>
        </w:numPr>
        <w:spacing w:after="100"/>
      </w:pPr>
      <w:r>
        <w:rPr>
          <w:rFonts w:ascii="Calibri" w:cs="Calibri" w:eastAsia="Calibri" w:hAnsi="Calibri"/>
          <w:sz w:val="22"/>
          <w:szCs w:val="22"/>
        </w:rPr>
        <w:t xml:space="preserve">Where did generative orchestration make a good routing decision, and where did it need better descriptions? (Descriptions are prompts.) Did building the orchestrator first change how you wrote the child descriptions?</w:t>
      </w:r>
    </w:p>
    <w:p>
      <w:pPr>
        <w:pStyle w:val="ListParagraph"/>
        <w:numPr>
          <w:ilvl w:val="0"/>
          <w:numId w:val="2"/>
        </w:numPr>
        <w:spacing w:after="100"/>
      </w:pPr>
      <w:r>
        <w:rPr>
          <w:rFonts w:ascii="Calibri" w:cs="Calibri" w:eastAsia="Calibri" w:hAnsi="Calibri"/>
          <w:sz w:val="22"/>
          <w:szCs w:val="22"/>
        </w:rPr>
        <w:t xml:space="preserve">Deterministic flows vs. generative retrieval: which of the four agents should be a flow in production? (Most groups say Data Quality and Compliance.)</w:t>
      </w:r>
    </w:p>
    <w:p>
      <w:pPr>
        <w:pStyle w:val="ListParagraph"/>
        <w:numPr>
          <w:ilvl w:val="0"/>
          <w:numId w:val="2"/>
        </w:numPr>
        <w:spacing w:after="100"/>
      </w:pPr>
      <w:r>
        <w:rPr>
          <w:rFonts w:ascii="Calibri" w:cs="Calibri" w:eastAsia="Calibri" w:hAnsi="Calibri"/>
          <w:sz w:val="22"/>
          <w:szCs w:val="22"/>
        </w:rPr>
        <w:t xml:space="preserve">Governance: what would it take to run this on real deal data? (DLP policies, environment strategy, data residency — Bermuda entities should raise BMA expectations and group data-handling policy; knowledge-source permissions; human-in-the-loop before any memo is relied on.)</w:t>
      </w:r>
    </w:p>
    <w:p>
      <w:pPr>
        <w:pStyle w:val="ListParagraph"/>
        <w:numPr>
          <w:ilvl w:val="0"/>
          <w:numId w:val="2"/>
        </w:numPr>
        <w:spacing w:after="100"/>
      </w:pPr>
      <w:r>
        <w:rPr>
          <w:rFonts w:ascii="Calibri" w:cs="Calibri" w:eastAsia="Calibri" w:hAnsi="Calibri"/>
          <w:sz w:val="22"/>
          <w:szCs w:val="22"/>
        </w:rPr>
        <w:t xml:space="preserve">Measurement: how would you evaluate agent quality over time? (Copilot Studio analytics, test sets of RFPs with known-good memos.)</w:t>
      </w:r>
    </w:p>
    <w:p>
      <w:pPr>
        <w:pStyle w:val="Heading1"/>
        <w:spacing w:after="160" w:before="320"/>
      </w:pPr>
      <w:r>
        <w:rPr>
          <w:rFonts w:ascii="Calibri" w:cs="Calibri" w:eastAsia="Calibri" w:hAnsi="Calibri"/>
        </w:rPr>
        <w:t xml:space="preserve">Facilitator answer key summary</w:t>
      </w:r>
    </w:p>
    <w:p>
      <w:pPr>
        <w:pStyle w:val="ListParagraph"/>
        <w:numPr>
          <w:ilvl w:val="0"/>
          <w:numId w:val="2"/>
        </w:numPr>
        <w:spacing w:after="100"/>
      </w:pPr>
      <w:r>
        <w:rPr>
          <w:rFonts w:ascii="Calibri" w:cs="Calibri" w:eastAsia="Calibri" w:hAnsi="Calibri"/>
          <w:b/>
          <w:bCs/>
          <w:sz w:val="22"/>
          <w:szCs w:val="22"/>
        </w:rPr>
        <w:t xml:space="preserve">Member data: </w:t>
      </w:r>
      <w:r>
        <w:rPr>
          <w:rFonts w:ascii="Calibri" w:cs="Calibri" w:eastAsia="Calibri" w:hAnsi="Calibri"/>
          <w:sz w:val="22"/>
          <w:szCs w:val="22"/>
        </w:rPr>
        <w:t xml:space="preserve">162 rows, 41 affected records, score ≈ 79.5/100 (above threshold). Issue-by-issue IDs are in the Lab 3 table.</w:t>
      </w:r>
    </w:p>
    <w:p>
      <w:pPr>
        <w:pStyle w:val="ListParagraph"/>
        <w:numPr>
          <w:ilvl w:val="0"/>
          <w:numId w:val="2"/>
        </w:numPr>
        <w:spacing w:after="100"/>
      </w:pPr>
      <w:r>
        <w:rPr>
          <w:rFonts w:ascii="Calibri" w:cs="Calibri" w:eastAsia="Calibri" w:hAnsi="Calibri"/>
          <w:b/>
          <w:bCs/>
          <w:sz w:val="22"/>
          <w:szCs w:val="22"/>
        </w:rPr>
        <w:t xml:space="preserve">Compliance: </w:t>
      </w:r>
      <w:r>
        <w:rPr>
          <w:rFonts w:ascii="Calibri" w:cs="Calibri" w:eastAsia="Calibri" w:hAnsi="Calibri"/>
          <w:sz w:val="22"/>
          <w:szCs w:val="22"/>
        </w:rPr>
        <w:t xml:space="preserve">Crownfield + Meridian = caution list; Albion = cleared; Sterling Rowe = not listed; Harbourline = blocking flag (for the teaching moment).</w:t>
      </w:r>
    </w:p>
    <w:p>
      <w:pPr>
        <w:pStyle w:val="ListParagraph"/>
        <w:numPr>
          <w:ilvl w:val="0"/>
          <w:numId w:val="2"/>
        </w:numPr>
        <w:spacing w:after="100"/>
      </w:pPr>
      <w:r>
        <w:rPr>
          <w:rFonts w:ascii="Calibri" w:cs="Calibri" w:eastAsia="Calibri" w:hAnsi="Calibri"/>
          <w:b/>
          <w:bCs/>
          <w:sz w:val="22"/>
          <w:szCs w:val="22"/>
        </w:rPr>
        <w:t xml:space="preserve">Precedent: </w:t>
      </w:r>
      <w:r>
        <w:rPr>
          <w:rFonts w:ascii="Calibri" w:cs="Calibri" w:eastAsia="Calibri" w:hAnsi="Calibri"/>
          <w:sz w:val="22"/>
          <w:szCs w:val="22"/>
        </w:rPr>
        <w:t xml:space="preserve">Coral = closest analogue; Lighthouse = Crownfield history; Anchor = decline rationale; Guidance Note = thresholds (750m / 70 score / 50% deferred / watchlist rule).</w:t>
      </w:r>
    </w:p>
    <w:p>
      <w:pPr>
        <w:pStyle w:val="ListParagraph"/>
        <w:numPr>
          <w:ilvl w:val="0"/>
          <w:numId w:val="2"/>
        </w:numPr>
        <w:spacing w:after="100"/>
      </w:pPr>
      <w:r>
        <w:rPr>
          <w:rFonts w:ascii="Calibri" w:cs="Calibri" w:eastAsia="Calibri" w:hAnsi="Calibri"/>
          <w:b/>
          <w:bCs/>
          <w:sz w:val="22"/>
          <w:szCs w:val="22"/>
        </w:rPr>
        <w:t xml:space="preserve">Expected memo recommendation: </w:t>
      </w:r>
      <w:r>
        <w:rPr>
          <w:rFonts w:ascii="Calibri" w:cs="Calibri" w:eastAsia="Calibri" w:hAnsi="Calibri"/>
          <w:sz w:val="22"/>
          <w:szCs w:val="22"/>
        </w:rPr>
        <w:t xml:space="preserve">PROCEED TO PRICING (ESCALATE acceptable if justified by the caution-list entries).</w:t>
      </w:r>
    </w:p>
    <w:p>
      <w:pPr>
        <w:spacing w:after="120"/>
      </w:pPr>
      <w:r>
        <w:rPr>
          <w:rFonts w:ascii="Calibri" w:cs="Calibri" w:eastAsia="Calibri" w:hAnsi="Calibri"/>
          <w:sz w:val="22"/>
          <w:szCs w:val="22"/>
        </w:rPr>
        <w:t xml:space="preserve"/>
      </w:r>
    </w:p>
    <w:p>
      <w:pPr>
        <w:spacing w:after="120"/>
      </w:pPr>
      <w:r>
        <w:rPr>
          <w:rFonts w:ascii="Calibri" w:cs="Calibri" w:eastAsia="Calibri" w:hAnsi="Calibri"/>
          <w:i/>
          <w:iCs/>
          <w:sz w:val="22"/>
          <w:szCs w:val="22"/>
        </w:rPr>
        <w:t xml:space="preserve">All companies, schemes, people, and data in this lab are fictional and for training only.</w:t>
      </w:r>
    </w:p>
    <w:p>
      <w:pPr>
        <w:spacing w:after="120"/>
      </w:pPr>
      <w:r>
        <w:rPr>
          <w:rFonts w:ascii="Calibri" w:cs="Calibri" w:eastAsia="Calibri" w:hAnsi="Calibri"/>
          <w:color w:val="777777"/>
          <w:sz w:val="18"/>
          <w:szCs w:val="18"/>
        </w:rPr>
        <w:t xml:space="preserve">PRT Deal Desk Lab Manual (orchestrator-first edition) — Training use only, fictional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2026-07-07T09:41:43.022Z</dcterms:created>
  <dcterms:modified xsi:type="dcterms:W3CDTF">2026-07-07T09:41:43.034Z</dcterms:modified>
</cp:coreProperties>
</file>

<file path=docProps/custom.xml><?xml version="1.0" encoding="utf-8"?>
<Properties xmlns="http://schemas.openxmlformats.org/officeDocument/2006/custom-properties" xmlns:vt="http://schemas.openxmlformats.org/officeDocument/2006/docPropsVTypes"/>
</file>