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3CBB" w14:textId="2E85C0A5" w:rsidR="000F44D7" w:rsidRDefault="00402968">
      <w:r w:rsidRPr="00402968">
        <w:t>1 Claims Triage and Routing An agent reviews new claims, classifies severity, detects missing information, routes the claim to the right adjuster, and flags urgent or complex cases.</w:t>
      </w:r>
      <w:r w:rsidRPr="00402968">
        <w:br/>
        <w:t>2 Catastrophe Event Response After hurricanes, wildfires, floods, or earthquakes, agents monitor event data, identify exposed policies, estimate potential losses, and trigger response workflows.</w:t>
      </w:r>
      <w:r w:rsidRPr="00402968">
        <w:br/>
        <w:t>3 Underwriting Submission Intake An agent reads broker submissions, extracts key data, checks completeness, compares against appetite rules, and prepares an underwriting summary.</w:t>
      </w:r>
      <w:r w:rsidRPr="00402968">
        <w:br/>
        <w:t>4 Risk Appetite Matching Agents compare incoming risks against underwriting guidelines, industry restrictions, geography, loss history, and capacity limits to recommend accept, refer, or decline.</w:t>
      </w:r>
      <w:r w:rsidRPr="00402968">
        <w:br/>
        <w:t>5 Policy Document Review An agent reviews policies, endorsements, exclusions, and binders to identify inconsistencies, missing clauses, or coverage conflicts before issuance.</w:t>
      </w:r>
      <w:r w:rsidRPr="00402968">
        <w:br/>
        <w:t>6 Reinsurance Treaty Analysis Agents analyze treaty wording, limits, attachment points, exclusions, reinstatement terms, and ceded exposure to summarize obligations and potential gaps.</w:t>
      </w:r>
      <w:r w:rsidRPr="00402968">
        <w:br/>
        <w:t>7 Loss Run Analysis An agent reviews historical claims data, identifies trends, severity spikes, recurring causes of loss, and unusual patterns that may affect pricing or renewal decisions.</w:t>
      </w:r>
      <w:r w:rsidRPr="00402968">
        <w:br/>
        <w:t>8 Broker and Client Intelligence Agents monitor public filings, news, industry data, financial indicators, and prior account history to prepare renewal briefs or client strategy notes.</w:t>
      </w:r>
      <w:r w:rsidRPr="00402968">
        <w:br/>
        <w:t>9 Reserve Review Support Agents compare case reserves, claim notes, litigation status, medical updates, and settlement history to flag claims that may need reserve adjustment.</w:t>
      </w:r>
      <w:r w:rsidRPr="00402968">
        <w:br/>
        <w:t xml:space="preserve">10 Reinsurance </w:t>
      </w:r>
      <w:proofErr w:type="spellStart"/>
      <w:r w:rsidRPr="00402968">
        <w:t>Recoverables</w:t>
      </w:r>
      <w:proofErr w:type="spellEnd"/>
      <w:r w:rsidRPr="00402968">
        <w:t xml:space="preserve"> Management Agents track ceded claims, match them to treaties, validate recoverable amounts, prepare billing packages, and flag disputes or documentation gaps.</w:t>
      </w:r>
    </w:p>
    <w:sectPr w:rsidR="000F4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0B"/>
    <w:rsid w:val="000F44D7"/>
    <w:rsid w:val="00402968"/>
    <w:rsid w:val="006458D9"/>
    <w:rsid w:val="00B8060B"/>
    <w:rsid w:val="00FE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66C1"/>
  <w15:chartTrackingRefBased/>
  <w15:docId w15:val="{3D9CC00B-48AD-4D6C-B1C8-122F6A4F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Lively</dc:creator>
  <cp:keywords/>
  <dc:description/>
  <cp:lastModifiedBy>Michael Lively</cp:lastModifiedBy>
  <cp:revision>2</cp:revision>
  <dcterms:created xsi:type="dcterms:W3CDTF">2026-07-07T01:57:00Z</dcterms:created>
  <dcterms:modified xsi:type="dcterms:W3CDTF">2026-07-07T01:57:00Z</dcterms:modified>
</cp:coreProperties>
</file>