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86"/>
          <w:sz w:val="36"/>
          <w:szCs w:val="36"/>
        </w:rPr>
        <w:t xml:space="preserve">Coral Atlantic Insurance Ltd. (fictitious)</w:t>
      </w:r>
    </w:p>
    <w:p>
      <w:pPr>
        <w:pBdr>
          <w:bottom w:val="single" w:color="E4572E" w:sz="8" w:space="4"/>
        </w:pBdr>
        <w:spacing w:after="220"/>
      </w:pPr>
      <w:r>
        <w:rPr>
          <w:color w:val="444444"/>
          <w:sz w:val="24"/>
          <w:szCs w:val="24"/>
        </w:rPr>
        <w:t xml:space="preserve">Resume Screening Lab — Test Set Answer Key (Instructor Only)</w:t>
      </w:r>
    </w:p>
    <w:p>
      <w:pPr>
        <w:spacing w:after="200" w:before="0"/>
      </w:pPr>
      <w:r>
        <w:rPr>
          <w:sz w:val="21"/>
          <w:szCs w:val="21"/>
        </w:rPr>
        <w:t xml:space="preserve">Eight fictitious resumes for testing the CoralCare HR Resume Reader agent against the Community Health Registered Nurse job description. The minimum non-negotiables in the JD are: (1) active Bermuda Nursing and Midwifery Council RN registration OR eligibility to register before the start date, (2) BSN, (3) minimum 2 years' RN experience, (4) current BLS, and (5) a valid Bermuda driver's licence with reliable transportation.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3100"/>
        <w:gridCol w:w="1860"/>
      </w:tblGrid>
      <w:tr>
        <w:tc>
          <w:tcPr>
            <w:tcW w:type="dxa" w:w="2100"/>
            <w:shd w:fill="D8EA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 (file)</w:t>
            </w:r>
          </w:p>
        </w:tc>
        <w:tc>
          <w:tcPr>
            <w:tcW w:type="dxa" w:w="2700"/>
            <w:shd w:fill="D8EA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 facts</w:t>
            </w:r>
          </w:p>
        </w:tc>
        <w:tc>
          <w:tcPr>
            <w:tcW w:type="dxa" w:w="3100"/>
            <w:shd w:fill="D8EA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  <w:tc>
          <w:tcPr>
            <w:tcW w:type="dxa" w:w="1860"/>
            <w:shd w:fill="D8EA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route</w:t>
            </w:r>
          </w:p>
        </w:tc>
      </w:tr>
      <w:tr>
        <w:tc>
          <w:tcPr>
            <w:tcW w:type="dxa" w:w="2100"/>
            <w:shd w:fill="E6F2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Emily R. Carter</w:t>
            </w:r>
          </w:p>
        </w:tc>
        <w:tc>
          <w:tcPr>
            <w:tcW w:type="dxa" w:w="2700"/>
            <w:shd w:fill="E6F2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BSN · CCRN · 6 yrs (incl. 2 yrs community health) · Bermuda NMC ACTIVE · Bermuda driver's licence · bilingual EN/Portuguese · works in Hamilton</w:t>
            </w:r>
          </w:p>
        </w:tc>
        <w:tc>
          <w:tcPr>
            <w:tcW w:type="dxa" w:w="3100"/>
            <w:shd w:fill="E6F2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Meets every minimum and most preferred qualifications</w:t>
            </w:r>
          </w:p>
        </w:tc>
        <w:tc>
          <w:tcPr>
            <w:tcW w:type="dxa" w:w="1860"/>
            <w:shd w:fill="E6F2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 — Auto-approve (90+): interview invite sent immediately</w:t>
            </w:r>
          </w:p>
        </w:tc>
      </w:tr>
      <w:tr>
        <w:tc>
          <w:tcPr>
            <w:tcW w:type="dxa" w:w="210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Sarah L. Holden</w:t>
            </w:r>
          </w:p>
        </w:tc>
        <w:tc>
          <w:tcPr>
            <w:tcW w:type="dxa" w:w="270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MSN · CCRN · 9 yrs ICU (Toronto) · Bermuda NMC registration IN PROCESS, eligible to register before start · no community health background</w:t>
            </w:r>
          </w:p>
        </w:tc>
        <w:tc>
          <w:tcPr>
            <w:tcW w:type="dxa" w:w="310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Meets minimums via the 'eligibility to register' clause; strong but not a direct fit</w:t>
            </w:r>
          </w:p>
        </w:tc>
        <w:tc>
          <w:tcPr>
            <w:tcW w:type="dxa" w:w="186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 (conditional) — HITL review (70–90): reviewer APPROVE/DECLINE</w:t>
            </w:r>
          </w:p>
        </w:tc>
      </w:tr>
      <w:tr>
        <w:tc>
          <w:tcPr>
            <w:tcW w:type="dxa" w:w="210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Daniel J. Morris</w:t>
            </w:r>
          </w:p>
        </w:tc>
        <w:tc>
          <w:tcPr>
            <w:tcW w:type="dxa" w:w="270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BSN · 3 yrs RN (PCU + ICU cross-training) · Bermuda NMC ACTIVE · Bermuda driver's licence · no community health experience</w:t>
            </w:r>
          </w:p>
        </w:tc>
        <w:tc>
          <w:tcPr>
            <w:tcW w:type="dxa" w:w="310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Meets all minimums; misses most preferred qualifications</w:t>
            </w:r>
          </w:p>
        </w:tc>
        <w:tc>
          <w:tcPr>
            <w:tcW w:type="dxa" w:w="186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 (conditional) — HITL review (70–90)</w:t>
            </w:r>
          </w:p>
        </w:tc>
      </w:tr>
      <w:tr>
        <w:tc>
          <w:tcPr>
            <w:tcW w:type="dxa" w:w="2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Michael T. Reyes</w:t>
            </w:r>
          </w:p>
        </w:tc>
        <w:tc>
          <w:tcPr>
            <w:tcW w:type="dxa" w:w="27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BSN · 4 yrs ICU · strong resume — but FLORIDA RN ONLY, no Bermuda registration or eligibility mentioned</w:t>
            </w:r>
          </w:p>
        </w:tc>
        <w:tc>
          <w:tcPr>
            <w:tcW w:type="dxa" w:w="3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Fails the non-negotiable Bermuda Nursing and Midwifery Council requirement</w:t>
            </w:r>
          </w:p>
        </w:tc>
        <w:tc>
          <w:tcPr>
            <w:tcW w:type="dxa" w:w="186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FAIL — Immediate rejection (the 'Bermuda condition' test)</w:t>
            </w:r>
          </w:p>
        </w:tc>
      </w:tr>
      <w:tr>
        <w:tc>
          <w:tcPr>
            <w:tcW w:type="dxa" w:w="2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Laura K. Nguyen</w:t>
            </w:r>
          </w:p>
        </w:tc>
        <w:tc>
          <w:tcPr>
            <w:tcW w:type="dxa" w:w="27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ADN (BSN in progress) · 14 months RN experience · Florida licence</w:t>
            </w:r>
          </w:p>
        </w:tc>
        <w:tc>
          <w:tcPr>
            <w:tcW w:type="dxa" w:w="3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Fails BSN requirement AND the 2-year minimum</w:t>
            </w:r>
          </w:p>
        </w:tc>
        <w:tc>
          <w:tcPr>
            <w:tcW w:type="dxa" w:w="186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FAIL — Immediate rejection</w:t>
            </w:r>
          </w:p>
        </w:tc>
      </w:tr>
      <w:tr>
        <w:tc>
          <w:tcPr>
            <w:tcW w:type="dxa" w:w="2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Rachel A. Thompson</w:t>
            </w:r>
          </w:p>
        </w:tc>
        <w:tc>
          <w:tcPr>
            <w:tcW w:type="dxa" w:w="27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LPN, 7 yrs long-term care — not a Registered Nurse</w:t>
            </w:r>
          </w:p>
        </w:tc>
        <w:tc>
          <w:tcPr>
            <w:tcW w:type="dxa" w:w="3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Fails RN licensure requirement</w:t>
            </w:r>
          </w:p>
        </w:tc>
        <w:tc>
          <w:tcPr>
            <w:tcW w:type="dxa" w:w="186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FAIL — Immediate rejection</w:t>
            </w:r>
          </w:p>
        </w:tc>
      </w:tr>
      <w:tr>
        <w:tc>
          <w:tcPr>
            <w:tcW w:type="dxa" w:w="2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Kevin M. Dalton</w:t>
            </w:r>
          </w:p>
        </w:tc>
        <w:tc>
          <w:tcPr>
            <w:tcW w:type="dxa" w:w="27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Medical Assistant, no nursing licence, no degree in nursing</w:t>
            </w:r>
          </w:p>
        </w:tc>
        <w:tc>
          <w:tcPr>
            <w:tcW w:type="dxa" w:w="3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Fails every minimum requirement</w:t>
            </w:r>
          </w:p>
        </w:tc>
        <w:tc>
          <w:tcPr>
            <w:tcW w:type="dxa" w:w="186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FAIL — Immediate rejection</w:t>
            </w:r>
          </w:p>
        </w:tc>
      </w:tr>
      <w:tr>
        <w:tc>
          <w:tcPr>
            <w:tcW w:type="dxa" w:w="2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Jordan M. Alvarez</w:t>
            </w:r>
          </w:p>
        </w:tc>
        <w:tc>
          <w:tcPr>
            <w:tcW w:type="dxa" w:w="27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MSW / LCSW hospital case worker — social worker, not a nurse</w:t>
            </w:r>
          </w:p>
        </w:tc>
        <w:tc>
          <w:tcPr>
            <w:tcW w:type="dxa" w:w="310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profession; fails RN licensure and BSN requirements</w:t>
            </w:r>
          </w:p>
        </w:tc>
        <w:tc>
          <w:tcPr>
            <w:tcW w:type="dxa" w:w="1860"/>
            <w:shd w:fill="FDEDE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FAIL — Immediate rejection</w:t>
            </w:r>
          </w:p>
        </w:tc>
      </w:tr>
    </w:tbl>
    <w:p>
      <w:pPr>
        <w:spacing w:after="60" w:before="0"/>
      </w:pPr>
      <w:r>
        <w:rPr>
          <w:sz w:val="21"/>
          <w:szCs w:val="21"/>
        </w:rPr>
        <w:t xml:space="preserve"> </w:t>
      </w:r>
    </w:p>
    <w:p>
      <w:pPr>
        <w:spacing w:after="120" w:before="160"/>
      </w:pPr>
      <w:r>
        <w:rPr>
          <w:b/>
          <w:bCs/>
          <w:color w:val="0A5A61"/>
          <w:sz w:val="23"/>
          <w:szCs w:val="23"/>
        </w:rPr>
        <w:t xml:space="preserve">Teaching notes</w:t>
      </w:r>
    </w:p>
    <w:p>
      <w:pPr>
        <w:spacing w:after="120" w:before="0"/>
      </w:pPr>
      <w:r>
        <w:rPr>
          <w:sz w:val="21"/>
          <w:szCs w:val="21"/>
        </w:rPr>
        <w:t xml:space="preserve">• Expected pass rate: 1 auto-approve, 2 human-in-the-loop, 5 immediate rejections. Run Michael Reyes right after Emily Carter — the resumes are similar in strength, and only the Bermuda registration separates their outcomes. That contrast is the core lesson.</w:t>
      </w:r>
    </w:p>
    <w:p>
      <w:pPr>
        <w:spacing w:after="120" w:before="0"/>
      </w:pPr>
      <w:r>
        <w:rPr>
          <w:sz w:val="21"/>
          <w:szCs w:val="21"/>
        </w:rPr>
        <w:t xml:space="preserve">• Sarah Holden tests whether the agent reads the JD's full wording: 'or eligibility to register prior to start date.' A poorly grounded agent will wrongly auto-reject her.</w:t>
      </w:r>
    </w:p>
    <w:p>
      <w:pPr>
        <w:spacing w:after="120" w:before="0"/>
      </w:pPr>
      <w:r>
        <w:rPr>
          <w:sz w:val="21"/>
          <w:szCs w:val="21"/>
        </w:rPr>
        <w:t xml:space="preserve">• Scores in the 70–90 band are model-judgment calls, so Daniel and Sarah may occasionally land just above or below the thresholds between runs — that variability is itself worth discussing with trainees.</w:t>
      </w:r>
    </w:p>
    <w:p>
      <w:pPr>
        <w:spacing w:after="120" w:before="0"/>
      </w:pPr>
      <w:r>
        <w:rPr>
          <w:sz w:val="21"/>
          <w:szCs w:val="21"/>
        </w:rPr>
        <w:t xml:space="preserve">• The rejection emails should never disclose scores or reasons; check the outbound drafts during the demo.</w:t>
      </w:r>
    </w:p>
    <w:p>
      <w:pPr>
        <w:pBdr>
          <w:top w:val="single" w:color="BBBBBB" w:sz="4" w:space="4"/>
        </w:pBdr>
        <w:spacing w:before="300"/>
      </w:pPr>
      <w:r>
        <w:rPr>
          <w:i/>
          <w:iCs/>
          <w:color w:val="888888"/>
          <w:sz w:val="16"/>
          <w:szCs w:val="16"/>
        </w:rPr>
        <w:t xml:space="preserve">All candidates, employers and credentials in this test set are entirely fictitious and created solely for AI training purposes.</w:t>
      </w:r>
    </w:p>
    <w:sectPr>
      <w:pgSz w:w="12240" w:h="15840" w:orient="portrait"/>
      <w:pgMar w:top="1080" w:right="1140" w:bottom="1080" w:left="11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2026-07-04T09:18:59.059Z</dcterms:created>
  <dcterms:modified xsi:type="dcterms:W3CDTF">2026-07-04T09:18:59.073Z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