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0"/>
          <w:szCs w:val="40"/>
        </w:rPr>
        <w:t xml:space="preserve">Meridian Re (Bermuda) Ltd</w:t>
      </w:r>
    </w:p>
    <w:p>
      <w:pPr>
        <w:spacing w:after="60"/>
        <w:jc w:val="center"/>
      </w:pPr>
      <w:r>
        <w:rPr>
          <w:rFonts w:ascii="Calibri" w:cs="Calibri" w:eastAsia="Calibri" w:hAnsi="Calibri"/>
          <w:color w:val="2E5395"/>
          <w:sz w:val="26"/>
          <w:szCs w:val="26"/>
        </w:rPr>
        <w:t xml:space="preserve">Reinsurance Knowledge Base — Agent Training Document</w:t>
      </w:r>
    </w:p>
    <w:p>
      <w:pPr>
        <w:spacing w:after="300"/>
        <w:jc w:val="center"/>
      </w:pPr>
      <w:r>
        <w:rPr>
          <w:rFonts w:ascii="Calibri" w:cs="Calibri" w:eastAsia="Calibri" w:hAnsi="Calibri"/>
          <w:i/>
          <w:iCs/>
          <w:color w:val="808080"/>
          <w:sz w:val="18"/>
          <w:szCs w:val="18"/>
        </w:rPr>
        <w:t xml:space="preserve">SYNTHETIC DATA — all companies, treaties, events and figures are fictional</w:t>
      </w:r>
    </w:p>
    <w:p>
      <w:pPr>
        <w:pStyle w:val="Heading1"/>
        <w:spacing w:after="160" w:before="320"/>
      </w:pPr>
      <w:r>
        <w:rPr>
          <w:rFonts w:ascii="Calibri" w:cs="Calibri" w:eastAsia="Calibri" w:hAnsi="Calibri"/>
          <w:b/>
          <w:bCs/>
          <w:color w:val="1F3864"/>
          <w:sz w:val="30"/>
          <w:szCs w:val="30"/>
        </w:rPr>
        <w:t xml:space="preserve">1. Company Overview</w:t>
      </w:r>
    </w:p>
    <w:p>
      <w:pPr>
        <w:spacing w:after="160"/>
      </w:pPr>
      <w:r>
        <w:rPr>
          <w:rFonts w:ascii="Calibri" w:cs="Calibri" w:eastAsia="Calibri" w:hAnsi="Calibri"/>
          <w:sz w:val="22"/>
          <w:szCs w:val="22"/>
        </w:rPr>
        <w:t xml:space="preserve">Meridian Re (Bermuda) Ltd is a fictional reinsurance company created for internal training. It is presented as a Class 4 reinsurer domiciled in Hamilton, Bermuda, writing a diversified book of treaty reinsurance across property catastrophe, casualty, specialty lines, and life.</w:t>
      </w:r>
    </w:p>
    <w:p>
      <w:pPr>
        <w:pStyle w:val="ListParagraph"/>
        <w:numPr>
          <w:ilvl w:val="0"/>
          <w:numId w:val="2"/>
        </w:numPr>
        <w:spacing w:after="100"/>
      </w:pPr>
      <w:r>
        <w:rPr>
          <w:rFonts w:ascii="Calibri" w:cs="Calibri" w:eastAsia="Calibri" w:hAnsi="Calibri"/>
          <w:sz w:val="22"/>
          <w:szCs w:val="22"/>
        </w:rPr>
        <w:t xml:space="preserve">Founded (fictionally) in 2012; approximately $2.1 billion in capital.</w:t>
      </w:r>
    </w:p>
    <w:p>
      <w:pPr>
        <w:pStyle w:val="ListParagraph"/>
        <w:numPr>
          <w:ilvl w:val="0"/>
          <w:numId w:val="2"/>
        </w:numPr>
        <w:spacing w:after="100"/>
      </w:pPr>
      <w:r>
        <w:rPr>
          <w:rFonts w:ascii="Calibri" w:cs="Calibri" w:eastAsia="Calibri" w:hAnsi="Calibri"/>
          <w:sz w:val="22"/>
          <w:szCs w:val="22"/>
        </w:rPr>
        <w:t xml:space="preserve">2026 portfolio: 14 in-force treaties plus 1 pending, roughly $196m of ceded premium.</w:t>
      </w:r>
    </w:p>
    <w:p>
      <w:pPr>
        <w:pStyle w:val="ListParagraph"/>
        <w:numPr>
          <w:ilvl w:val="0"/>
          <w:numId w:val="2"/>
        </w:numPr>
        <w:spacing w:after="100"/>
      </w:pPr>
      <w:r>
        <w:rPr>
          <w:rFonts w:ascii="Calibri" w:cs="Calibri" w:eastAsia="Calibri" w:hAnsi="Calibri"/>
          <w:sz w:val="22"/>
          <w:szCs w:val="22"/>
        </w:rPr>
        <w:t xml:space="preserve">Business is sourced primarily through the four major reinsurance brokers, with one direct life relationship.</w:t>
      </w:r>
    </w:p>
    <w:p>
      <w:pPr>
        <w:pStyle w:val="ListParagraph"/>
        <w:numPr>
          <w:ilvl w:val="0"/>
          <w:numId w:val="2"/>
        </w:numPr>
        <w:spacing w:after="100"/>
      </w:pPr>
      <w:r>
        <w:rPr>
          <w:rFonts w:ascii="Calibri" w:cs="Calibri" w:eastAsia="Calibri" w:hAnsi="Calibri"/>
          <w:sz w:val="22"/>
          <w:szCs w:val="22"/>
        </w:rPr>
        <w:t xml:space="preserve">The company buys retrocession to protect against peak catastrophe events.</w:t>
      </w:r>
    </w:p>
    <w:p>
      <w:pPr>
        <w:pStyle w:val="Heading1"/>
        <w:spacing w:after="160" w:before="320"/>
      </w:pPr>
      <w:r>
        <w:rPr>
          <w:rFonts w:ascii="Calibri" w:cs="Calibri" w:eastAsia="Calibri" w:hAnsi="Calibri"/>
          <w:b/>
          <w:bCs/>
          <w:color w:val="1F3864"/>
          <w:sz w:val="30"/>
          <w:szCs w:val="30"/>
        </w:rPr>
        <w:t xml:space="preserve">2. How Reinsurance Works — The Basics</w:t>
      </w:r>
    </w:p>
    <w:p>
      <w:pPr>
        <w:spacing w:after="160"/>
      </w:pPr>
      <w:r>
        <w:rPr>
          <w:rFonts w:ascii="Calibri" w:cs="Calibri" w:eastAsia="Calibri" w:hAnsi="Calibri"/>
          <w:sz w:val="22"/>
          <w:szCs w:val="22"/>
        </w:rPr>
        <w:t xml:space="preserve">Insurance companies (cedents) transfer part of their risk to reinsurers in exchange for premium. This lets them write more business than their own capital would allow, smooth earnings volatility, and survive catastrophic events. Reinsurance comes in two broad families:</w:t>
      </w:r>
    </w:p>
    <w:p>
      <w:pPr>
        <w:pStyle w:val="Heading2"/>
        <w:spacing w:after="120" w:before="240"/>
      </w:pPr>
      <w:r>
        <w:rPr>
          <w:rFonts w:ascii="Calibri" w:cs="Calibri" w:eastAsia="Calibri" w:hAnsi="Calibri"/>
          <w:b/>
          <w:bCs/>
          <w:color w:val="2E5395"/>
          <w:sz w:val="25"/>
          <w:szCs w:val="25"/>
        </w:rPr>
        <w:t xml:space="preserve">Proportional (pro-rata)</w:t>
      </w:r>
    </w:p>
    <w:p>
      <w:pPr>
        <w:spacing w:after="160"/>
      </w:pPr>
      <w:r>
        <w:rPr>
          <w:rFonts w:ascii="Calibri" w:cs="Calibri" w:eastAsia="Calibri" w:hAnsi="Calibri"/>
          <w:sz w:val="22"/>
          <w:szCs w:val="22"/>
        </w:rPr>
        <w:t xml:space="preserve">The reinsurer takes an agreed share of the cedent's premiums and losses. In a 30% quota share, the reinsurer receives 30% of premium and pays 30% of every loss, and typically pays the cedent a ceding commission to cover acquisition costs.</w:t>
      </w:r>
    </w:p>
    <w:p>
      <w:pPr>
        <w:pStyle w:val="Heading2"/>
        <w:spacing w:after="120" w:before="240"/>
      </w:pPr>
      <w:r>
        <w:rPr>
          <w:rFonts w:ascii="Calibri" w:cs="Calibri" w:eastAsia="Calibri" w:hAnsi="Calibri"/>
          <w:b/>
          <w:bCs/>
          <w:color w:val="2E5395"/>
          <w:sz w:val="25"/>
          <w:szCs w:val="25"/>
        </w:rPr>
        <w:t xml:space="preserve">Non-proportional (excess of loss)</w:t>
      </w:r>
    </w:p>
    <w:p>
      <w:pPr>
        <w:spacing w:after="160"/>
      </w:pPr>
      <w:r>
        <w:rPr>
          <w:rFonts w:ascii="Calibri" w:cs="Calibri" w:eastAsia="Calibri" w:hAnsi="Calibri"/>
          <w:sz w:val="22"/>
          <w:szCs w:val="22"/>
        </w:rPr>
        <w:t xml:space="preserve">The reinsurer only pays when a loss exceeds the cedent's retention, up to an agreed limit. A '$125m excess of $25m' Cat XL means the cedent keeps the first $25m of an event and the reinsurer pays the next $125m. Pricing is quoted as a rate rather than a share of premium.</w:t>
      </w:r>
    </w:p>
    <w:p>
      <w:pPr>
        <w:pStyle w:val="Heading1"/>
        <w:spacing w:after="160" w:before="320"/>
      </w:pPr>
      <w:r>
        <w:rPr>
          <w:rFonts w:ascii="Calibri" w:cs="Calibri" w:eastAsia="Calibri" w:hAnsi="Calibri"/>
          <w:b/>
          <w:bCs/>
          <w:color w:val="1F3864"/>
          <w:sz w:val="30"/>
          <w:szCs w:val="30"/>
        </w:rPr>
        <w:t xml:space="preserve">3.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Term</w:t>
            </w:r>
          </w:p>
        </w:tc>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Definition</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Cedent (ceding company)</w:t>
            </w:r>
          </w:p>
        </w:tc>
        <w:tc>
          <w:tcPr>
            <w:tcW w:type="dxa" w:w="6560"/>
            <w:tcMar>
              <w:top w:type="dxa" w:w="80"/>
              <w:left w:type="dxa" w:w="120"/>
              <w:bottom w:type="dxa" w:w="80"/>
              <w:right w:type="dxa" w:w="120"/>
            </w:tcMar>
          </w:tcPr>
          <w:p>
            <w:r>
              <w:rPr>
                <w:rFonts w:ascii="Calibri" w:cs="Calibri" w:eastAsia="Calibri" w:hAnsi="Calibri"/>
                <w:sz w:val="22"/>
                <w:szCs w:val="22"/>
              </w:rPr>
              <w:t xml:space="preserve">The insurance company that transfers (cedes) part of its risk to a reinsurer. Example: Coastal Homes Insurance cedes 25% of its homeowners book to Meridian Re.</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Reinsurer</w:t>
            </w:r>
          </w:p>
        </w:tc>
        <w:tc>
          <w:tcPr>
            <w:tcW w:type="dxa" w:w="6560"/>
            <w:tcMar>
              <w:top w:type="dxa" w:w="80"/>
              <w:left w:type="dxa" w:w="120"/>
              <w:bottom w:type="dxa" w:w="80"/>
              <w:right w:type="dxa" w:w="120"/>
            </w:tcMar>
          </w:tcPr>
          <w:p>
            <w:r>
              <w:rPr>
                <w:rFonts w:ascii="Calibri" w:cs="Calibri" w:eastAsia="Calibri" w:hAnsi="Calibri"/>
                <w:sz w:val="22"/>
                <w:szCs w:val="22"/>
              </w:rPr>
              <w:t xml:space="preserve">The company that accepts risk from the cedent in exchange for premium. Meridian Re is the reinsurer in all treaties in our register.</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Retrocession</w:t>
            </w:r>
          </w:p>
        </w:tc>
        <w:tc>
          <w:tcPr>
            <w:tcW w:type="dxa" w:w="6560"/>
            <w:tcMar>
              <w:top w:type="dxa" w:w="80"/>
              <w:left w:type="dxa" w:w="120"/>
              <w:bottom w:type="dxa" w:w="80"/>
              <w:right w:type="dxa" w:w="120"/>
            </w:tcMar>
          </w:tcPr>
          <w:p>
            <w:r>
              <w:rPr>
                <w:rFonts w:ascii="Calibri" w:cs="Calibri" w:eastAsia="Calibri" w:hAnsi="Calibri"/>
                <w:sz w:val="22"/>
                <w:szCs w:val="22"/>
              </w:rPr>
              <w:t xml:space="preserve">Reinsurance purchased by a reinsurer to protect its own portfolio. Treaty MR-2026-013 is Meridian Re buying retro protection.</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Treaty reinsurance</w:t>
            </w:r>
          </w:p>
        </w:tc>
        <w:tc>
          <w:tcPr>
            <w:tcW w:type="dxa" w:w="6560"/>
            <w:tcMar>
              <w:top w:type="dxa" w:w="80"/>
              <w:left w:type="dxa" w:w="120"/>
              <w:bottom w:type="dxa" w:w="80"/>
              <w:right w:type="dxa" w:w="120"/>
            </w:tcMar>
          </w:tcPr>
          <w:p>
            <w:r>
              <w:rPr>
                <w:rFonts w:ascii="Calibri" w:cs="Calibri" w:eastAsia="Calibri" w:hAnsi="Calibri"/>
                <w:sz w:val="22"/>
                <w:szCs w:val="22"/>
              </w:rPr>
              <w:t xml:space="preserve">A standing agreement covering a whole portfolio or class of business automatically, as opposed to facultative reinsurance which covers one risk at a time.</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Proportional (pro-rata)</w:t>
            </w:r>
          </w:p>
        </w:tc>
        <w:tc>
          <w:tcPr>
            <w:tcW w:type="dxa" w:w="6560"/>
            <w:tcMar>
              <w:top w:type="dxa" w:w="80"/>
              <w:left w:type="dxa" w:w="120"/>
              <w:bottom w:type="dxa" w:w="80"/>
              <w:right w:type="dxa" w:w="120"/>
            </w:tcMar>
          </w:tcPr>
          <w:p>
            <w:r>
              <w:rPr>
                <w:rFonts w:ascii="Calibri" w:cs="Calibri" w:eastAsia="Calibri" w:hAnsi="Calibri"/>
                <w:sz w:val="22"/>
                <w:szCs w:val="22"/>
              </w:rPr>
              <w:t xml:space="preserve">The reinsurer takes a fixed share of premium and losses. Includes quota share and surplus share.</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Quota share</w:t>
            </w:r>
          </w:p>
        </w:tc>
        <w:tc>
          <w:tcPr>
            <w:tcW w:type="dxa" w:w="6560"/>
            <w:tcMar>
              <w:top w:type="dxa" w:w="80"/>
              <w:left w:type="dxa" w:w="120"/>
              <w:bottom w:type="dxa" w:w="80"/>
              <w:right w:type="dxa" w:w="120"/>
            </w:tcMar>
          </w:tcPr>
          <w:p>
            <w:r>
              <w:rPr>
                <w:rFonts w:ascii="Calibri" w:cs="Calibri" w:eastAsia="Calibri" w:hAnsi="Calibri"/>
                <w:sz w:val="22"/>
                <w:szCs w:val="22"/>
              </w:rPr>
              <w:t xml:space="preserve">A proportional treaty where a fixed percentage of every policy is ceded. Example: our 30% quota share with Ironclad P&amp;C (MR-2026-003).</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Surplus share</w:t>
            </w:r>
          </w:p>
        </w:tc>
        <w:tc>
          <w:tcPr>
            <w:tcW w:type="dxa" w:w="6560"/>
            <w:tcMar>
              <w:top w:type="dxa" w:w="80"/>
              <w:left w:type="dxa" w:w="120"/>
              <w:bottom w:type="dxa" w:w="80"/>
              <w:right w:type="dxa" w:w="120"/>
            </w:tcMar>
          </w:tcPr>
          <w:p>
            <w:r>
              <w:rPr>
                <w:rFonts w:ascii="Calibri" w:cs="Calibri" w:eastAsia="Calibri" w:hAnsi="Calibri"/>
                <w:sz w:val="22"/>
                <w:szCs w:val="22"/>
              </w:rPr>
              <w:t xml:space="preserve">A proportional treaty where only the amount above the cedent's retained line is ceded, so the ceded percentage varies by risk size.</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Non-proportional (excess of loss / XL)</w:t>
            </w:r>
          </w:p>
        </w:tc>
        <w:tc>
          <w:tcPr>
            <w:tcW w:type="dxa" w:w="6560"/>
            <w:tcMar>
              <w:top w:type="dxa" w:w="80"/>
              <w:left w:type="dxa" w:w="120"/>
              <w:bottom w:type="dxa" w:w="80"/>
              <w:right w:type="dxa" w:w="120"/>
            </w:tcMar>
          </w:tcPr>
          <w:p>
            <w:r>
              <w:rPr>
                <w:rFonts w:ascii="Calibri" w:cs="Calibri" w:eastAsia="Calibri" w:hAnsi="Calibri"/>
                <w:sz w:val="22"/>
                <w:szCs w:val="22"/>
              </w:rPr>
              <w:t xml:space="preserve">The reinsurer pays only when losses exceed an agreed retention (attachment point), up to a limit. Premium is a rate, not a share.</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Catastrophe XL (Cat XL)</w:t>
            </w:r>
          </w:p>
        </w:tc>
        <w:tc>
          <w:tcPr>
            <w:tcW w:type="dxa" w:w="6560"/>
            <w:tcMar>
              <w:top w:type="dxa" w:w="80"/>
              <w:left w:type="dxa" w:w="120"/>
              <w:bottom w:type="dxa" w:w="80"/>
              <w:right w:type="dxa" w:w="120"/>
            </w:tcMar>
          </w:tcPr>
          <w:p>
            <w:r>
              <w:rPr>
                <w:rFonts w:ascii="Calibri" w:cs="Calibri" w:eastAsia="Calibri" w:hAnsi="Calibri"/>
                <w:sz w:val="22"/>
                <w:szCs w:val="22"/>
              </w:rPr>
              <w:t xml:space="preserve">Excess of loss cover triggered by accumulated losses from a single catastrophic event such as a hurricane or earthquake.</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Retention / attachment point</w:t>
            </w:r>
          </w:p>
        </w:tc>
        <w:tc>
          <w:tcPr>
            <w:tcW w:type="dxa" w:w="6560"/>
            <w:tcMar>
              <w:top w:type="dxa" w:w="80"/>
              <w:left w:type="dxa" w:w="120"/>
              <w:bottom w:type="dxa" w:w="80"/>
              <w:right w:type="dxa" w:w="120"/>
            </w:tcMar>
          </w:tcPr>
          <w:p>
            <w:r>
              <w:rPr>
                <w:rFonts w:ascii="Calibri" w:cs="Calibri" w:eastAsia="Calibri" w:hAnsi="Calibri"/>
                <w:sz w:val="22"/>
                <w:szCs w:val="22"/>
              </w:rPr>
              <w:t xml:space="preserve">The amount of loss the cedent keeps before reinsurance responds. On MR-2026-001, Northbridge retains the first $25m of a cat event.</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Limit</w:t>
            </w:r>
          </w:p>
        </w:tc>
        <w:tc>
          <w:tcPr>
            <w:tcW w:type="dxa" w:w="6560"/>
            <w:tcMar>
              <w:top w:type="dxa" w:w="80"/>
              <w:left w:type="dxa" w:w="120"/>
              <w:bottom w:type="dxa" w:w="80"/>
              <w:right w:type="dxa" w:w="120"/>
            </w:tcMar>
          </w:tcPr>
          <w:p>
            <w:r>
              <w:rPr>
                <w:rFonts w:ascii="Calibri" w:cs="Calibri" w:eastAsia="Calibri" w:hAnsi="Calibri"/>
                <w:sz w:val="22"/>
                <w:szCs w:val="22"/>
              </w:rPr>
              <w:t xml:space="preserve">The maximum amount the reinsurer will pay under the treaty, above the retention.</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Rate on line (ROL)</w:t>
            </w:r>
          </w:p>
        </w:tc>
        <w:tc>
          <w:tcPr>
            <w:tcW w:type="dxa" w:w="6560"/>
            <w:tcMar>
              <w:top w:type="dxa" w:w="80"/>
              <w:left w:type="dxa" w:w="120"/>
              <w:bottom w:type="dxa" w:w="80"/>
              <w:right w:type="dxa" w:w="120"/>
            </w:tcMar>
          </w:tcPr>
          <w:p>
            <w:r>
              <w:rPr>
                <w:rFonts w:ascii="Calibri" w:cs="Calibri" w:eastAsia="Calibri" w:hAnsi="Calibri"/>
                <w:sz w:val="22"/>
                <w:szCs w:val="22"/>
              </w:rPr>
              <w:t xml:space="preserve">Premium divided by limit on an XL treaty, expressed as a percentage. A common price gauge in property cat.</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Ceding commission</w:t>
            </w:r>
          </w:p>
        </w:tc>
        <w:tc>
          <w:tcPr>
            <w:tcW w:type="dxa" w:w="6560"/>
            <w:tcMar>
              <w:top w:type="dxa" w:w="80"/>
              <w:left w:type="dxa" w:w="120"/>
              <w:bottom w:type="dxa" w:w="80"/>
              <w:right w:type="dxa" w:w="120"/>
            </w:tcMar>
          </w:tcPr>
          <w:p>
            <w:r>
              <w:rPr>
                <w:rFonts w:ascii="Calibri" w:cs="Calibri" w:eastAsia="Calibri" w:hAnsi="Calibri"/>
                <w:sz w:val="22"/>
                <w:szCs w:val="22"/>
              </w:rPr>
              <w:t xml:space="preserve">A commission the reinsurer pays the cedent on proportional business to cover acquisition costs, typically 25–35% of ceded premium.</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Bordereau</w:t>
            </w:r>
          </w:p>
        </w:tc>
        <w:tc>
          <w:tcPr>
            <w:tcW w:type="dxa" w:w="6560"/>
            <w:tcMar>
              <w:top w:type="dxa" w:w="80"/>
              <w:left w:type="dxa" w:w="120"/>
              <w:bottom w:type="dxa" w:w="80"/>
              <w:right w:type="dxa" w:w="120"/>
            </w:tcMar>
          </w:tcPr>
          <w:p>
            <w:r>
              <w:rPr>
                <w:rFonts w:ascii="Calibri" w:cs="Calibri" w:eastAsia="Calibri" w:hAnsi="Calibri"/>
                <w:sz w:val="22"/>
                <w:szCs w:val="22"/>
              </w:rPr>
              <w:t xml:space="preserve">A periodic report from the cedent listing premiums or claims ceded under a treaty. Our Claims Bordereau tab is an example.</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Loss ratio</w:t>
            </w:r>
          </w:p>
        </w:tc>
        <w:tc>
          <w:tcPr>
            <w:tcW w:type="dxa" w:w="6560"/>
            <w:tcMar>
              <w:top w:type="dxa" w:w="80"/>
              <w:left w:type="dxa" w:w="120"/>
              <w:bottom w:type="dxa" w:w="80"/>
              <w:right w:type="dxa" w:w="120"/>
            </w:tcMar>
          </w:tcPr>
          <w:p>
            <w:r>
              <w:rPr>
                <w:rFonts w:ascii="Calibri" w:cs="Calibri" w:eastAsia="Calibri" w:hAnsi="Calibri"/>
                <w:sz w:val="22"/>
                <w:szCs w:val="22"/>
              </w:rPr>
              <w:t xml:space="preserve">Incurred losses divided by earned premium. A key profitability measure — see the Portfolio Summary tab.</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Combined ratio</w:t>
            </w:r>
          </w:p>
        </w:tc>
        <w:tc>
          <w:tcPr>
            <w:tcW w:type="dxa" w:w="6560"/>
            <w:tcMar>
              <w:top w:type="dxa" w:w="80"/>
              <w:left w:type="dxa" w:w="120"/>
              <w:bottom w:type="dxa" w:w="80"/>
              <w:right w:type="dxa" w:w="120"/>
            </w:tcMar>
          </w:tcPr>
          <w:p>
            <w:r>
              <w:rPr>
                <w:rFonts w:ascii="Calibri" w:cs="Calibri" w:eastAsia="Calibri" w:hAnsi="Calibri"/>
                <w:sz w:val="22"/>
                <w:szCs w:val="22"/>
              </w:rPr>
              <w:t xml:space="preserve">Loss ratio plus expense ratio. Below 100% means underwriting profit.</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Reinstatement</w:t>
            </w:r>
          </w:p>
        </w:tc>
        <w:tc>
          <w:tcPr>
            <w:tcW w:type="dxa" w:w="6560"/>
            <w:tcMar>
              <w:top w:type="dxa" w:w="80"/>
              <w:left w:type="dxa" w:w="120"/>
              <w:bottom w:type="dxa" w:w="80"/>
              <w:right w:type="dxa" w:w="120"/>
            </w:tcMar>
          </w:tcPr>
          <w:p>
            <w:r>
              <w:rPr>
                <w:rFonts w:ascii="Calibri" w:cs="Calibri" w:eastAsia="Calibri" w:hAnsi="Calibri"/>
                <w:sz w:val="22"/>
                <w:szCs w:val="22"/>
              </w:rPr>
              <w:t xml:space="preserve">A provision restoring the limit of an XL treaty after a loss, usually for an additional premium.</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IBNR</w:t>
            </w:r>
          </w:p>
        </w:tc>
        <w:tc>
          <w:tcPr>
            <w:tcW w:type="dxa" w:w="6560"/>
            <w:tcMar>
              <w:top w:type="dxa" w:w="80"/>
              <w:left w:type="dxa" w:w="120"/>
              <w:bottom w:type="dxa" w:w="80"/>
              <w:right w:type="dxa" w:w="120"/>
            </w:tcMar>
          </w:tcPr>
          <w:p>
            <w:r>
              <w:rPr>
                <w:rFonts w:ascii="Calibri" w:cs="Calibri" w:eastAsia="Calibri" w:hAnsi="Calibri"/>
                <w:sz w:val="22"/>
                <w:szCs w:val="22"/>
              </w:rPr>
              <w:t xml:space="preserve">Incurred But Not Reported — a reserve for losses that have occurred but haven't been reported to the (re)insurer yet.</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Probable Maximum Loss (PML)</w:t>
            </w:r>
          </w:p>
        </w:tc>
        <w:tc>
          <w:tcPr>
            <w:tcW w:type="dxa" w:w="6560"/>
            <w:tcMar>
              <w:top w:type="dxa" w:w="80"/>
              <w:left w:type="dxa" w:w="120"/>
              <w:bottom w:type="dxa" w:w="80"/>
              <w:right w:type="dxa" w:w="120"/>
            </w:tcMar>
          </w:tcPr>
          <w:p>
            <w:r>
              <w:rPr>
                <w:rFonts w:ascii="Calibri" w:cs="Calibri" w:eastAsia="Calibri" w:hAnsi="Calibri"/>
                <w:sz w:val="22"/>
                <w:szCs w:val="22"/>
              </w:rPr>
              <w:t xml:space="preserve">An estimate of the largest loss reasonably expected from a single event, used to size cat capacity.</w:t>
            </w:r>
          </w:p>
        </w:tc>
      </w:tr>
      <w:tr>
        <w:tc>
          <w:tcPr>
            <w:tcW w:type="dxa" w:w="2800"/>
            <w:shd w:fill="D9E2F3" w:val="clear"/>
            <w:tcMar>
              <w:top w:type="dxa" w:w="80"/>
              <w:left w:type="dxa" w:w="120"/>
              <w:bottom w:type="dxa" w:w="80"/>
              <w:right w:type="dxa" w:w="120"/>
            </w:tcMar>
          </w:tcPr>
          <w:p>
            <w:r>
              <w:rPr>
                <w:rFonts w:ascii="Calibri" w:cs="Calibri" w:eastAsia="Calibri" w:hAnsi="Calibri"/>
                <w:b/>
                <w:bCs/>
                <w:sz w:val="22"/>
                <w:szCs w:val="22"/>
              </w:rPr>
              <w:t xml:space="preserve">Broker</w:t>
            </w:r>
          </w:p>
        </w:tc>
        <w:tc>
          <w:tcPr>
            <w:tcW w:type="dxa" w:w="6560"/>
            <w:tcMar>
              <w:top w:type="dxa" w:w="80"/>
              <w:left w:type="dxa" w:w="120"/>
              <w:bottom w:type="dxa" w:w="80"/>
              <w:right w:type="dxa" w:w="120"/>
            </w:tcMar>
          </w:tcPr>
          <w:p>
            <w:r>
              <w:rPr>
                <w:rFonts w:ascii="Calibri" w:cs="Calibri" w:eastAsia="Calibri" w:hAnsi="Calibri"/>
                <w:sz w:val="22"/>
                <w:szCs w:val="22"/>
              </w:rPr>
              <w:t xml:space="preserve">An intermediary (e.g., Aon, Guy Carpenter, Gallagher Re, Howden Re) that places reinsurance between cedents and reinsurers.</w:t>
            </w:r>
          </w:p>
        </w:tc>
      </w:tr>
    </w:tbl>
    <w:p>
      <w:r>
        <w:br w:type="page"/>
      </w:r>
    </w:p>
    <w:p>
      <w:pPr>
        <w:pStyle w:val="Heading1"/>
        <w:spacing w:after="160" w:before="320"/>
      </w:pPr>
      <w:r>
        <w:rPr>
          <w:rFonts w:ascii="Calibri" w:cs="Calibri" w:eastAsia="Calibri" w:hAnsi="Calibri"/>
          <w:b/>
          <w:bCs/>
          <w:color w:val="1F3864"/>
          <w:sz w:val="30"/>
          <w:szCs w:val="30"/>
        </w:rPr>
        <w:t xml:space="preserve">4. Frequently Asked Questions</w:t>
      </w:r>
    </w:p>
    <w:p>
      <w:pPr>
        <w:spacing w:after="80" w:before="200"/>
      </w:pPr>
      <w:r>
        <w:rPr>
          <w:rFonts w:ascii="Calibri" w:cs="Calibri" w:eastAsia="Calibri" w:hAnsi="Calibri"/>
          <w:b/>
          <w:bCs/>
          <w:color w:val="1F3864"/>
          <w:sz w:val="22"/>
          <w:szCs w:val="22"/>
        </w:rPr>
        <w:t xml:space="preserve">Q: What does Meridian Re do?</w:t>
      </w:r>
    </w:p>
    <w:p>
      <w:pPr>
        <w:spacing w:after="160"/>
      </w:pPr>
      <w:r>
        <w:rPr>
          <w:rFonts w:ascii="Calibri" w:cs="Calibri" w:eastAsia="Calibri" w:hAnsi="Calibri"/>
          <w:sz w:val="22"/>
          <w:szCs w:val="22"/>
        </w:rPr>
        <w:t xml:space="preserve">A: Meridian Re (Bermuda) Ltd is a fictional Class 4 Bermuda reinsurer created for training. It writes property catastrophe, casualty, specialty and life reinsurance for insurance companies (cedents) worldwide, sourced mainly through brokers.</w:t>
      </w:r>
    </w:p>
    <w:p>
      <w:pPr>
        <w:spacing w:after="80" w:before="200"/>
      </w:pPr>
      <w:r>
        <w:rPr>
          <w:rFonts w:ascii="Calibri" w:cs="Calibri" w:eastAsia="Calibri" w:hAnsi="Calibri"/>
          <w:b/>
          <w:bCs/>
          <w:color w:val="1F3864"/>
          <w:sz w:val="22"/>
          <w:szCs w:val="22"/>
        </w:rPr>
        <w:t xml:space="preserve">Q: What is the difference between insurance and reinsurance?</w:t>
      </w:r>
    </w:p>
    <w:p>
      <w:pPr>
        <w:spacing w:after="160"/>
      </w:pPr>
      <w:r>
        <w:rPr>
          <w:rFonts w:ascii="Calibri" w:cs="Calibri" w:eastAsia="Calibri" w:hAnsi="Calibri"/>
          <w:sz w:val="22"/>
          <w:szCs w:val="22"/>
        </w:rPr>
        <w:t xml:space="preserve">A: Insurance protects individuals and businesses. Reinsurance protects insurance companies — it is 'insurance for insurers.' It lets insurers write more business, stabilize results, and survive catastrophes.</w:t>
      </w:r>
    </w:p>
    <w:p>
      <w:pPr>
        <w:spacing w:after="80" w:before="200"/>
      </w:pPr>
      <w:r>
        <w:rPr>
          <w:rFonts w:ascii="Calibri" w:cs="Calibri" w:eastAsia="Calibri" w:hAnsi="Calibri"/>
          <w:b/>
          <w:bCs/>
          <w:color w:val="1F3864"/>
          <w:sz w:val="22"/>
          <w:szCs w:val="22"/>
        </w:rPr>
        <w:t xml:space="preserve">Q: What is the difference between proportional and non-proportional reinsurance?</w:t>
      </w:r>
    </w:p>
    <w:p>
      <w:pPr>
        <w:spacing w:after="160"/>
      </w:pPr>
      <w:r>
        <w:rPr>
          <w:rFonts w:ascii="Calibri" w:cs="Calibri" w:eastAsia="Calibri" w:hAnsi="Calibri"/>
          <w:sz w:val="22"/>
          <w:szCs w:val="22"/>
        </w:rPr>
        <w:t xml:space="preserve">A: In proportional treaties the reinsurer shares premium and losses in a fixed or variable proportion (quota share, surplus). In non-proportional treaties the reinsurer only pays losses above a retention, up to a limit (excess of loss).</w:t>
      </w:r>
    </w:p>
    <w:p>
      <w:pPr>
        <w:spacing w:after="80" w:before="200"/>
      </w:pPr>
      <w:r>
        <w:rPr>
          <w:rFonts w:ascii="Calibri" w:cs="Calibri" w:eastAsia="Calibri" w:hAnsi="Calibri"/>
          <w:b/>
          <w:bCs/>
          <w:color w:val="1F3864"/>
          <w:sz w:val="22"/>
          <w:szCs w:val="22"/>
        </w:rPr>
        <w:t xml:space="preserve">Q: How is Meridian Re paid on a Cat XL treaty?</w:t>
      </w:r>
    </w:p>
    <w:p>
      <w:pPr>
        <w:spacing w:after="160"/>
      </w:pPr>
      <w:r>
        <w:rPr>
          <w:rFonts w:ascii="Calibri" w:cs="Calibri" w:eastAsia="Calibri" w:hAnsi="Calibri"/>
          <w:sz w:val="22"/>
          <w:szCs w:val="22"/>
        </w:rPr>
        <w:t xml:space="preserve">A: The cedent pays a premium calculated as a rate applied to the subject premium or limit. In the register, the 'Cession / Rate (%)' column holds the rate for XL treaties and the ceded share for proportional treaties.</w:t>
      </w:r>
    </w:p>
    <w:p>
      <w:pPr>
        <w:spacing w:after="80" w:before="200"/>
      </w:pPr>
      <w:r>
        <w:rPr>
          <w:rFonts w:ascii="Calibri" w:cs="Calibri" w:eastAsia="Calibri" w:hAnsi="Calibri"/>
          <w:b/>
          <w:bCs/>
          <w:color w:val="1F3864"/>
          <w:sz w:val="22"/>
          <w:szCs w:val="22"/>
        </w:rPr>
        <w:t xml:space="preserve">Q: What happens when a hurricane hits?</w:t>
      </w:r>
    </w:p>
    <w:p>
      <w:pPr>
        <w:spacing w:after="160"/>
      </w:pPr>
      <w:r>
        <w:rPr>
          <w:rFonts w:ascii="Calibri" w:cs="Calibri" w:eastAsia="Calibri" w:hAnsi="Calibri"/>
          <w:sz w:val="22"/>
          <w:szCs w:val="22"/>
        </w:rPr>
        <w:t xml:space="preserve">A: Cedents first pay claims to their policyholders. Once a cedent's total event loss exceeds its retention, the Cat XL treaty responds and Meridian Re reimburses the layer above the retention up to the limit. Hurricane Odette (fictional, June 2026) triggered three of our treaties — see claims CLM-26-0001 to CLM-26-0003.</w:t>
      </w:r>
    </w:p>
    <w:p>
      <w:pPr>
        <w:spacing w:after="80" w:before="200"/>
      </w:pPr>
      <w:r>
        <w:rPr>
          <w:rFonts w:ascii="Calibri" w:cs="Calibri" w:eastAsia="Calibri" w:hAnsi="Calibri"/>
          <w:b/>
          <w:bCs/>
          <w:color w:val="1F3864"/>
          <w:sz w:val="22"/>
          <w:szCs w:val="22"/>
        </w:rPr>
        <w:t xml:space="preserve">Q: Who are our largest cedents?</w:t>
      </w:r>
    </w:p>
    <w:p>
      <w:pPr>
        <w:spacing w:after="160"/>
      </w:pPr>
      <w:r>
        <w:rPr>
          <w:rFonts w:ascii="Calibri" w:cs="Calibri" w:eastAsia="Calibri" w:hAnsi="Calibri"/>
          <w:sz w:val="22"/>
          <w:szCs w:val="22"/>
        </w:rPr>
        <w:t xml:space="preserve">A: By ceded premium, our largest relationships in 2026 are Aurora Life &amp; Annuity (50% quota share), Coastal Homes Insurance (quota share plus Cat XL), and Ironclad P&amp;C (quota share plus per-risk XL).</w:t>
      </w:r>
    </w:p>
    <w:p>
      <w:pPr>
        <w:spacing w:after="80" w:before="200"/>
      </w:pPr>
      <w:r>
        <w:rPr>
          <w:rFonts w:ascii="Calibri" w:cs="Calibri" w:eastAsia="Calibri" w:hAnsi="Calibri"/>
          <w:b/>
          <w:bCs/>
          <w:color w:val="1F3864"/>
          <w:sz w:val="22"/>
          <w:szCs w:val="22"/>
        </w:rPr>
        <w:t xml:space="preserve">Q: What is our biggest current loss event?</w:t>
      </w:r>
    </w:p>
    <w:p>
      <w:pPr>
        <w:spacing w:after="160"/>
      </w:pPr>
      <w:r>
        <w:rPr>
          <w:rFonts w:ascii="Calibri" w:cs="Calibri" w:eastAsia="Calibri" w:hAnsi="Calibri"/>
          <w:sz w:val="22"/>
          <w:szCs w:val="22"/>
        </w:rPr>
        <w:t xml:space="preserve">A: The fictional Hurricane Odette (June 14, 2026), a Florida wind event affecting three treaties with combined ceded incurred losses of approximately $104m.</w:t>
      </w:r>
    </w:p>
    <w:p>
      <w:pPr>
        <w:spacing w:after="80" w:before="200"/>
      </w:pPr>
      <w:r>
        <w:rPr>
          <w:rFonts w:ascii="Calibri" w:cs="Calibri" w:eastAsia="Calibri" w:hAnsi="Calibri"/>
          <w:b/>
          <w:bCs/>
          <w:color w:val="1F3864"/>
          <w:sz w:val="22"/>
          <w:szCs w:val="22"/>
        </w:rPr>
        <w:t xml:space="preserve">Q: Why does a reinsurer buy retrocession?</w:t>
      </w:r>
    </w:p>
    <w:p>
      <w:pPr>
        <w:spacing w:after="160"/>
      </w:pPr>
      <w:r>
        <w:rPr>
          <w:rFonts w:ascii="Calibri" w:cs="Calibri" w:eastAsia="Calibri" w:hAnsi="Calibri"/>
          <w:sz w:val="22"/>
          <w:szCs w:val="22"/>
        </w:rPr>
        <w:t xml:space="preserve">A: For the same reason insurers buy reinsurance: to cap its own downside from very large events. Treaty MR-2026-013 provides Meridian Re with $75m of cat protection above a $30m retention.</w:t>
      </w:r>
    </w:p>
    <w:p>
      <w:pPr>
        <w:spacing w:after="80" w:before="200"/>
      </w:pPr>
      <w:r>
        <w:rPr>
          <w:rFonts w:ascii="Calibri" w:cs="Calibri" w:eastAsia="Calibri" w:hAnsi="Calibri"/>
          <w:b/>
          <w:bCs/>
          <w:color w:val="1F3864"/>
          <w:sz w:val="22"/>
          <w:szCs w:val="22"/>
        </w:rPr>
        <w:t xml:space="preserve">Q: When do treaties renew?</w:t>
      </w:r>
    </w:p>
    <w:p>
      <w:pPr>
        <w:spacing w:after="160"/>
      </w:pPr>
      <w:r>
        <w:rPr>
          <w:rFonts w:ascii="Calibri" w:cs="Calibri" w:eastAsia="Calibri" w:hAnsi="Calibri"/>
          <w:sz w:val="22"/>
          <w:szCs w:val="22"/>
        </w:rPr>
        <w:t xml:space="preserve">A: Most of the portfolio renews January 1 (the industry's main renewal date). Coastal Homes renews June 1 (common for Florida business, ahead of hurricane season) and Blue Harbor Marine renews April 1.</w:t>
      </w:r>
    </w:p>
    <w:p>
      <w:pPr>
        <w:pStyle w:val="Heading1"/>
        <w:spacing w:after="160" w:before="320"/>
      </w:pPr>
      <w:r>
        <w:rPr>
          <w:rFonts w:ascii="Calibri" w:cs="Calibri" w:eastAsia="Calibri" w:hAnsi="Calibri"/>
          <w:b/>
          <w:bCs/>
          <w:color w:val="1F3864"/>
          <w:sz w:val="30"/>
          <w:szCs w:val="30"/>
        </w:rPr>
        <w:t xml:space="preserve">5. Notes for Agent Builders</w:t>
      </w:r>
    </w:p>
    <w:p>
      <w:pPr>
        <w:pStyle w:val="ListParagraph"/>
        <w:numPr>
          <w:ilvl w:val="0"/>
          <w:numId w:val="2"/>
        </w:numPr>
        <w:spacing w:after="100"/>
      </w:pPr>
      <w:r>
        <w:rPr>
          <w:rFonts w:ascii="Calibri" w:cs="Calibri" w:eastAsia="Calibri" w:hAnsi="Calibri"/>
          <w:sz w:val="22"/>
          <w:szCs w:val="22"/>
        </w:rPr>
        <w:t xml:space="preserve">Pair this document with the workbook 'Meridian_Re_Treaty_Register_SYNTHETIC.xlsx' as knowledge sources.</w:t>
      </w:r>
    </w:p>
    <w:p>
      <w:pPr>
        <w:pStyle w:val="ListParagraph"/>
        <w:numPr>
          <w:ilvl w:val="0"/>
          <w:numId w:val="2"/>
        </w:numPr>
        <w:spacing w:after="100"/>
      </w:pPr>
      <w:r>
        <w:rPr>
          <w:rFonts w:ascii="Calibri" w:cs="Calibri" w:eastAsia="Calibri" w:hAnsi="Calibri"/>
          <w:sz w:val="22"/>
          <w:szCs w:val="22"/>
        </w:rPr>
        <w:t xml:space="preserve">Good test questions: 'What is a quota share?', 'Which treaties were hit by Hurricane Odette?', 'What is Northbridge's retention on its Cat XL?', 'Who are our largest cedents?'</w:t>
      </w:r>
    </w:p>
    <w:p>
      <w:pPr>
        <w:pStyle w:val="ListParagraph"/>
        <w:numPr>
          <w:ilvl w:val="0"/>
          <w:numId w:val="2"/>
        </w:numPr>
        <w:spacing w:after="100"/>
      </w:pPr>
      <w:r>
        <w:rPr>
          <w:rFonts w:ascii="Calibri" w:cs="Calibri" w:eastAsia="Calibri" w:hAnsi="Calibri"/>
          <w:sz w:val="22"/>
          <w:szCs w:val="22"/>
        </w:rPr>
        <w:t xml:space="preserve">Everything here is invented. Do not mix with production data.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2026-07-05T19:59:14.079Z</dcterms:created>
  <dcterms:modified xsi:type="dcterms:W3CDTF">2026-07-05T19:59:14.079Z</dcterms:modified>
</cp:coreProperties>
</file>

<file path=docProps/custom.xml><?xml version="1.0" encoding="utf-8"?>
<Properties xmlns="http://schemas.openxmlformats.org/officeDocument/2006/custom-properties" xmlns:vt="http://schemas.openxmlformats.org/officeDocument/2006/docPropsVTypes"/>
</file>