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52"/>
          <w:szCs w:val="52"/>
        </w:rPr>
        <w:t xml:space="preserve">BUSINESS PLAN</w:t>
      </w:r>
    </w:p>
    <w:p>
      <w:pPr>
        <w:spacing w:after="80"/>
        <w:jc w:val="center"/>
      </w:pPr>
      <w:r>
        <w:rPr>
          <w:rFonts w:ascii="Arial" w:cs="Arial" w:eastAsia="Arial" w:hAnsi="Arial"/>
          <w:color w:val="E87722"/>
          <w:sz w:val="20"/>
          <w:szCs w:val="20"/>
        </w:rPr>
        <w:t xml:space="preserve">________________________________________</w:t>
      </w:r>
    </w:p>
    <w:p>
      <w:pPr>
        <w:spacing w:after="100"/>
      </w:pPr>
    </w:p>
    <w:p>
      <w:pPr>
        <w:spacing w:after="120"/>
        <w:jc w:val="center"/>
      </w:pPr>
      <w:r>
        <w:rPr>
          <w:rFonts w:ascii="Arial" w:cs="Arial" w:eastAsia="Arial" w:hAnsi="Arial"/>
          <w:b/>
          <w:bCs/>
          <w:color w:val="E87722"/>
          <w:sz w:val="72"/>
          <w:szCs w:val="72"/>
        </w:rPr>
        <w:t xml:space="preserve">P2C</w:t>
      </w:r>
    </w:p>
    <w:p>
      <w:pPr>
        <w:spacing w:after="60"/>
        <w:jc w:val="center"/>
      </w:pPr>
      <w:r>
        <w:rPr>
          <w:rFonts w:ascii="Arial" w:cs="Arial" w:eastAsia="Arial" w:hAnsi="Arial"/>
          <w:i/>
          <w:iCs/>
          <w:color w:val="666666"/>
          <w:sz w:val="28"/>
          <w:szCs w:val="28"/>
        </w:rPr>
        <w:t xml:space="preserve">(Pi-deux-ci)</w:t>
      </w:r>
    </w:p>
    <w:p>
      <w:pPr>
        <w:spacing w:after="100"/>
      </w:pPr>
    </w:p>
    <w:p>
      <w:pPr>
        <w:spacing w:after="120"/>
        <w:jc w:val="center"/>
      </w:pPr>
      <w:r>
        <w:rPr>
          <w:rFonts w:ascii="Arial" w:cs="Arial" w:eastAsia="Arial" w:hAnsi="Arial"/>
          <w:color w:val="444444"/>
          <w:sz w:val="26"/>
          <w:szCs w:val="26"/>
        </w:rPr>
        <w:t xml:space="preserve">Application mobile de duel de competence</w:t>
      </w:r>
    </w:p>
    <w:p>
      <w:pPr>
        <w:spacing w:after="60"/>
        <w:jc w:val="center"/>
      </w:pPr>
      <w:r>
        <w:rPr>
          <w:rFonts w:ascii="Arial" w:cs="Arial" w:eastAsia="Arial" w:hAnsi="Arial"/>
          <w:i/>
          <w:iCs/>
          <w:color w:val="888888"/>
          <w:sz w:val="22"/>
          <w:szCs w:val="22"/>
        </w:rPr>
        <w:t xml:space="preserve">Skill-Based Gaming Platform</w:t>
      </w:r>
    </w:p>
    <w:p>
      <w:pPr>
        <w:spacing w:after="100"/>
      </w:pPr>
    </w:p>
    <w:p>
      <w:pPr>
        <w:spacing w:after="100"/>
      </w:pPr>
    </w:p>
    <w:p>
      <w:pPr>
        <w:spacing w:after="100"/>
      </w:pPr>
    </w:p>
    <w:p>
      <w:pPr>
        <w:spacing w:after="100"/>
      </w:pPr>
    </w:p>
    <w:p>
      <w:pPr>
        <w:spacing w:after="80"/>
        <w:jc w:val="center"/>
      </w:pPr>
      <w:r>
        <w:rPr>
          <w:rFonts w:ascii="Arial" w:cs="Arial" w:eastAsia="Arial" w:hAnsi="Arial"/>
          <w:color w:val="666666"/>
          <w:sz w:val="20"/>
          <w:szCs w:val="20"/>
        </w:rPr>
        <w:t xml:space="preserve">Document de presentation pour demande d'acces</w:t>
      </w:r>
    </w:p>
    <w:p>
      <w:pPr>
        <w:spacing w:after="80"/>
        <w:jc w:val="center"/>
      </w:pPr>
      <w:r>
        <w:rPr>
          <w:rFonts w:ascii="Arial" w:cs="Arial" w:eastAsia="Arial" w:hAnsi="Arial"/>
          <w:b/>
          <w:bCs/>
          <w:color w:val="666666"/>
          <w:sz w:val="20"/>
          <w:szCs w:val="20"/>
        </w:rPr>
        <w:t xml:space="preserve">a la cle API GeniusPay</w:t>
      </w:r>
    </w:p>
    <w:p>
      <w:pPr>
        <w:spacing w:after="100"/>
      </w:pPr>
    </w:p>
    <w:p>
      <w:pPr>
        <w:spacing w:after="60"/>
        <w:jc w:val="center"/>
      </w:pPr>
      <w:r>
        <w:rPr>
          <w:rFonts w:ascii="Arial" w:cs="Arial" w:eastAsia="Arial" w:hAnsi="Arial"/>
          <w:color w:val="444444"/>
          <w:sz w:val="22"/>
          <w:szCs w:val="22"/>
        </w:rPr>
        <w:t xml:space="preserve">Presente par : Joachim Axel Zongo</w:t>
      </w:r>
    </w:p>
    <w:p>
      <w:pPr>
        <w:spacing w:after="80"/>
        <w:jc w:val="center"/>
      </w:pPr>
      <w:r>
        <w:rPr>
          <w:rFonts w:ascii="Arial" w:cs="Arial" w:eastAsia="Arial" w:hAnsi="Arial"/>
          <w:color w:val="999999"/>
          <w:sz w:val="20"/>
          <w:szCs w:val="20"/>
        </w:rPr>
        <w:t xml:space="preserve">Fevrier 2026 - Version 1.0</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1. PRESENTATION DE L'ENTREPRISE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Nom du projet</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P2C (Pi-deux-ci)</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Porteur du projet</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Joachim Axel Zongo</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Type d'activite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Application mobile de divertissement - Duel de competence (Skill-Based Game)</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Secteur</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Gaming / Entertainment / E-sport casual</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 de creation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Fevrier 2026</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Marche cible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Afrique de l'Ouest (zone FCFA) - Burkina Faso en priorite</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Solution de paiement</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GeniusPay - Orchestrateur de paiement unifie</w:t>
            </w:r>
          </w:p>
        </w:tc>
      </w:tr>
    </w:tbl>
    <w:p>
      <w:pPr>
        <w:spacing w:after="100"/>
      </w:pPr>
    </w:p>
    <w:p>
      <w:pPr>
        <w:pStyle w:val="Heading1"/>
      </w:pPr>
      <w:r>
        <w:rPr>
          <w:rFonts w:ascii="Arial" w:cs="Arial" w:eastAsia="Arial" w:hAnsi="Arial"/>
          <w:b/>
          <w:bCs/>
          <w:color w:val="1B3A5C"/>
          <w:sz w:val="32"/>
          <w:szCs w:val="32"/>
        </w:rPr>
        <w:t xml:space="preserve">2. DESCRIPTION DU PROJET</w:t>
      </w:r>
    </w:p>
    <w:p>
      <w:pPr>
        <w:pStyle w:val="Heading2"/>
      </w:pPr>
      <w:r>
        <w:rPr>
          <w:rFonts w:ascii="Arial" w:cs="Arial" w:eastAsia="Arial" w:hAnsi="Arial"/>
          <w:b/>
          <w:bCs/>
          <w:color w:val="1B3A5C"/>
          <w:sz w:val="26"/>
          <w:szCs w:val="26"/>
        </w:rPr>
        <w:t xml:space="preserve">2.1 Concept</w:t>
      </w:r>
    </w:p>
    <w:p>
      <w:pPr>
        <w:spacing w:after="120"/>
        <w:jc w:val="both"/>
      </w:pPr>
      <w:r>
        <w:rPr>
          <w:rFonts w:ascii="Arial" w:cs="Arial" w:eastAsia="Arial" w:hAnsi="Arial"/>
          <w:b w:val="false"/>
          <w:bCs w:val="false"/>
          <w:i w:val="false"/>
          <w:iCs w:val="false"/>
          <w:color w:val="333333"/>
          <w:sz w:val="20"/>
          <w:szCs w:val="20"/>
        </w:rPr>
        <w:t xml:space="preserve">P2C est une application mobile de duel de competence basee sur le jeu classique Pierre-Papier-Ciseaux. La plateforme permet aux utilisateurs de s'affronter en temps reel dans des duels strategiques avec frais de participation. Le vainqueur du duel recoit une recompense communautaire financee par les frais de participation des deux joueurs.</w:t>
      </w:r>
    </w:p>
    <w:p>
      <w:pPr>
        <w:spacing w:after="120"/>
        <w:jc w:val="both"/>
      </w:pPr>
      <w:r>
        <w:rPr>
          <w:rFonts w:ascii="Arial" w:cs="Arial" w:eastAsia="Arial" w:hAnsi="Arial"/>
          <w:b w:val="false"/>
          <w:bCs w:val="false"/>
          <w:i w:val="false"/>
          <w:iCs w:val="false"/>
          <w:color w:val="333333"/>
          <w:sz w:val="20"/>
          <w:szCs w:val="20"/>
        </w:rPr>
        <w:t xml:space="preserve">Contrairement aux jeux de hasard, Pierre-Papier-Ciseaux est un jeu de strategie et d'anticipation reconnu (skill-based game), ou la lecture de l'adversaire, l'analyse comportementale et la prise de decision rapide jouent un role determinant dans le resultat. P2C valorise cette dimension de competence en offrant un cadre numerique securise pour ces duels.</w:t>
      </w:r>
    </w:p>
    <w:p>
      <w:pPr>
        <w:pStyle w:val="Heading2"/>
      </w:pPr>
      <w:r>
        <w:rPr>
          <w:rFonts w:ascii="Arial" w:cs="Arial" w:eastAsia="Arial" w:hAnsi="Arial"/>
          <w:b/>
          <w:bCs/>
          <w:color w:val="1B3A5C"/>
          <w:sz w:val="26"/>
          <w:szCs w:val="26"/>
        </w:rPr>
        <w:t xml:space="preserve">2.2 Fonctionnement de la plateforme</w:t>
      </w:r>
    </w:p>
    <w:p>
      <w:pPr>
        <w:pStyle w:val="ListParagraph"/>
        <w:numPr>
          <w:ilvl w:val="0"/>
          <w:numId w:val="2"/>
        </w:numPr>
        <w:spacing w:after="60"/>
      </w:pPr>
      <w:r>
        <w:rPr>
          <w:rFonts w:ascii="Arial" w:cs="Arial" w:eastAsia="Arial" w:hAnsi="Arial"/>
          <w:color w:val="333333"/>
          <w:sz w:val="20"/>
          <w:szCs w:val="20"/>
        </w:rPr>
        <w:t xml:space="preserve">L'utilisateur s'inscrit et alimente son portefeuille applicatif via les moyens de paiement proposes par GeniusPay (Orange Money, Wave, MTN Money, cartes bancaires).</w:t>
      </w:r>
    </w:p>
    <w:p>
      <w:pPr>
        <w:pStyle w:val="ListParagraph"/>
        <w:numPr>
          <w:ilvl w:val="0"/>
          <w:numId w:val="2"/>
        </w:numPr>
        <w:spacing w:after="60"/>
      </w:pPr>
      <w:r>
        <w:rPr>
          <w:rFonts w:ascii="Arial" w:cs="Arial" w:eastAsia="Arial" w:hAnsi="Arial"/>
          <w:color w:val="333333"/>
          <w:sz w:val="20"/>
          <w:szCs w:val="20"/>
        </w:rPr>
        <w:t xml:space="preserve">Il cree ou rejoint un duel en selectionnant un niveau de frais de participation.</w:t>
      </w:r>
    </w:p>
    <w:p>
      <w:pPr>
        <w:pStyle w:val="ListParagraph"/>
        <w:numPr>
          <w:ilvl w:val="0"/>
          <w:numId w:val="2"/>
        </w:numPr>
        <w:spacing w:after="60"/>
      </w:pPr>
      <w:r>
        <w:rPr>
          <w:rFonts w:ascii="Arial" w:cs="Arial" w:eastAsia="Arial" w:hAnsi="Arial"/>
          <w:color w:val="333333"/>
          <w:sz w:val="20"/>
          <w:szCs w:val="20"/>
        </w:rPr>
        <w:t xml:space="preserve">Les deux participants font leur choix strategique (Pierre, Papier ou Ciseaux).</w:t>
      </w:r>
    </w:p>
    <w:p>
      <w:pPr>
        <w:pStyle w:val="ListParagraph"/>
        <w:numPr>
          <w:ilvl w:val="0"/>
          <w:numId w:val="2"/>
        </w:numPr>
        <w:spacing w:after="60"/>
      </w:pPr>
      <w:r>
        <w:rPr>
          <w:rFonts w:ascii="Arial" w:cs="Arial" w:eastAsia="Arial" w:hAnsi="Arial"/>
          <w:color w:val="333333"/>
          <w:sz w:val="20"/>
          <w:szCs w:val="20"/>
        </w:rPr>
        <w:t xml:space="preserve">Le vainqueur du duel recoit la recompense communautaire (somme des frais de participation).</w:t>
      </w:r>
    </w:p>
    <w:p>
      <w:pPr>
        <w:pStyle w:val="ListParagraph"/>
        <w:numPr>
          <w:ilvl w:val="0"/>
          <w:numId w:val="2"/>
        </w:numPr>
        <w:spacing w:after="60"/>
      </w:pPr>
      <w:r>
        <w:rPr>
          <w:rFonts w:ascii="Arial" w:cs="Arial" w:eastAsia="Arial" w:hAnsi="Arial"/>
          <w:color w:val="333333"/>
          <w:sz w:val="20"/>
          <w:szCs w:val="20"/>
        </w:rPr>
        <w:t xml:space="preserve">L'utilisateur peut transferer son solde vers son compte mobile ou bancaire a tout moment.</w:t>
      </w:r>
    </w:p>
    <w:p>
      <w:pPr>
        <w:pStyle w:val="Heading2"/>
      </w:pPr>
      <w:r>
        <w:rPr>
          <w:rFonts w:ascii="Arial" w:cs="Arial" w:eastAsia="Arial" w:hAnsi="Arial"/>
          <w:b/>
          <w:bCs/>
          <w:color w:val="1B3A5C"/>
          <w:sz w:val="26"/>
          <w:szCs w:val="26"/>
        </w:rPr>
        <w:t xml:space="preserve">2.3 Proposition de valeur</w:t>
      </w:r>
    </w:p>
    <w:p>
      <w:pPr>
        <w:pStyle w:val="ListParagraph"/>
        <w:numPr>
          <w:ilvl w:val="0"/>
          <w:numId w:val="3"/>
        </w:numPr>
        <w:spacing w:after="60"/>
      </w:pPr>
      <w:r>
        <w:rPr>
          <w:rFonts w:ascii="Arial" w:cs="Arial" w:eastAsia="Arial" w:hAnsi="Arial"/>
          <w:color w:val="333333"/>
          <w:sz w:val="20"/>
          <w:szCs w:val="20"/>
        </w:rPr>
        <w:t xml:space="preserve">Experience de jeu rapide et engageante (partie en moins de 30 secondes)</w:t>
      </w:r>
    </w:p>
    <w:p>
      <w:pPr>
        <w:pStyle w:val="ListParagraph"/>
        <w:numPr>
          <w:ilvl w:val="0"/>
          <w:numId w:val="3"/>
        </w:numPr>
        <w:spacing w:after="60"/>
      </w:pPr>
      <w:r>
        <w:rPr>
          <w:rFonts w:ascii="Arial" w:cs="Arial" w:eastAsia="Arial" w:hAnsi="Arial"/>
          <w:color w:val="333333"/>
          <w:sz w:val="20"/>
          <w:szCs w:val="20"/>
        </w:rPr>
        <w:t xml:space="preserve">Accessibilite maximale : application legere, compatible avec tous les smartphones</w:t>
      </w:r>
    </w:p>
    <w:p>
      <w:pPr>
        <w:pStyle w:val="ListParagraph"/>
        <w:numPr>
          <w:ilvl w:val="0"/>
          <w:numId w:val="3"/>
        </w:numPr>
        <w:spacing w:after="60"/>
      </w:pPr>
      <w:r>
        <w:rPr>
          <w:rFonts w:ascii="Arial" w:cs="Arial" w:eastAsia="Arial" w:hAnsi="Arial"/>
          <w:color w:val="333333"/>
          <w:sz w:val="20"/>
          <w:szCs w:val="20"/>
        </w:rPr>
        <w:t xml:space="preserve">Paiements securises et instantanes grace a l'infrastructure GeniusPay</w:t>
      </w:r>
    </w:p>
    <w:p>
      <w:pPr>
        <w:pStyle w:val="ListParagraph"/>
        <w:numPr>
          <w:ilvl w:val="0"/>
          <w:numId w:val="3"/>
        </w:numPr>
        <w:spacing w:after="60"/>
      </w:pPr>
      <w:r>
        <w:rPr>
          <w:rFonts w:ascii="Arial" w:cs="Arial" w:eastAsia="Arial" w:hAnsi="Arial"/>
          <w:color w:val="333333"/>
          <w:sz w:val="20"/>
          <w:szCs w:val="20"/>
        </w:rPr>
        <w:t xml:space="preserve">Couverture multi-operateurs : Orange Money, Wave, MTN Money, cartes bancaires</w:t>
      </w:r>
    </w:p>
    <w:p>
      <w:pPr>
        <w:pStyle w:val="Heading2"/>
      </w:pPr>
      <w:r>
        <w:rPr>
          <w:rFonts w:ascii="Arial" w:cs="Arial" w:eastAsia="Arial" w:hAnsi="Arial"/>
          <w:b/>
          <w:bCs/>
          <w:color w:val="1B3A5C"/>
          <w:sz w:val="26"/>
          <w:szCs w:val="26"/>
        </w:rPr>
        <w:t xml:space="preserve">2.4 Public cible</w:t>
      </w:r>
    </w:p>
    <w:p>
      <w:pPr>
        <w:pStyle w:val="ListParagraph"/>
        <w:numPr>
          <w:ilvl w:val="0"/>
          <w:numId w:val="3"/>
        </w:numPr>
        <w:spacing w:after="60"/>
      </w:pPr>
      <w:r>
        <w:rPr>
          <w:rFonts w:ascii="Arial" w:cs="Arial" w:eastAsia="Arial" w:hAnsi="Arial"/>
          <w:color w:val="333333"/>
          <w:sz w:val="20"/>
          <w:szCs w:val="20"/>
        </w:rPr>
        <w:t xml:space="preserve">Jeunes adultes (18-35 ans) amateurs de jeux mobiles et de divertissement digital</w:t>
      </w:r>
    </w:p>
    <w:p>
      <w:pPr>
        <w:pStyle w:val="ListParagraph"/>
        <w:numPr>
          <w:ilvl w:val="0"/>
          <w:numId w:val="3"/>
        </w:numPr>
        <w:spacing w:after="60"/>
      </w:pPr>
      <w:r>
        <w:rPr>
          <w:rFonts w:ascii="Arial" w:cs="Arial" w:eastAsia="Arial" w:hAnsi="Arial"/>
          <w:color w:val="333333"/>
          <w:sz w:val="20"/>
          <w:szCs w:val="20"/>
        </w:rPr>
        <w:t xml:space="preserve">Utilisateurs de smartphones en Afrique de l'Ouest, principalement au Burkina Faso</w:t>
      </w:r>
    </w:p>
    <w:p>
      <w:pPr>
        <w:pStyle w:val="ListParagraph"/>
        <w:numPr>
          <w:ilvl w:val="0"/>
          <w:numId w:val="3"/>
        </w:numPr>
        <w:spacing w:after="60"/>
      </w:pPr>
      <w:r>
        <w:rPr>
          <w:rFonts w:ascii="Arial" w:cs="Arial" w:eastAsia="Arial" w:hAnsi="Arial"/>
          <w:color w:val="333333"/>
          <w:sz w:val="20"/>
          <w:szCs w:val="20"/>
        </w:rPr>
        <w:t xml:space="preserve">Communaute e-sport casual recherchant des duels de competence rapides et accessibles</w:t>
      </w:r>
    </w:p>
    <w:p>
      <w:pPr>
        <w:spacing w:after="100"/>
      </w:pPr>
    </w:p>
    <w:p>
      <w:pPr>
        <w:pStyle w:val="Heading1"/>
      </w:pPr>
      <w:r>
        <w:rPr>
          <w:rFonts w:ascii="Arial" w:cs="Arial" w:eastAsia="Arial" w:hAnsi="Arial"/>
          <w:b/>
          <w:bCs/>
          <w:color w:val="1B3A5C"/>
          <w:sz w:val="32"/>
          <w:szCs w:val="32"/>
        </w:rPr>
        <w:t xml:space="preserve">3. MODELE ECONOMIQUE</w:t>
      </w:r>
    </w:p>
    <w:p>
      <w:pPr>
        <w:pStyle w:val="Heading2"/>
      </w:pPr>
      <w:r>
        <w:rPr>
          <w:rFonts w:ascii="Arial" w:cs="Arial" w:eastAsia="Arial" w:hAnsi="Arial"/>
          <w:b/>
          <w:bCs/>
          <w:color w:val="1B3A5C"/>
          <w:sz w:val="26"/>
          <w:szCs w:val="26"/>
        </w:rPr>
        <w:t xml:space="preserve">3.1 Sources de revenus</w:t>
      </w:r>
    </w:p>
    <w:p>
      <w:pPr>
        <w:spacing w:after="120"/>
        <w:jc w:val="both"/>
      </w:pPr>
      <w:r>
        <w:rPr>
          <w:rFonts w:ascii="Arial" w:cs="Arial" w:eastAsia="Arial" w:hAnsi="Arial"/>
          <w:b w:val="false"/>
          <w:bCs w:val="false"/>
          <w:i w:val="false"/>
          <w:iCs w:val="false"/>
          <w:color w:val="333333"/>
          <w:sz w:val="20"/>
          <w:szCs w:val="20"/>
        </w:rPr>
        <w:t xml:space="preserve">La plateforme genere ses revenus via des frais de service transparents preleves sur chaque interaction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W w:type="dxa" w:w="2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452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Montant</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Frais de service</w:t>
            </w:r>
          </w:p>
        </w:tc>
        <w:tc>
          <w:tcPr>
            <w:tcW w:type="dxa" w:w="4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Commission prelevee sur chaque duel pour le maintien de la plateforme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FCFA / joueur</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Frais de transfert</w:t>
            </w:r>
          </w:p>
        </w:tc>
        <w:tc>
          <w:tcPr>
            <w:tcW w:type="dxa" w:w="4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Commission sur les transferts sortants vers Mobile Money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du montant</w:t>
            </w:r>
          </w:p>
        </w:tc>
      </w:tr>
    </w:tbl>
    <w:p>
      <w:pPr>
        <w:pStyle w:val="Heading2"/>
      </w:pPr>
      <w:r>
        <w:rPr>
          <w:rFonts w:ascii="Arial" w:cs="Arial" w:eastAsia="Arial" w:hAnsi="Arial"/>
          <w:b/>
          <w:bCs/>
          <w:color w:val="1B3A5C"/>
          <w:sz w:val="26"/>
          <w:szCs w:val="26"/>
        </w:rPr>
        <w:t xml:space="preserve">3.2 Exemple de transaction type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Etape</w:t>
            </w:r>
          </w:p>
        </w:tc>
        <w:tc>
          <w:tcPr>
            <w:tcW w:type="dxa" w:w="3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Montant</w:t>
            </w:r>
          </w:p>
        </w:tc>
      </w:tr>
      <w:tr>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Joueur A : frais de participation + frais de service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2 000 + 10 = 2 010 FCFA</w:t>
            </w:r>
          </w:p>
        </w:tc>
      </w:tr>
      <w:tr>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Joueur B : frais de participation + frais de service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2 000 + 10 = 2 010 FCFA</w:t>
            </w:r>
          </w:p>
        </w:tc>
      </w:tr>
      <w:tr>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Recompense communautaire versee au vainqueur</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4 000 FCFA</w:t>
            </w:r>
          </w:p>
        </w:tc>
      </w:tr>
      <w:tr>
        <w:tc>
          <w:tcPr>
            <w:tcW w:type="dxa" w:w="5526"/>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Revenus plateforme P2C (frais de service)</w:t>
            </w:r>
          </w:p>
        </w:tc>
        <w:tc>
          <w:tcPr>
            <w:tcW w:type="dxa" w:w="35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 FCFA</w:t>
            </w:r>
          </w:p>
        </w:tc>
      </w:tr>
    </w:tbl>
    <w:p>
      <w:pPr>
        <w:pStyle w:val="Heading2"/>
      </w:pPr>
      <w:r>
        <w:rPr>
          <w:rFonts w:ascii="Arial" w:cs="Arial" w:eastAsia="Arial" w:hAnsi="Arial"/>
          <w:b/>
          <w:bCs/>
          <w:color w:val="1B3A5C"/>
          <w:sz w:val="26"/>
          <w:szCs w:val="26"/>
        </w:rPr>
        <w:t xml:space="preserve">3.3 Impact des frais GeniusPay sur le modele</w:t>
      </w:r>
    </w:p>
    <w:p>
      <w:pPr>
        <w:spacing w:after="120"/>
        <w:jc w:val="both"/>
      </w:pPr>
      <w:r>
        <w:rPr>
          <w:rFonts w:ascii="Arial" w:cs="Arial" w:eastAsia="Arial" w:hAnsi="Arial"/>
          <w:b w:val="false"/>
          <w:bCs w:val="false"/>
          <w:i w:val="false"/>
          <w:iCs w:val="false"/>
          <w:color w:val="333333"/>
          <w:sz w:val="20"/>
          <w:szCs w:val="20"/>
        </w:rPr>
        <w:t xml:space="preserve">Avec le taux preferentiel GeniusPay de 1% + 100 XOF par transaction (programme pionniers), voici la structure de couts pour un rechargement type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c>
          <w:tcPr>
            <w:tcW w:type="dxa" w:w="502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4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Montant</w:t>
            </w:r>
          </w:p>
        </w:tc>
      </w:tr>
      <w:tr>
        <w:tc>
          <w:tcPr>
            <w:tcW w:type="dxa" w:w="5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Rechargement utilisateur</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5 000 FCFA</w:t>
            </w:r>
          </w:p>
        </w:tc>
      </w:tr>
      <w:tr>
        <w:tc>
          <w:tcPr>
            <w:tcW w:type="dxa" w:w="5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Commission GeniusPay (1%)</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FCFA</w:t>
            </w:r>
          </w:p>
        </w:tc>
      </w:tr>
      <w:tr>
        <w:tc>
          <w:tcPr>
            <w:tcW w:type="dxa" w:w="5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Frais fixe GeniusPay</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FCFA</w:t>
            </w:r>
          </w:p>
        </w:tc>
      </w:tr>
      <w:tr>
        <w:tc>
          <w:tcPr>
            <w:tcW w:type="dxa" w:w="5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Frais operateur estime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 FCFA</w:t>
            </w:r>
          </w:p>
        </w:tc>
      </w:tr>
      <w:tr>
        <w:tc>
          <w:tcPr>
            <w:tcW w:type="dxa" w:w="5026"/>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Montant net credite sur la plateforme</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~4 775 FCFA</w:t>
            </w:r>
          </w:p>
        </w:tc>
      </w:tr>
    </w:tbl>
    <w:p>
      <w:pPr>
        <w:spacing w:after="120"/>
        <w:jc w:val="both"/>
      </w:pPr>
      <w:r>
        <w:rPr>
          <w:rFonts w:ascii="Arial" w:cs="Arial" w:eastAsia="Arial" w:hAnsi="Arial"/>
          <w:b w:val="false"/>
          <w:bCs w:val="false"/>
          <w:i w:val="false"/>
          <w:iCs w:val="false"/>
          <w:color w:val="333333"/>
          <w:sz w:val="20"/>
          <w:szCs w:val="20"/>
        </w:rPr>
        <w:t xml:space="preserve">Le taux preferentiel de 1% (au lieu de 1,5% standard) permet de maintenir des frais competitifs pour nos utilisateurs tout en assurant la viabilite economique de la plateforme.</w:t>
      </w:r>
    </w:p>
    <w:p>
      <w:pPr>
        <w:spacing w:after="100"/>
      </w:pPr>
    </w:p>
    <w:p>
      <w:pPr>
        <w:pStyle w:val="Heading1"/>
      </w:pPr>
      <w:r>
        <w:rPr>
          <w:rFonts w:ascii="Arial" w:cs="Arial" w:eastAsia="Arial" w:hAnsi="Arial"/>
          <w:b/>
          <w:bCs/>
          <w:color w:val="1B3A5C"/>
          <w:sz w:val="32"/>
          <w:szCs w:val="32"/>
        </w:rPr>
        <w:t xml:space="preserve">4. UTILISATION DE L'API GENIUSPAY</w:t>
      </w:r>
    </w:p>
    <w:p>
      <w:pPr>
        <w:pStyle w:val="Heading2"/>
      </w:pPr>
      <w:r>
        <w:rPr>
          <w:rFonts w:ascii="Arial" w:cs="Arial" w:eastAsia="Arial" w:hAnsi="Arial"/>
          <w:b/>
          <w:bCs/>
          <w:color w:val="1B3A5C"/>
          <w:sz w:val="26"/>
          <w:szCs w:val="26"/>
        </w:rPr>
        <w:t xml:space="preserve">4.1 Pourquoi GeniusPay</w:t>
      </w:r>
    </w:p>
    <w:p>
      <w:pPr>
        <w:spacing w:after="120"/>
        <w:jc w:val="both"/>
      </w:pPr>
      <w:r>
        <w:rPr>
          <w:rFonts w:ascii="Arial" w:cs="Arial" w:eastAsia="Arial" w:hAnsi="Arial"/>
          <w:b w:val="false"/>
          <w:bCs w:val="false"/>
          <w:i w:val="false"/>
          <w:iCs w:val="false"/>
          <w:color w:val="333333"/>
          <w:sz w:val="20"/>
          <w:szCs w:val="20"/>
        </w:rPr>
        <w:t xml:space="preserve">GeniusPay a ete choisi comme solution de paiement pour P2C pour les raisons suivantes :</w:t>
      </w:r>
    </w:p>
    <w:p>
      <w:pPr>
        <w:pStyle w:val="ListParagraph"/>
        <w:numPr>
          <w:ilvl w:val="0"/>
          <w:numId w:val="3"/>
        </w:numPr>
        <w:spacing w:after="60"/>
      </w:pPr>
      <w:r>
        <w:rPr>
          <w:rFonts w:ascii="Arial" w:cs="Arial" w:eastAsia="Arial" w:hAnsi="Arial"/>
          <w:color w:val="333333"/>
          <w:sz w:val="20"/>
          <w:szCs w:val="20"/>
        </w:rPr>
        <w:t xml:space="preserve">API unifiee couvrant tous les operateurs Mobile Money (Orange Money, Wave, MTN Money) et les cartes bancaires via une seule integration</w:t>
      </w:r>
    </w:p>
    <w:p>
      <w:pPr>
        <w:pStyle w:val="ListParagraph"/>
        <w:numPr>
          <w:ilvl w:val="0"/>
          <w:numId w:val="3"/>
        </w:numPr>
        <w:spacing w:after="60"/>
      </w:pPr>
      <w:r>
        <w:rPr>
          <w:rFonts w:ascii="Arial" w:cs="Arial" w:eastAsia="Arial" w:hAnsi="Arial"/>
          <w:color w:val="333333"/>
          <w:sz w:val="20"/>
          <w:szCs w:val="20"/>
        </w:rPr>
        <w:t xml:space="preserve">Couverture de 11 pays africains, permettant une expansion future au-dela du Burkina Faso</w:t>
      </w:r>
    </w:p>
    <w:p>
      <w:pPr>
        <w:pStyle w:val="ListParagraph"/>
        <w:numPr>
          <w:ilvl w:val="0"/>
          <w:numId w:val="3"/>
        </w:numPr>
        <w:spacing w:after="60"/>
      </w:pPr>
      <w:r>
        <w:rPr>
          <w:rFonts w:ascii="Arial" w:cs="Arial" w:eastAsia="Arial" w:hAnsi="Arial"/>
          <w:color w:val="333333"/>
          <w:sz w:val="20"/>
          <w:szCs w:val="20"/>
        </w:rPr>
        <w:t xml:space="preserve">Environnement Sandbox complet pour tester l'integration sans risque avant la mise en production</w:t>
      </w:r>
    </w:p>
    <w:p>
      <w:pPr>
        <w:pStyle w:val="ListParagraph"/>
        <w:numPr>
          <w:ilvl w:val="0"/>
          <w:numId w:val="3"/>
        </w:numPr>
        <w:spacing w:after="60"/>
      </w:pPr>
      <w:r>
        <w:rPr>
          <w:rFonts w:ascii="Arial" w:cs="Arial" w:eastAsia="Arial" w:hAnsi="Arial"/>
          <w:color w:val="333333"/>
          <w:sz w:val="20"/>
          <w:szCs w:val="20"/>
        </w:rPr>
        <w:t xml:space="preserve">SDKs officiels disponibles pour React Native et Node.js, correspondant parfaitement a notre stack technique</w:t>
      </w:r>
    </w:p>
    <w:p>
      <w:pPr>
        <w:pStyle w:val="ListParagraph"/>
        <w:numPr>
          <w:ilvl w:val="0"/>
          <w:numId w:val="3"/>
        </w:numPr>
        <w:spacing w:after="60"/>
      </w:pPr>
      <w:r>
        <w:rPr>
          <w:rFonts w:ascii="Arial" w:cs="Arial" w:eastAsia="Arial" w:hAnsi="Arial"/>
          <w:color w:val="333333"/>
          <w:sz w:val="20"/>
          <w:szCs w:val="20"/>
        </w:rPr>
        <w:t xml:space="preserve">Tarification transparente et competitive avec le programme pionniers (1% + 100 XOF)</w:t>
      </w:r>
    </w:p>
    <w:p>
      <w:pPr>
        <w:pStyle w:val="ListParagraph"/>
        <w:numPr>
          <w:ilvl w:val="0"/>
          <w:numId w:val="3"/>
        </w:numPr>
        <w:spacing w:after="60"/>
      </w:pPr>
      <w:r>
        <w:rPr>
          <w:rFonts w:ascii="Arial" w:cs="Arial" w:eastAsia="Arial" w:hAnsi="Arial"/>
          <w:color w:val="333333"/>
          <w:sz w:val="20"/>
          <w:szCs w:val="20"/>
        </w:rPr>
        <w:t xml:space="preserve">Activation rapide, adaptee aux startups et aux MVP</w:t>
      </w:r>
    </w:p>
    <w:p>
      <w:pPr>
        <w:pStyle w:val="Heading2"/>
      </w:pPr>
      <w:r>
        <w:rPr>
          <w:rFonts w:ascii="Arial" w:cs="Arial" w:eastAsia="Arial" w:hAnsi="Arial"/>
          <w:b/>
          <w:bCs/>
          <w:color w:val="1B3A5C"/>
          <w:sz w:val="26"/>
          <w:szCs w:val="26"/>
        </w:rPr>
        <w:t xml:space="preserve">4.2 Operations prevues via l'API</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3013"/>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 estime / mois</w:t>
            </w:r>
          </w:p>
        </w:tc>
        <w:tc>
          <w:tcPr>
            <w:tcW w:type="dxa" w:w="3013"/>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Montant moyen</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Rechargements (depots)</w:t>
            </w:r>
          </w:p>
        </w:tc>
        <w:tc>
          <w:tcPr>
            <w:tcW w:type="dxa" w:w="3013"/>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500 - 2 000 transactions</w:t>
            </w:r>
          </w:p>
        </w:tc>
        <w:tc>
          <w:tcPr>
            <w:tcW w:type="dxa" w:w="3013"/>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5 000 - 20 000 FCFA</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Transferts sortants</w:t>
            </w:r>
          </w:p>
        </w:tc>
        <w:tc>
          <w:tcPr>
            <w:tcW w:type="dxa" w:w="3013"/>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300 - 1 500 transactions</w:t>
            </w:r>
          </w:p>
        </w:tc>
        <w:tc>
          <w:tcPr>
            <w:tcW w:type="dxa" w:w="3013"/>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5 000 - 50 000 FCFA</w:t>
            </w:r>
          </w:p>
        </w:tc>
      </w:tr>
    </w:tbl>
    <w:p>
      <w:pPr>
        <w:pStyle w:val="Heading2"/>
      </w:pPr>
      <w:r>
        <w:rPr>
          <w:rFonts w:ascii="Arial" w:cs="Arial" w:eastAsia="Arial" w:hAnsi="Arial"/>
          <w:b/>
          <w:bCs/>
          <w:color w:val="1B3A5C"/>
          <w:sz w:val="26"/>
          <w:szCs w:val="26"/>
        </w:rPr>
        <w:t xml:space="preserve">4.3 Flux financiers</w:t>
      </w:r>
    </w:p>
    <w:p>
      <w:pPr>
        <w:spacing w:after="120"/>
        <w:jc w:val="both"/>
      </w:pPr>
      <w:r>
        <w:rPr>
          <w:rFonts w:ascii="Arial" w:cs="Arial" w:eastAsia="Arial" w:hAnsi="Arial"/>
          <w:b w:val="false"/>
          <w:bCs w:val="false"/>
          <w:i w:val="false"/>
          <w:iCs w:val="false"/>
          <w:color w:val="333333"/>
          <w:sz w:val="20"/>
          <w:szCs w:val="20"/>
        </w:rPr>
        <w:t xml:space="preserve">Rechargement (Utilisateur vers Plateforme) : L'utilisateur initie un rechargement dans l'application. L'API GeniusPay genere une page de checkout securisee ou l'utilisateur choisit son moyen de paiement prefere (Wave, Orange Money, MTN Money, carte). Une fois le paiement confirme via webhook, le solde est credite dans le portefeuille applicatif du joueur.</w:t>
      </w:r>
    </w:p>
    <w:p>
      <w:pPr>
        <w:spacing w:after="120"/>
        <w:jc w:val="both"/>
      </w:pPr>
      <w:r>
        <w:rPr>
          <w:rFonts w:ascii="Arial" w:cs="Arial" w:eastAsia="Arial" w:hAnsi="Arial"/>
          <w:b w:val="false"/>
          <w:bCs w:val="false"/>
          <w:i w:val="false"/>
          <w:iCs w:val="false"/>
          <w:color w:val="333333"/>
          <w:sz w:val="20"/>
          <w:szCs w:val="20"/>
        </w:rPr>
        <w:t xml:space="preserve">Transfert sortant (Plateforme vers Utilisateur) : L'utilisateur demande un transfert de son solde. Les frais de transfert de 2% sont preleves. L'API GeniusPay credite le compte Mobile Money de l'utilisateur du montant net.</w:t>
      </w:r>
    </w:p>
    <w:p>
      <w:pPr>
        <w:pStyle w:val="Heading2"/>
      </w:pPr>
      <w:r>
        <w:rPr>
          <w:rFonts w:ascii="Arial" w:cs="Arial" w:eastAsia="Arial" w:hAnsi="Arial"/>
          <w:b/>
          <w:bCs/>
          <w:color w:val="1B3A5C"/>
          <w:sz w:val="26"/>
          <w:szCs w:val="26"/>
        </w:rPr>
        <w:t xml:space="preserve">4.4 Integration technique prevue</w:t>
      </w:r>
    </w:p>
    <w:p>
      <w:pPr>
        <w:pStyle w:val="ListParagraph"/>
        <w:numPr>
          <w:ilvl w:val="0"/>
          <w:numId w:val="3"/>
        </w:numPr>
        <w:spacing w:after="60"/>
      </w:pPr>
      <w:r>
        <w:rPr>
          <w:rFonts w:ascii="Arial" w:cs="Arial" w:eastAsia="Arial" w:hAnsi="Arial"/>
          <w:color w:val="333333"/>
          <w:sz w:val="20"/>
          <w:szCs w:val="20"/>
        </w:rPr>
        <w:t xml:space="preserve">Utilisation de l'API REST GeniusPay (https://pay.genius.ci/api/v1/merchant)</w:t>
      </w:r>
    </w:p>
    <w:p>
      <w:pPr>
        <w:pStyle w:val="ListParagraph"/>
        <w:numPr>
          <w:ilvl w:val="0"/>
          <w:numId w:val="3"/>
        </w:numPr>
        <w:spacing w:after="60"/>
      </w:pPr>
      <w:r>
        <w:rPr>
          <w:rFonts w:ascii="Arial" w:cs="Arial" w:eastAsia="Arial" w:hAnsi="Arial"/>
          <w:color w:val="333333"/>
          <w:sz w:val="20"/>
          <w:szCs w:val="20"/>
        </w:rPr>
        <w:t xml:space="preserve">Mode Checkout heberge : redirection vers la page de paiement securisee GeniusPay</w:t>
      </w:r>
    </w:p>
    <w:p>
      <w:pPr>
        <w:pStyle w:val="ListParagraph"/>
        <w:numPr>
          <w:ilvl w:val="0"/>
          <w:numId w:val="3"/>
        </w:numPr>
        <w:spacing w:after="60"/>
      </w:pPr>
      <w:r>
        <w:rPr>
          <w:rFonts w:ascii="Arial" w:cs="Arial" w:eastAsia="Arial" w:hAnsi="Arial"/>
          <w:color w:val="333333"/>
          <w:sz w:val="20"/>
          <w:szCs w:val="20"/>
        </w:rPr>
        <w:t xml:space="preserve">Webhooks pour la confirmation des transactions en temps reel</w:t>
      </w:r>
    </w:p>
    <w:p>
      <w:pPr>
        <w:pStyle w:val="ListParagraph"/>
        <w:numPr>
          <w:ilvl w:val="0"/>
          <w:numId w:val="3"/>
        </w:numPr>
        <w:spacing w:after="60"/>
      </w:pPr>
      <w:r>
        <w:rPr>
          <w:rFonts w:ascii="Arial" w:cs="Arial" w:eastAsia="Arial" w:hAnsi="Arial"/>
          <w:color w:val="333333"/>
          <w:sz w:val="20"/>
          <w:szCs w:val="20"/>
        </w:rPr>
        <w:t xml:space="preserve">Environnement Sandbox pour les tests, puis bascule en mode Live pour la production</w:t>
      </w:r>
    </w:p>
    <w:p>
      <w:pPr>
        <w:pStyle w:val="Heading2"/>
      </w:pPr>
      <w:r>
        <w:rPr>
          <w:rFonts w:ascii="Arial" w:cs="Arial" w:eastAsia="Arial" w:hAnsi="Arial"/>
          <w:b/>
          <w:bCs/>
          <w:color w:val="1B3A5C"/>
          <w:sz w:val="26"/>
          <w:szCs w:val="26"/>
        </w:rPr>
        <w:t xml:space="preserve">4.5 Securite des transactions</w:t>
      </w:r>
    </w:p>
    <w:p>
      <w:pPr>
        <w:pStyle w:val="ListParagraph"/>
        <w:numPr>
          <w:ilvl w:val="0"/>
          <w:numId w:val="3"/>
        </w:numPr>
        <w:spacing w:after="60"/>
      </w:pPr>
      <w:r>
        <w:rPr>
          <w:rFonts w:ascii="Arial" w:cs="Arial" w:eastAsia="Arial" w:hAnsi="Arial"/>
          <w:color w:val="333333"/>
          <w:sz w:val="20"/>
          <w:szCs w:val="20"/>
        </w:rPr>
        <w:t xml:space="preserve">Authentification securisee via Firebase Authentication (OTP telephone)</w:t>
      </w:r>
    </w:p>
    <w:p>
      <w:pPr>
        <w:pStyle w:val="ListParagraph"/>
        <w:numPr>
          <w:ilvl w:val="0"/>
          <w:numId w:val="3"/>
        </w:numPr>
        <w:spacing w:after="60"/>
      </w:pPr>
      <w:r>
        <w:rPr>
          <w:rFonts w:ascii="Arial" w:cs="Arial" w:eastAsia="Arial" w:hAnsi="Arial"/>
          <w:color w:val="333333"/>
          <w:sz w:val="20"/>
          <w:szCs w:val="20"/>
        </w:rPr>
        <w:t xml:space="preserve">Cles API GeniusPay stockees en variables d'environnement cote serveur uniquement</w:t>
      </w:r>
    </w:p>
    <w:p>
      <w:pPr>
        <w:pStyle w:val="ListParagraph"/>
        <w:numPr>
          <w:ilvl w:val="0"/>
          <w:numId w:val="3"/>
        </w:numPr>
        <w:spacing w:after="60"/>
      </w:pPr>
      <w:r>
        <w:rPr>
          <w:rFonts w:ascii="Arial" w:cs="Arial" w:eastAsia="Arial" w:hAnsi="Arial"/>
          <w:color w:val="333333"/>
          <w:sz w:val="20"/>
          <w:szCs w:val="20"/>
        </w:rPr>
        <w:t xml:space="preserve">Toutes les transactions validees et enregistrees cote serveur avant creditiation</w:t>
      </w:r>
    </w:p>
    <w:p>
      <w:pPr>
        <w:pStyle w:val="ListParagraph"/>
        <w:numPr>
          <w:ilvl w:val="0"/>
          <w:numId w:val="3"/>
        </w:numPr>
        <w:spacing w:after="60"/>
      </w:pPr>
      <w:r>
        <w:rPr>
          <w:rFonts w:ascii="Arial" w:cs="Arial" w:eastAsia="Arial" w:hAnsi="Arial"/>
          <w:color w:val="333333"/>
          <w:sz w:val="20"/>
          <w:szCs w:val="20"/>
        </w:rPr>
        <w:t xml:space="preserve">Verification des webhooks GeniusPay par signature pour eviter les fraudes</w:t>
      </w:r>
    </w:p>
    <w:p>
      <w:pPr>
        <w:pStyle w:val="ListParagraph"/>
        <w:numPr>
          <w:ilvl w:val="0"/>
          <w:numId w:val="3"/>
        </w:numPr>
        <w:spacing w:after="60"/>
      </w:pPr>
      <w:r>
        <w:rPr>
          <w:rFonts w:ascii="Arial" w:cs="Arial" w:eastAsia="Arial" w:hAnsi="Arial"/>
          <w:color w:val="333333"/>
          <w:sz w:val="20"/>
          <w:szCs w:val="20"/>
        </w:rPr>
        <w:t xml:space="preserve">Historique complet et tracabilite de chaque operation financiere</w:t>
      </w:r>
    </w:p>
    <w:p>
      <w:pPr>
        <w:pStyle w:val="ListParagraph"/>
        <w:numPr>
          <w:ilvl w:val="0"/>
          <w:numId w:val="3"/>
        </w:numPr>
        <w:spacing w:after="60"/>
      </w:pPr>
      <w:r>
        <w:rPr>
          <w:rFonts w:ascii="Arial" w:cs="Arial" w:eastAsia="Arial" w:hAnsi="Arial"/>
          <w:color w:val="333333"/>
          <w:sz w:val="20"/>
          <w:szCs w:val="20"/>
        </w:rPr>
        <w:t xml:space="preserve">Infrastructure GeniusPay conforme PCI DSS</w:t>
      </w:r>
    </w:p>
    <w:p>
      <w:pPr>
        <w:spacing w:after="100"/>
      </w:pPr>
    </w:p>
    <w:p>
      <w:pPr>
        <w:pStyle w:val="Heading1"/>
      </w:pPr>
      <w:r>
        <w:rPr>
          <w:rFonts w:ascii="Arial" w:cs="Arial" w:eastAsia="Arial" w:hAnsi="Arial"/>
          <w:b/>
          <w:bCs/>
          <w:color w:val="1B3A5C"/>
          <w:sz w:val="32"/>
          <w:szCs w:val="32"/>
        </w:rPr>
        <w:t xml:space="preserve">5. PROJECTIONS FINANCIERES</w:t>
      </w:r>
    </w:p>
    <w:p>
      <w:pPr>
        <w:pStyle w:val="Heading2"/>
      </w:pPr>
      <w:r>
        <w:rPr>
          <w:rFonts w:ascii="Arial" w:cs="Arial" w:eastAsia="Arial" w:hAnsi="Arial"/>
          <w:b/>
          <w:bCs/>
          <w:color w:val="1B3A5C"/>
          <w:sz w:val="26"/>
          <w:szCs w:val="26"/>
        </w:rPr>
        <w:t xml:space="preserve">5.1 Objectifs Annee 1</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75"/>
        <w:gridCol w:w="2576"/>
        <w:gridCol w:w="2575"/>
      </w:tblGrid>
      <w:tr>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Trimestre</w:t>
            </w:r>
          </w:p>
        </w:tc>
        <w:tc>
          <w:tcPr>
            <w:tcW w:type="dxa" w:w="2075"/>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Utilisateurs</w:t>
            </w:r>
          </w:p>
        </w:tc>
        <w:tc>
          <w:tcPr>
            <w:tcW w:type="dxa" w:w="257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Transactions / mois</w:t>
            </w:r>
          </w:p>
        </w:tc>
        <w:tc>
          <w:tcPr>
            <w:tcW w:type="dxa" w:w="2575"/>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 mensuel estime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T1</w:t>
            </w:r>
          </w:p>
        </w:tc>
        <w:tc>
          <w:tcPr>
            <w:tcW w:type="dxa" w:w="20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25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25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50 000 FCFA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T2</w:t>
            </w:r>
          </w:p>
        </w:tc>
        <w:tc>
          <w:tcPr>
            <w:tcW w:type="dxa" w:w="20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w:t>
            </w:r>
          </w:p>
        </w:tc>
        <w:tc>
          <w:tcPr>
            <w:tcW w:type="dxa" w:w="25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2 000</w:t>
            </w:r>
          </w:p>
        </w:tc>
        <w:tc>
          <w:tcPr>
            <w:tcW w:type="dxa" w:w="25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150 000 FCFA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T3</w:t>
            </w:r>
          </w:p>
        </w:tc>
        <w:tc>
          <w:tcPr>
            <w:tcW w:type="dxa" w:w="20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25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5 000</w:t>
            </w:r>
          </w:p>
        </w:tc>
        <w:tc>
          <w:tcPr>
            <w:tcW w:type="dxa" w:w="25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300 000 FCFA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T4</w:t>
            </w:r>
          </w:p>
        </w:tc>
        <w:tc>
          <w:tcPr>
            <w:tcW w:type="dxa" w:w="20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1 000</w:t>
            </w:r>
          </w:p>
        </w:tc>
        <w:tc>
          <w:tcPr>
            <w:tcW w:type="dxa" w:w="25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10 000</w:t>
            </w:r>
          </w:p>
        </w:tc>
        <w:tc>
          <w:tcPr>
            <w:tcW w:type="dxa" w:w="25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500 000 FCFA</w:t>
            </w:r>
          </w:p>
        </w:tc>
      </w:tr>
    </w:tbl>
    <w:p>
      <w:pPr>
        <w:pStyle w:val="Heading2"/>
      </w:pPr>
      <w:r>
        <w:rPr>
          <w:rFonts w:ascii="Arial" w:cs="Arial" w:eastAsia="Arial" w:hAnsi="Arial"/>
          <w:b/>
          <w:bCs/>
          <w:color w:val="1B3A5C"/>
          <w:sz w:val="26"/>
          <w:szCs w:val="26"/>
        </w:rPr>
        <w:t xml:space="preserve">5.2 Volume de flux via GeniusPay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6"/>
        <w:gridCol w:w="2275"/>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Periode</w:t>
            </w:r>
          </w:p>
        </w:tc>
        <w:tc>
          <w:tcPr>
            <w:tcW w:type="dxa" w:w="2275"/>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Rechargements</w:t>
            </w:r>
          </w:p>
        </w:tc>
        <w:tc>
          <w:tcPr>
            <w:tcW w:type="dxa" w:w="227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Transferts sortants</w:t>
            </w:r>
          </w:p>
        </w:tc>
        <w:tc>
          <w:tcPr>
            <w:tcW w:type="dxa" w:w="2275"/>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flux</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Mois 1 a 3</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2 000 000 FCFA</w:t>
            </w:r>
          </w:p>
        </w:tc>
        <w:tc>
          <w:tcPr>
            <w:tcW w:type="dxa" w:w="22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1 500 000 FCFA</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3 500 000 FCFA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Mois 4 a 6</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5 000 000 FCFA</w:t>
            </w:r>
          </w:p>
        </w:tc>
        <w:tc>
          <w:tcPr>
            <w:tcW w:type="dxa" w:w="22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4 000 000 FCFA</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9 000 000 FCFA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Mois 7 a 12</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15 000 000 FCFA</w:t>
            </w:r>
          </w:p>
        </w:tc>
        <w:tc>
          <w:tcPr>
            <w:tcW w:type="dxa" w:w="22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12 000 000 FCFA</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27 000 000 FCFA</w:t>
            </w:r>
          </w:p>
        </w:tc>
      </w:tr>
    </w:tbl>
    <w:p>
      <w:pPr>
        <w:pStyle w:val="Heading2"/>
      </w:pPr>
      <w:r>
        <w:rPr>
          <w:rFonts w:ascii="Arial" w:cs="Arial" w:eastAsia="Arial" w:hAnsi="Arial"/>
          <w:b/>
          <w:bCs/>
          <w:color w:val="1B3A5C"/>
          <w:sz w:val="26"/>
          <w:szCs w:val="26"/>
        </w:rPr>
        <w:t xml:space="preserve">5.3 Estimation des frais GeniusPay (taux preferentiel 1%)</w:t>
      </w:r>
    </w:p>
    <w:p>
      <w:pPr>
        <w:spacing w:after="120"/>
        <w:jc w:val="both"/>
      </w:pPr>
      <w:r>
        <w:rPr>
          <w:rFonts w:ascii="Arial" w:cs="Arial" w:eastAsia="Arial" w:hAnsi="Arial"/>
          <w:b w:val="false"/>
          <w:bCs w:val="false"/>
          <w:i w:val="false"/>
          <w:iCs w:val="false"/>
          <w:color w:val="333333"/>
          <w:sz w:val="20"/>
          <w:szCs w:val="20"/>
        </w:rPr>
        <w:t xml:space="preserve">Sur la base du volume projete en Annee 1, voici l'estimation des frais GeniusPay avec le taux preferentiel pionniers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6"/>
        <w:gridCol w:w="2275"/>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Periode</w:t>
            </w:r>
          </w:p>
        </w:tc>
        <w:tc>
          <w:tcPr>
            <w:tcW w:type="dxa" w:w="2275"/>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 total</w:t>
            </w:r>
          </w:p>
        </w:tc>
        <w:tc>
          <w:tcPr>
            <w:tcW w:type="dxa" w:w="227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Commission 1%</w:t>
            </w:r>
          </w:p>
        </w:tc>
        <w:tc>
          <w:tcPr>
            <w:tcW w:type="dxa" w:w="2275"/>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Frais fixes (100F/tx)</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Mois 1 a 3</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3 500 000 FCFA</w:t>
            </w:r>
          </w:p>
        </w:tc>
        <w:tc>
          <w:tcPr>
            <w:tcW w:type="dxa" w:w="22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35 000 FCFA</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~80 000 FCFA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Mois 4 a 6</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9 000 000 FCFA</w:t>
            </w:r>
          </w:p>
        </w:tc>
        <w:tc>
          <w:tcPr>
            <w:tcW w:type="dxa" w:w="22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90 000 FCFA</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~250 000 FCFA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Mois 7 a 12</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27 000 000 FCFA</w:t>
            </w:r>
          </w:p>
        </w:tc>
        <w:tc>
          <w:tcPr>
            <w:tcW w:type="dxa" w:w="227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270 000 FCFA</w:t>
            </w:r>
          </w:p>
        </w:tc>
        <w:tc>
          <w:tcPr>
            <w:tcW w:type="dxa" w:w="2275"/>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~650 000 FCFA</w:t>
            </w:r>
          </w:p>
        </w:tc>
      </w:tr>
    </w:tbl>
    <w:p>
      <w:pPr>
        <w:spacing w:after="120"/>
        <w:jc w:val="both"/>
      </w:pPr>
      <w:r>
        <w:rPr>
          <w:rFonts w:ascii="Arial" w:cs="Arial" w:eastAsia="Arial" w:hAnsi="Arial"/>
          <w:b w:val="false"/>
          <w:bCs w:val="false"/>
          <w:i/>
          <w:iCs/>
          <w:color w:val="333333"/>
          <w:sz w:val="20"/>
          <w:szCs w:val="20"/>
        </w:rPr>
        <w:t xml:space="preserve">Note : Le taux preferentiel de 1% (au lieu de 1,5%) represente une economie d'environ 197 500 FCFA sur l'Annee 1, renforcement la viabilite du projet des sa phase de lancement.</w:t>
      </w:r>
    </w:p>
    <w:p>
      <w:pPr>
        <w:spacing w:after="100"/>
      </w:pPr>
    </w:p>
    <w:p>
      <w:pPr>
        <w:pStyle w:val="Heading1"/>
      </w:pPr>
      <w:r>
        <w:rPr>
          <w:rFonts w:ascii="Arial" w:cs="Arial" w:eastAsia="Arial" w:hAnsi="Arial"/>
          <w:b/>
          <w:bCs/>
          <w:color w:val="1B3A5C"/>
          <w:sz w:val="32"/>
          <w:szCs w:val="32"/>
        </w:rPr>
        <w:t xml:space="preserve">6. EQUIPE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602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Responsabilite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Joachim Axel Zongo</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Fondateur / CEO - Vision strategique, gestion de projet, developpement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Developpeur Full-Stack</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Conception et maintenance de l'application mobile et du backend serveur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 Marketing (a recruter)</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Strategie d'acquisition, communication digitale, gestion de communaute</w:t>
            </w:r>
          </w:p>
        </w:tc>
      </w:tr>
    </w:tbl>
    <w:p>
      <w:pPr>
        <w:spacing w:after="100"/>
      </w:pPr>
    </w:p>
    <w:p>
      <w:pPr>
        <w:pStyle w:val="Heading1"/>
      </w:pPr>
      <w:r>
        <w:rPr>
          <w:rFonts w:ascii="Arial" w:cs="Arial" w:eastAsia="Arial" w:hAnsi="Arial"/>
          <w:b/>
          <w:bCs/>
          <w:color w:val="1B3A5C"/>
          <w:sz w:val="32"/>
          <w:szCs w:val="32"/>
        </w:rPr>
        <w:t xml:space="preserve">7. ARCHITECTURE TECHNIQUE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5526"/>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Application mobile</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 (Expo)</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Serveur backend</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Node.js + Express</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Base de donnees</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Firebase Firestore (NoSQL temps reel)</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Authentification</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Firebase Authentication (OTP telephone)</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Paiement</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GeniusPay API (orchestrateur multi-operateurs)</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Operateurs supportes</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Orange Money, Wave, MTN Money, Cartes bancaires (via GeniusPay)</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Hebergement serveur</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Render.com (Cloud PaaS)</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Notifications</w:t>
            </w:r>
          </w:p>
        </w:tc>
        <w:tc>
          <w:tcPr>
            <w:tcW w:type="dxa" w:w="55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Webhooks GeniusPay + Firebase Cloud Messaging</w:t>
            </w:r>
          </w:p>
        </w:tc>
      </w:tr>
    </w:tbl>
    <w:p>
      <w:pPr>
        <w:spacing w:after="100"/>
      </w:pPr>
    </w:p>
    <w:p>
      <w:pPr>
        <w:pStyle w:val="Heading1"/>
      </w:pPr>
      <w:r>
        <w:rPr>
          <w:rFonts w:ascii="Arial" w:cs="Arial" w:eastAsia="Arial" w:hAnsi="Arial"/>
          <w:b/>
          <w:bCs/>
          <w:color w:val="1B3A5C"/>
          <w:sz w:val="32"/>
          <w:szCs w:val="32"/>
        </w:rPr>
        <w:t xml:space="preserve">8. CONFORMITE ET RESPONSABILITE</w:t>
      </w:r>
    </w:p>
    <w:p>
      <w:pPr>
        <w:pStyle w:val="Heading2"/>
      </w:pPr>
      <w:r>
        <w:rPr>
          <w:rFonts w:ascii="Arial" w:cs="Arial" w:eastAsia="Arial" w:hAnsi="Arial"/>
          <w:b/>
          <w:bCs/>
          <w:color w:val="1B3A5C"/>
          <w:sz w:val="26"/>
          <w:szCs w:val="26"/>
        </w:rPr>
        <w:t xml:space="preserve">8.1 Engagements reglementaires</w:t>
      </w:r>
    </w:p>
    <w:p>
      <w:pPr>
        <w:pStyle w:val="ListParagraph"/>
        <w:numPr>
          <w:ilvl w:val="0"/>
          <w:numId w:val="3"/>
        </w:numPr>
        <w:spacing w:after="60"/>
      </w:pPr>
      <w:r>
        <w:rPr>
          <w:rFonts w:ascii="Arial" w:cs="Arial" w:eastAsia="Arial" w:hAnsi="Arial"/>
          <w:color w:val="333333"/>
          <w:sz w:val="20"/>
          <w:szCs w:val="20"/>
        </w:rPr>
        <w:t xml:space="preserve">Verification stricte de l'age des utilisateurs : acces reserve aux personnes de 18 ans et plus</w:t>
      </w:r>
    </w:p>
    <w:p>
      <w:pPr>
        <w:pStyle w:val="ListParagraph"/>
        <w:numPr>
          <w:ilvl w:val="0"/>
          <w:numId w:val="3"/>
        </w:numPr>
        <w:spacing w:after="60"/>
      </w:pPr>
      <w:r>
        <w:rPr>
          <w:rFonts w:ascii="Arial" w:cs="Arial" w:eastAsia="Arial" w:hAnsi="Arial"/>
          <w:color w:val="333333"/>
          <w:sz w:val="20"/>
          <w:szCs w:val="20"/>
        </w:rPr>
        <w:t xml:space="preserve">Respect des reglementations locales applicables aux plateformes de divertissement numerique au Burkina Faso</w:t>
      </w:r>
    </w:p>
    <w:p>
      <w:pPr>
        <w:pStyle w:val="ListParagraph"/>
        <w:numPr>
          <w:ilvl w:val="0"/>
          <w:numId w:val="3"/>
        </w:numPr>
        <w:spacing w:after="60"/>
      </w:pPr>
      <w:r>
        <w:rPr>
          <w:rFonts w:ascii="Arial" w:cs="Arial" w:eastAsia="Arial" w:hAnsi="Arial"/>
          <w:color w:val="333333"/>
          <w:sz w:val="20"/>
          <w:szCs w:val="20"/>
        </w:rPr>
        <w:t xml:space="preserve">Protection des donnees personnelles conformement aux lois en vigueur</w:t>
      </w:r>
    </w:p>
    <w:p>
      <w:pPr>
        <w:pStyle w:val="ListParagraph"/>
        <w:numPr>
          <w:ilvl w:val="0"/>
          <w:numId w:val="3"/>
        </w:numPr>
        <w:spacing w:after="60"/>
      </w:pPr>
      <w:r>
        <w:rPr>
          <w:rFonts w:ascii="Arial" w:cs="Arial" w:eastAsia="Arial" w:hAnsi="Arial"/>
          <w:color w:val="333333"/>
          <w:sz w:val="20"/>
          <w:szCs w:val="20"/>
        </w:rPr>
        <w:t xml:space="preserve">Transparence totale sur les frais de service et commissions appliques</w:t>
      </w:r>
    </w:p>
    <w:p>
      <w:pPr>
        <w:pStyle w:val="ListParagraph"/>
        <w:numPr>
          <w:ilvl w:val="0"/>
          <w:numId w:val="3"/>
        </w:numPr>
        <w:spacing w:after="60"/>
      </w:pPr>
      <w:r>
        <w:rPr>
          <w:rFonts w:ascii="Arial" w:cs="Arial" w:eastAsia="Arial" w:hAnsi="Arial"/>
          <w:color w:val="333333"/>
          <w:sz w:val="20"/>
          <w:szCs w:val="20"/>
        </w:rPr>
        <w:t xml:space="preserve">Mecanismes de limitation d'utilisation pour promouvoir un usage responsable de la plateforme</w:t>
      </w:r>
    </w:p>
    <w:p>
      <w:pPr>
        <w:pStyle w:val="ListParagraph"/>
        <w:numPr>
          <w:ilvl w:val="0"/>
          <w:numId w:val="3"/>
        </w:numPr>
        <w:spacing w:after="60"/>
      </w:pPr>
      <w:r>
        <w:rPr>
          <w:rFonts w:ascii="Arial" w:cs="Arial" w:eastAsia="Arial" w:hAnsi="Arial"/>
          <w:color w:val="333333"/>
          <w:sz w:val="20"/>
          <w:szCs w:val="20"/>
        </w:rPr>
        <w:t xml:space="preserve">Infrastructure de paiement conforme PCI DSS (via GeniusPay)</w:t>
      </w:r>
    </w:p>
    <w:p>
      <w:pPr>
        <w:pStyle w:val="Heading2"/>
      </w:pPr>
      <w:r>
        <w:rPr>
          <w:rFonts w:ascii="Arial" w:cs="Arial" w:eastAsia="Arial" w:hAnsi="Arial"/>
          <w:b/>
          <w:bCs/>
          <w:color w:val="1B3A5C"/>
          <w:sz w:val="26"/>
          <w:szCs w:val="26"/>
        </w:rPr>
        <w:t xml:space="preserve">8.2 Mesures de prevention de la fraude</w:t>
      </w:r>
    </w:p>
    <w:p>
      <w:pPr>
        <w:pStyle w:val="ListParagraph"/>
        <w:numPr>
          <w:ilvl w:val="0"/>
          <w:numId w:val="3"/>
        </w:numPr>
        <w:spacing w:after="60"/>
      </w:pPr>
      <w:r>
        <w:rPr>
          <w:rFonts w:ascii="Arial" w:cs="Arial" w:eastAsia="Arial" w:hAnsi="Arial"/>
          <w:color w:val="333333"/>
          <w:sz w:val="20"/>
          <w:szCs w:val="20"/>
        </w:rPr>
        <w:t xml:space="preserve">Verification d'identite par numero de telephone unique (OTP)</w:t>
      </w:r>
    </w:p>
    <w:p>
      <w:pPr>
        <w:pStyle w:val="ListParagraph"/>
        <w:numPr>
          <w:ilvl w:val="0"/>
          <w:numId w:val="3"/>
        </w:numPr>
        <w:spacing w:after="60"/>
      </w:pPr>
      <w:r>
        <w:rPr>
          <w:rFonts w:ascii="Arial" w:cs="Arial" w:eastAsia="Arial" w:hAnsi="Arial"/>
          <w:color w:val="333333"/>
          <w:sz w:val="20"/>
          <w:szCs w:val="20"/>
        </w:rPr>
        <w:t xml:space="preserve">Systeme de detection automatique des comportements suspects ou inhabituels</w:t>
      </w:r>
    </w:p>
    <w:p>
      <w:pPr>
        <w:pStyle w:val="ListParagraph"/>
        <w:numPr>
          <w:ilvl w:val="0"/>
          <w:numId w:val="3"/>
        </w:numPr>
        <w:spacing w:after="60"/>
      </w:pPr>
      <w:r>
        <w:rPr>
          <w:rFonts w:ascii="Arial" w:cs="Arial" w:eastAsia="Arial" w:hAnsi="Arial"/>
          <w:color w:val="333333"/>
          <w:sz w:val="20"/>
          <w:szCs w:val="20"/>
        </w:rPr>
        <w:t xml:space="preserve">Plafonds de transactions journaliers pour proteger les utilisateurs</w:t>
      </w:r>
    </w:p>
    <w:p>
      <w:pPr>
        <w:pStyle w:val="ListParagraph"/>
        <w:numPr>
          <w:ilvl w:val="0"/>
          <w:numId w:val="3"/>
        </w:numPr>
        <w:spacing w:after="60"/>
      </w:pPr>
      <w:r>
        <w:rPr>
          <w:rFonts w:ascii="Arial" w:cs="Arial" w:eastAsia="Arial" w:hAnsi="Arial"/>
          <w:color w:val="333333"/>
          <w:sz w:val="20"/>
          <w:szCs w:val="20"/>
        </w:rPr>
        <w:t xml:space="preserve">Procedures KYC (Know Your Customer) pour les volumes de transactions eleves</w:t>
      </w:r>
    </w:p>
    <w:p>
      <w:pPr>
        <w:pStyle w:val="ListParagraph"/>
        <w:numPr>
          <w:ilvl w:val="0"/>
          <w:numId w:val="3"/>
        </w:numPr>
        <w:spacing w:after="60"/>
      </w:pPr>
      <w:r>
        <w:rPr>
          <w:rFonts w:ascii="Arial" w:cs="Arial" w:eastAsia="Arial" w:hAnsi="Arial"/>
          <w:color w:val="333333"/>
          <w:sz w:val="20"/>
          <w:szCs w:val="20"/>
        </w:rPr>
        <w:t xml:space="preserve">Journalisation et audit de toutes les operations financieres</w:t>
      </w:r>
    </w:p>
    <w:p>
      <w:pPr>
        <w:pStyle w:val="ListParagraph"/>
        <w:numPr>
          <w:ilvl w:val="0"/>
          <w:numId w:val="3"/>
        </w:numPr>
        <w:spacing w:after="60"/>
      </w:pPr>
      <w:r>
        <w:rPr>
          <w:rFonts w:ascii="Arial" w:cs="Arial" w:eastAsia="Arial" w:hAnsi="Arial"/>
          <w:color w:val="333333"/>
          <w:sz w:val="20"/>
          <w:szCs w:val="20"/>
        </w:rPr>
        <w:t xml:space="preserve">Verification de la signature des webhooks GeniusPay pour empecher les transactions frauduleuses</w:t>
      </w:r>
    </w:p>
    <w:p>
      <w:pPr>
        <w:spacing w:after="100"/>
      </w:pPr>
    </w:p>
    <w:p>
      <w:pPr>
        <w:pStyle w:val="Heading1"/>
      </w:pPr>
      <w:r>
        <w:rPr>
          <w:rFonts w:ascii="Arial" w:cs="Arial" w:eastAsia="Arial" w:hAnsi="Arial"/>
          <w:b/>
          <w:bCs/>
          <w:color w:val="1B3A5C"/>
          <w:sz w:val="32"/>
          <w:szCs w:val="32"/>
        </w:rPr>
        <w:t xml:space="preserve">9. INFORMATIONS DE CONTACT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Responsable du projet</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Joachim Axel Zongo</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joachimaxelzongo@gmail.com</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Telephone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+226 55 01 26 58</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Adresse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Ouagadougou, Rue Vel Yam, Secteur n 2, Burkina Faso</w:t>
            </w:r>
          </w:p>
        </w:tc>
      </w:tr>
      <w:tr>
        <w:tc>
          <w:tcPr>
            <w:tcW w:type="dxa" w:w="3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Profil GeniusPay</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Startup Mode (programme pionniers - taux preferentiel 1%)</w:t>
            </w:r>
          </w:p>
        </w:tc>
      </w:tr>
    </w:tbl>
    <w:p>
      <w:pPr>
        <w:spacing w:after="100"/>
      </w:pPr>
    </w:p>
    <w:p>
      <w:pPr>
        <w:pStyle w:val="Heading1"/>
      </w:pPr>
      <w:r>
        <w:rPr>
          <w:rFonts w:ascii="Arial" w:cs="Arial" w:eastAsia="Arial" w:hAnsi="Arial"/>
          <w:b/>
          <w:bCs/>
          <w:color w:val="1B3A5C"/>
          <w:sz w:val="32"/>
          <w:szCs w:val="32"/>
        </w:rPr>
        <w:t xml:space="preserve">10. DOCUMENTS JOINTS</w:t>
      </w:r>
    </w:p>
    <w:p>
      <w:pPr>
        <w:spacing w:after="100"/>
      </w:pPr>
    </w:p>
    <w:p>
      <w:pPr>
        <w:pStyle w:val="ListParagraph"/>
        <w:numPr>
          <w:ilvl w:val="0"/>
          <w:numId w:val="3"/>
        </w:numPr>
        <w:spacing w:after="60"/>
      </w:pPr>
      <w:r>
        <w:rPr>
          <w:rFonts w:ascii="Arial" w:cs="Arial" w:eastAsia="Arial" w:hAnsi="Arial"/>
          <w:color w:val="333333"/>
          <w:sz w:val="20"/>
          <w:szCs w:val="20"/>
        </w:rPr>
        <w:t xml:space="preserve">Piece d'identite du porteur de projet (CNI / Passeport)</w:t>
      </w:r>
    </w:p>
    <w:p>
      <w:pPr>
        <w:pStyle w:val="ListParagraph"/>
        <w:numPr>
          <w:ilvl w:val="0"/>
          <w:numId w:val="3"/>
        </w:numPr>
        <w:spacing w:after="60"/>
      </w:pPr>
      <w:r>
        <w:rPr>
          <w:rFonts w:ascii="Arial" w:cs="Arial" w:eastAsia="Arial" w:hAnsi="Arial"/>
          <w:color w:val="333333"/>
          <w:sz w:val="20"/>
          <w:szCs w:val="20"/>
        </w:rPr>
        <w:t xml:space="preserve">Le present business plan</w:t>
      </w:r>
    </w:p>
    <w:p>
      <w:pPr>
        <w:pStyle w:val="ListParagraph"/>
        <w:numPr>
          <w:ilvl w:val="0"/>
          <w:numId w:val="3"/>
        </w:numPr>
        <w:spacing w:after="60"/>
      </w:pPr>
      <w:r>
        <w:rPr>
          <w:rFonts w:ascii="Arial" w:cs="Arial" w:eastAsia="Arial" w:hAnsi="Arial"/>
          <w:color w:val="333333"/>
          <w:sz w:val="20"/>
          <w:szCs w:val="20"/>
        </w:rPr>
        <w:t xml:space="preserve">Captures d'ecran de l'application (si disponibles)</w:t>
      </w:r>
    </w:p>
    <w:p>
      <w:pPr>
        <w:spacing w:after="100"/>
      </w:pPr>
    </w:p>
    <w:p>
      <w:pPr>
        <w:spacing w:after="100"/>
      </w:pPr>
    </w:p>
    <w:p>
      <w:pPr>
        <w:spacing w:before="400"/>
        <w:jc w:val="center"/>
      </w:pPr>
      <w:r>
        <w:rPr>
          <w:rFonts w:ascii="Arial" w:cs="Arial" w:eastAsia="Arial" w:hAnsi="Arial"/>
          <w:color w:val="D0D5DD"/>
          <w:sz w:val="20"/>
          <w:szCs w:val="20"/>
        </w:rPr>
        <w:t xml:space="preserve">________________________________________</w:t>
      </w:r>
    </w:p>
    <w:p>
      <w:pPr>
        <w:spacing w:after="60"/>
        <w:jc w:val="center"/>
      </w:pPr>
      <w:r>
        <w:rPr>
          <w:rFonts w:ascii="Arial" w:cs="Arial" w:eastAsia="Arial" w:hAnsi="Arial"/>
          <w:i/>
          <w:iCs/>
          <w:color w:val="999999"/>
          <w:sz w:val="18"/>
          <w:szCs w:val="18"/>
        </w:rPr>
        <w:t xml:space="preserve">Document genere le 11 Fevrier 2026 - Version 1.0</w:t>
      </w:r>
    </w:p>
    <w:p>
      <w:pPr>
        <w:jc w:val="center"/>
      </w:pPr>
      <w:r>
        <w:rPr>
          <w:rFonts w:ascii="Arial" w:cs="Arial" w:eastAsia="Arial" w:hAnsi="Arial"/>
          <w:i/>
          <w:iCs/>
          <w:color w:val="999999"/>
          <w:sz w:val="18"/>
          <w:szCs w:val="18"/>
        </w:rPr>
        <w:t xml:space="preserve">P2C - Application de duel de competence | Powered by GeniusPay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Confidentiel - P2C | Joachim Axel Zongo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P2C - Business Plan | GeniusPay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2026-02-11T11:26:44.519Z</dcterms:created>
  <dcterms:modified xsi:type="dcterms:W3CDTF">2026-02-11T11:26:44.520Z</dcterms:modified>
</cp:coreProperties>
</file>

<file path=docProps/custom.xml><?xml version="1.0" encoding="utf-8"?>
<Properties xmlns="http://schemas.openxmlformats.org/officeDocument/2006/custom-properties" xmlns:vt="http://schemas.openxmlformats.org/officeDocument/2006/docPropsVTypes"/>
</file>