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4213D"/>
          <w:sz w:val="44"/>
          <w:szCs w:val="44"/>
        </w:rPr>
        <w:t xml:space="preserve">Libreto de presentación</w:t>
      </w:r>
    </w:p>
    <w:p>
      <w:pPr>
        <w:spacing w:after="160" w:line="320"/>
        <w:rPr>
          <w:color w:val="1F5A80"/>
          <w:sz w:val="28"/>
          <w:szCs w:val="28"/>
        </w:rPr>
      </w:pPr>
      <w:r>
        <w:rPr>
          <w:rFonts w:ascii="Calibri" w:cs="Calibri" w:eastAsia="Calibri" w:hAnsi="Calibri"/>
          <w:color w:val="1F5A80"/>
          <w:sz w:val="28"/>
          <w:szCs w:val="28"/>
        </w:rPr>
        <w:t xml:space="preserve">Avance del trabajo final de Big Data: emisión de SOAT 2025</w:t>
      </w:r>
    </w:p>
    <w:p>
      <w:pPr>
        <w:spacing w:after="160" w:line="320"/>
        <w:rPr>
          <w:i/>
          <w:iCs/>
          <w:color w:val="4A5568"/>
          <w:sz w:val="22"/>
          <w:szCs w:val="22"/>
        </w:rPr>
      </w:pPr>
      <w:r>
        <w:rPr>
          <w:rFonts w:ascii="Calibri" w:cs="Calibri" w:eastAsia="Calibri" w:hAnsi="Calibri"/>
          <w:i/>
          <w:iCs/>
          <w:color w:val="4A5568"/>
          <w:sz w:val="22"/>
          <w:szCs w:val="22"/>
        </w:rPr>
        <w:t xml:space="preserve">Duración aproximada: tres minutos y medio. Dos diapositivas.</w:t>
      </w:r>
    </w:p>
    <w:p>
      <w:pPr>
        <w:pStyle w:val="Heading1"/>
        <w:spacing w:after="160" w:before="320"/>
      </w:pPr>
      <w:r>
        <w:rPr>
          <w:rFonts w:ascii="Calibri" w:cs="Calibri" w:eastAsia="Calibri" w:hAnsi="Calibri"/>
          <w:b/>
          <w:bCs/>
          <w:color w:val="14213D"/>
          <w:sz w:val="32"/>
          <w:szCs w:val="32"/>
        </w:rPr>
        <w:t xml:space="preserve">Diapositiva 1. Cómo se construyó el análisis</w:t>
      </w:r>
    </w:p>
    <w:p>
      <w:pPr>
        <w:pStyle w:val="Heading2"/>
        <w:spacing w:after="160" w:before="320"/>
      </w:pPr>
      <w:r>
        <w:rPr>
          <w:rFonts w:ascii="Calibri" w:cs="Calibri" w:eastAsia="Calibri" w:hAnsi="Calibri"/>
          <w:b/>
          <w:bCs/>
          <w:color w:val="14213D"/>
          <w:sz w:val="26"/>
          <w:szCs w:val="26"/>
        </w:rPr>
        <w:t xml:space="preserve">Presentación de la base</w:t>
      </w:r>
    </w:p>
    <w:p>
      <w:pPr>
        <w:spacing w:after="160" w:line="320"/>
      </w:pPr>
      <w:r>
        <w:rPr>
          <w:rFonts w:ascii="Calibri" w:cs="Calibri" w:eastAsia="Calibri" w:hAnsi="Calibri"/>
          <w:sz w:val="24"/>
          <w:szCs w:val="24"/>
        </w:rPr>
        <w:t xml:space="preserve">Buenos días. Nuestro trabajo analiza la emisión de SOAT durante 2025. La pregunta que queremos responder es cómo se distribuye la emisión por mes y por sucursal, qué reserva deja al cierre del año y dónde se concentran los siniestros.</w:t>
      </w:r>
    </w:p>
    <w:p>
      <w:pPr>
        <w:spacing w:after="160" w:line="320"/>
      </w:pPr>
      <w:r>
        <w:rPr>
          <w:rFonts w:ascii="Calibri" w:cs="Calibri" w:eastAsia="Calibri" w:hAnsi="Calibri"/>
          <w:sz w:val="24"/>
          <w:szCs w:val="24"/>
        </w:rPr>
        <w:t xml:space="preserve">Trabajamos con la base de reserva de prima no devengada a diciembre de 2025: pesa 1,77 gigas y tiene 3,3 millones de registros de 27 sucursales. Seguimos la metodología CRISP-DM y la unidad de análisis es la póliza.</w:t>
      </w:r>
    </w:p>
    <w:p>
      <w:pPr>
        <w:pStyle w:val="Heading2"/>
        <w:spacing w:after="160" w:before="320"/>
      </w:pPr>
      <w:r>
        <w:rPr>
          <w:rFonts w:ascii="Calibri" w:cs="Calibri" w:eastAsia="Calibri" w:hAnsi="Calibri"/>
          <w:b/>
          <w:bCs/>
          <w:color w:val="14213D"/>
          <w:sz w:val="26"/>
          <w:szCs w:val="26"/>
        </w:rPr>
        <w:t xml:space="preserve">Seudonimización</w:t>
      </w:r>
    </w:p>
    <w:p>
      <w:pPr>
        <w:spacing w:after="160" w:line="320"/>
      </w:pPr>
      <w:r>
        <w:rPr>
          <w:rFonts w:ascii="Calibri" w:cs="Calibri" w:eastAsia="Calibri" w:hAnsi="Calibri"/>
          <w:sz w:val="24"/>
          <w:szCs w:val="24"/>
        </w:rPr>
        <w:t xml:space="preserve">Antes de cualquier análisis seudonimizamos los datos, porque la base original contiene información personal de los asegurados y además no se debe subir el dato original a la nube.</w:t>
      </w:r>
    </w:p>
    <w:p>
      <w:pPr>
        <w:spacing w:after="160" w:line="320"/>
      </w:pPr>
      <w:r>
        <w:rPr>
          <w:rFonts w:ascii="Calibri" w:cs="Calibri" w:eastAsia="Calibri" w:hAnsi="Calibri"/>
          <w:sz w:val="24"/>
          <w:szCs w:val="24"/>
        </w:rPr>
        <w:t xml:space="preserve">Hicimos tres cosas. Primero, eliminamos por completo la columna de identificación del asegurado en la base de reserva, y en la base de siniestros eliminamos los nombres y el código del tercero.</w:t>
      </w:r>
    </w:p>
    <w:p>
      <w:pPr>
        <w:spacing w:after="160" w:line="320"/>
      </w:pPr>
      <w:r>
        <w:rPr>
          <w:rFonts w:ascii="Calibri" w:cs="Calibri" w:eastAsia="Calibri" w:hAnsi="Calibri"/>
          <w:sz w:val="24"/>
          <w:szCs w:val="24"/>
        </w:rPr>
        <w:t xml:space="preserve">Segundo, no dejamos el número de póliza a la vista, porque con un número de SOAT se puede consultar el vehículo y su propietario. Lo reemplazamos por un código generado a partir de la sucursal y el número de póliza, usando una clave secreta. El mismo procedimiento se aplicó en las dos bases, así que una póliza tiene el mismo código en reserva y en siniestros. Esa es nuestra llave de análisis: nos permite cruzar las dos fuentes sin conocer el número real.</w:t>
      </w:r>
    </w:p>
    <w:p>
      <w:pPr>
        <w:spacing w:after="160" w:line="320"/>
      </w:pPr>
      <w:r>
        <w:rPr>
          <w:rFonts w:ascii="Calibri" w:cs="Calibri" w:eastAsia="Calibri" w:hAnsi="Calibri"/>
          <w:sz w:val="24"/>
          <w:szCs w:val="24"/>
        </w:rPr>
        <w:t xml:space="preserve">Tercero, la clave secreta se guarda aparte y no se sube ni al repositorio de GitHub ni a AWS.</w:t>
      </w:r>
    </w:p>
    <w:p>
      <w:pPr>
        <w:spacing w:after="160" w:line="320"/>
      </w:pPr>
      <w:r>
        <w:rPr>
          <w:rFonts w:ascii="Calibri" w:cs="Calibri" w:eastAsia="Calibri" w:hAnsi="Calibri"/>
          <w:sz w:val="24"/>
          <w:szCs w:val="24"/>
        </w:rPr>
        <w:t xml:space="preserve">Hablamos de seudonimización y no de anonimización porque existe esa clave secreta: quien la tenga podría volver a generar los códigos, así que los datos no son irreversibles. Por eso la clave se protege y no se publica.</w:t>
      </w:r>
    </w:p>
    <w:p>
      <w:pPr>
        <w:spacing w:after="160" w:line="320"/>
      </w:pPr>
      <w:r>
        <w:rPr>
          <w:rFonts w:ascii="Calibri" w:cs="Calibri" w:eastAsia="Calibri" w:hAnsi="Calibri"/>
          <w:sz w:val="24"/>
          <w:szCs w:val="24"/>
        </w:rPr>
        <w:t xml:space="preserve">Verificamos que el cruce funciona igual que con los datos originales: enlazan 75.169 registros de siniestros, correspondientes a 57.374 pólizas.</w:t>
      </w:r>
    </w:p>
    <w:p>
      <w:pPr>
        <w:pStyle w:val="Heading2"/>
        <w:spacing w:after="160" w:before="320"/>
      </w:pPr>
      <w:r>
        <w:rPr>
          <w:rFonts w:ascii="Calibri" w:cs="Calibri" w:eastAsia="Calibri" w:hAnsi="Calibri"/>
          <w:b/>
          <w:bCs/>
          <w:color w:val="14213D"/>
          <w:sz w:val="26"/>
          <w:szCs w:val="26"/>
        </w:rPr>
        <w:t xml:space="preserve">Parametrización</w:t>
      </w:r>
    </w:p>
    <w:p>
      <w:pPr>
        <w:spacing w:after="160" w:line="320"/>
      </w:pPr>
      <w:r>
        <w:rPr>
          <w:rFonts w:ascii="Calibri" w:cs="Calibri" w:eastAsia="Calibri" w:hAnsi="Calibri"/>
          <w:sz w:val="24"/>
          <w:szCs w:val="24"/>
        </w:rPr>
        <w:t xml:space="preserve">En la parametrización tomamos tres decisiones. Primera, la lectura: el archivo viene separado por virgulilla y trae 71 columnas, de las cuales leemos solo las 9 que necesita el análisis. Segunda, Dask divide el archivo en bloques de 128 megas, que son las particiones que se procesan en paralelo. Tercera, la configuración del clúster: con 2 workers de 2 gigas cada uno, leer, limpiar y guardar toda la base tomó 53,5 segundos; la segunda configuración, de 4 workers con 1 giga, la estamos midiendo para comparar.</w:t>
      </w:r>
    </w:p>
    <w:p>
      <w:pPr>
        <w:pStyle w:val="Heading2"/>
        <w:spacing w:after="160" w:before="320"/>
      </w:pPr>
      <w:r>
        <w:rPr>
          <w:rFonts w:ascii="Calibri" w:cs="Calibri" w:eastAsia="Calibri" w:hAnsi="Calibri"/>
          <w:b/>
          <w:bCs/>
          <w:color w:val="14213D"/>
          <w:sz w:val="26"/>
          <w:szCs w:val="26"/>
        </w:rPr>
        <w:t xml:space="preserve">Codificación</w:t>
      </w:r>
    </w:p>
    <w:p>
      <w:pPr>
        <w:spacing w:after="160" w:line="320"/>
      </w:pPr>
      <w:r>
        <w:rPr>
          <w:rFonts w:ascii="Calibri" w:cs="Calibri" w:eastAsia="Calibri" w:hAnsi="Calibri"/>
          <w:sz w:val="24"/>
          <w:szCs w:val="24"/>
        </w:rPr>
        <w:t xml:space="preserve">En la codificación, leemos todo como texto y luego convertimos las fechas y los valores a sus tipos correctos. Creamos dos variables nuevas, el mes de emisión y los días de anticipación entre la compra y el inicio de vigencia, y definimos la variable objetivo: si la póliza tuvo o no siniestro. El resultado se guarda en Parquet, que es un formato comprimido y mucho más rápido de consultar.</w:t>
      </w:r>
    </w:p>
    <w:p>
      <w:pPr>
        <w:pStyle w:val="Heading2"/>
        <w:spacing w:after="160" w:before="320"/>
      </w:pPr>
      <w:r>
        <w:rPr>
          <w:rFonts w:ascii="Calibri" w:cs="Calibri" w:eastAsia="Calibri" w:hAnsi="Calibri"/>
          <w:b/>
          <w:bCs/>
          <w:color w:val="14213D"/>
          <w:sz w:val="26"/>
          <w:szCs w:val="26"/>
        </w:rPr>
        <w:t xml:space="preserve">Estado del trabajo</w:t>
      </w:r>
    </w:p>
    <w:p>
      <w:pPr>
        <w:spacing w:after="160" w:line="320"/>
      </w:pPr>
      <w:r>
        <w:rPr>
          <w:rFonts w:ascii="Calibri" w:cs="Calibri" w:eastAsia="Calibri" w:hAnsi="Calibri"/>
          <w:sz w:val="24"/>
          <w:szCs w:val="24"/>
        </w:rPr>
        <w:t xml:space="preserve">En resumen: ya tenemos la seudonimización, el análisis exploratorio y el cruce con siniestros. Estamos terminando la comparación de Dask, y nos falta el flujo de Prefect, subir los resultados a AWS, el tablero de Grafana y el informe.</w:t>
      </w:r>
    </w:p>
    <w:p>
      <w:pPr>
        <w:pStyle w:val="Heading1"/>
        <w:spacing w:after="160" w:before="320"/>
      </w:pPr>
      <w:r>
        <w:rPr>
          <w:rFonts w:ascii="Calibri" w:cs="Calibri" w:eastAsia="Calibri" w:hAnsi="Calibri"/>
          <w:b/>
          <w:bCs/>
          <w:color w:val="14213D"/>
          <w:sz w:val="32"/>
          <w:szCs w:val="32"/>
        </w:rPr>
        <w:t xml:space="preserve">Diapositiva 2. Hallazgos</w:t>
      </w:r>
    </w:p>
    <w:p>
      <w:pPr>
        <w:spacing w:after="160" w:line="320"/>
      </w:pPr>
      <w:r>
        <w:rPr>
          <w:rFonts w:ascii="Calibri" w:cs="Calibri" w:eastAsia="Calibri" w:hAnsi="Calibri"/>
          <w:sz w:val="24"/>
          <w:szCs w:val="24"/>
        </w:rPr>
        <w:t xml:space="preserve">Estos son los primeros hallazgos. La gráfica muestra las pólizas emitidas cada mes de 2025. La emisión se mueve entre 225 mil y 293 mil pólizas mensuales, con un valle de abril a junio y un pico muy claro en diciembre, con 411 mil pólizas. Eso es 57 por ciento más que el promedio de los otros once meses.</w:t>
      </w:r>
    </w:p>
    <w:p>
      <w:pPr>
        <w:spacing w:after="160" w:line="320"/>
      </w:pPr>
      <w:r>
        <w:rPr>
          <w:rFonts w:ascii="Calibri" w:cs="Calibri" w:eastAsia="Calibri" w:hAnsi="Calibri"/>
          <w:sz w:val="24"/>
          <w:szCs w:val="24"/>
        </w:rPr>
        <w:t xml:space="preserve">Ese pico se refleja en la reserva. La reserva de prima no devengada al cierre ronda los 610 mil millones de pesos, y cerca del 22 por ciento viene solo de lo emitido en diciembre. La razón es doble: son las pólizas más recientes, a las que les falta casi todo el año por devengar, y además fue el mes de mayor venta.</w:t>
      </w:r>
    </w:p>
    <w:p>
      <w:pPr>
        <w:spacing w:after="160" w:line="320"/>
      </w:pPr>
      <w:r>
        <w:rPr>
          <w:rFonts w:ascii="Calibri" w:cs="Calibri" w:eastAsia="Calibri" w:hAnsi="Calibri"/>
          <w:sz w:val="24"/>
          <w:szCs w:val="24"/>
        </w:rPr>
        <w:t xml:space="preserve">El tercer hallazgo es de comportamiento: la mediana de anticipación es de un día. Es decir, la mayoría de las personas compra el SOAT el día anterior a que empiece la vigencia.</w:t>
      </w:r>
    </w:p>
    <w:p>
      <w:pPr>
        <w:spacing w:after="160" w:line="320"/>
      </w:pPr>
      <w:r>
        <w:rPr>
          <w:rFonts w:ascii="Calibri" w:cs="Calibri" w:eastAsia="Calibri" w:hAnsi="Calibri"/>
          <w:sz w:val="24"/>
          <w:szCs w:val="24"/>
        </w:rPr>
        <w:t xml:space="preserve">Para cerrar, dos limitaciones que tenemos presentes. La base cubre un solo año de emisión, por eso describimos lo que pasó en 2025 y no afirmamos que haya estacionalidad; para eso necesitaríamos más años. Y de los siniestros, logramos enlazar el 53 por ciento de los registros, concentrados en los últimos meses, así que todavía no calculamos una siniestralidad anual.</w:t>
      </w:r>
    </w:p>
    <w:p>
      <w:pPr>
        <w:spacing w:after="160" w:line="320"/>
      </w:pPr>
      <w:r>
        <w:rPr>
          <w:rFonts w:ascii="Calibri" w:cs="Calibri" w:eastAsia="Calibri" w:hAnsi="Calibri"/>
          <w:sz w:val="24"/>
          <w:szCs w:val="24"/>
        </w:rPr>
        <w:t xml:space="preserve">Muchas gracias.</w:t>
      </w:r>
    </w:p>
    <w:p>
      <w:pPr>
        <w:pStyle w:val="Heading1"/>
        <w:spacing w:after="160" w:before="320"/>
      </w:pPr>
      <w:r>
        <w:rPr>
          <w:rFonts w:ascii="Calibri" w:cs="Calibri" w:eastAsia="Calibri" w:hAnsi="Calibri"/>
          <w:b/>
          <w:bCs/>
          <w:color w:val="14213D"/>
          <w:sz w:val="32"/>
          <w:szCs w:val="32"/>
        </w:rPr>
        <w:t xml:space="preserve">Preguntas posibles y respuestas</w:t>
      </w:r>
    </w:p>
    <w:p>
      <w:pPr>
        <w:pStyle w:val="ListParagraph"/>
        <w:numPr>
          <w:ilvl w:val="0"/>
          <w:numId w:val="2"/>
        </w:numPr>
        <w:spacing w:after="120" w:line="300"/>
      </w:pPr>
      <w:r>
        <w:rPr>
          <w:rFonts w:ascii="Calibri" w:cs="Calibri" w:eastAsia="Calibri" w:hAnsi="Calibri"/>
          <w:b/>
          <w:bCs/>
          <w:sz w:val="24"/>
          <w:szCs w:val="24"/>
        </w:rPr>
        <w:t xml:space="preserve">¿Por qué seudonimización y no anonimización? </w:t>
      </w:r>
      <w:r>
        <w:rPr>
          <w:rFonts w:ascii="Calibri" w:cs="Calibri" w:eastAsia="Calibri" w:hAnsi="Calibri"/>
          <w:sz w:val="24"/>
          <w:szCs w:val="24"/>
        </w:rPr>
        <w:t xml:space="preserve">Porque existe una clave secreta con la que se generaron los códigos. Mientras exista, quien la tenga puede regenerarlos. Si al terminar el trabajo se elimina la clave, el proceso queda irreversible.</w:t>
      </w:r>
    </w:p>
    <w:p>
      <w:pPr>
        <w:pStyle w:val="ListParagraph"/>
        <w:numPr>
          <w:ilvl w:val="0"/>
          <w:numId w:val="2"/>
        </w:numPr>
        <w:spacing w:after="120" w:line="300"/>
      </w:pPr>
      <w:r>
        <w:rPr>
          <w:rFonts w:ascii="Calibri" w:cs="Calibri" w:eastAsia="Calibri" w:hAnsi="Calibri"/>
          <w:b/>
          <w:bCs/>
          <w:sz w:val="24"/>
          <w:szCs w:val="24"/>
        </w:rPr>
        <w:t xml:space="preserve">¿Qué técnica usaron? </w:t>
      </w:r>
      <w:r>
        <w:rPr>
          <w:rFonts w:ascii="Calibri" w:cs="Calibri" w:eastAsia="Calibri" w:hAnsi="Calibri"/>
          <w:sz w:val="24"/>
          <w:szCs w:val="24"/>
        </w:rPr>
        <w:t xml:space="preserve">Una función hash con clave (BLAKE2b), que convierte la combinación de sucursal y póliza en un código de 16 caracteres.</w:t>
      </w:r>
    </w:p>
    <w:p>
      <w:pPr>
        <w:pStyle w:val="ListParagraph"/>
        <w:numPr>
          <w:ilvl w:val="0"/>
          <w:numId w:val="2"/>
        </w:numPr>
        <w:spacing w:after="120" w:line="300"/>
      </w:pPr>
      <w:r>
        <w:rPr>
          <w:rFonts w:ascii="Calibri" w:cs="Calibri" w:eastAsia="Calibri" w:hAnsi="Calibri"/>
          <w:b/>
          <w:bCs/>
          <w:sz w:val="24"/>
          <w:szCs w:val="24"/>
        </w:rPr>
        <w:t xml:space="preserve">¿Por qué incluir la sucursal en la llave? </w:t>
      </w:r>
      <w:r>
        <w:rPr>
          <w:rFonts w:ascii="Calibri" w:cs="Calibri" w:eastAsia="Calibri" w:hAnsi="Calibri"/>
          <w:sz w:val="24"/>
          <w:szCs w:val="24"/>
        </w:rPr>
        <w:t xml:space="preserve">Porque el número de póliza se repite entre sucursales: hay 3,3 millones de combinaciones sucursal-póliza y solo 2,5 millones de números distintos. Sin la sucursal, el cruce mezclaría pólizas diferentes.</w:t>
      </w:r>
    </w:p>
    <w:p>
      <w:pPr>
        <w:pStyle w:val="ListParagraph"/>
        <w:numPr>
          <w:ilvl w:val="0"/>
          <w:numId w:val="2"/>
        </w:numPr>
        <w:spacing w:after="120" w:line="300"/>
      </w:pPr>
      <w:r>
        <w:rPr>
          <w:rFonts w:ascii="Calibri" w:cs="Calibri" w:eastAsia="Calibri" w:hAnsi="Calibri"/>
          <w:b/>
          <w:bCs/>
          <w:sz w:val="24"/>
          <w:szCs w:val="24"/>
        </w:rPr>
        <w:t xml:space="preserve">¿Qué quedó sin seudonimizar? </w:t>
      </w:r>
      <w:r>
        <w:rPr>
          <w:rFonts w:ascii="Calibri" w:cs="Calibri" w:eastAsia="Calibri" w:hAnsi="Calibri"/>
          <w:sz w:val="24"/>
          <w:szCs w:val="24"/>
        </w:rPr>
        <w:t xml:space="preserve">La sucursal, las fechas y los valores, que no identifican a ninguna persona y son necesarios para el análisis.</w:t>
      </w:r>
    </w:p>
    <w:p>
      <w:pPr>
        <w:pStyle w:val="ListParagraph"/>
        <w:numPr>
          <w:ilvl w:val="0"/>
          <w:numId w:val="2"/>
        </w:numPr>
        <w:spacing w:after="120" w:line="300"/>
      </w:pPr>
      <w:r>
        <w:rPr>
          <w:rFonts w:ascii="Calibri" w:cs="Calibri" w:eastAsia="Calibri" w:hAnsi="Calibri"/>
          <w:b/>
          <w:bCs/>
          <w:sz w:val="24"/>
          <w:szCs w:val="24"/>
        </w:rPr>
        <w:t xml:space="preserve">¿Por qué solo 9 columnas? </w:t>
      </w:r>
      <w:r>
        <w:rPr>
          <w:rFonts w:ascii="Calibri" w:cs="Calibri" w:eastAsia="Calibri" w:hAnsi="Calibri"/>
          <w:sz w:val="24"/>
          <w:szCs w:val="24"/>
        </w:rPr>
        <w:t xml:space="preserve">Porque son las que responden la pregunta; leer menos columnas reduce memoria y tiempo.</w:t>
      </w:r>
    </w:p>
    <w:p>
      <w:pPr>
        <w:pStyle w:val="ListParagraph"/>
        <w:numPr>
          <w:ilvl w:val="0"/>
          <w:numId w:val="2"/>
        </w:numPr>
        <w:spacing w:after="120" w:line="300"/>
      </w:pPr>
      <w:r>
        <w:rPr>
          <w:rFonts w:ascii="Calibri" w:cs="Calibri" w:eastAsia="Calibri" w:hAnsi="Calibri"/>
          <w:b/>
          <w:bCs/>
          <w:sz w:val="24"/>
          <w:szCs w:val="24"/>
        </w:rPr>
        <w:t xml:space="preserve">¿Por qué no cruza el otro 47 % de los siniestros? </w:t>
      </w:r>
      <w:r>
        <w:rPr>
          <w:rFonts w:ascii="Calibri" w:cs="Calibri" w:eastAsia="Calibri" w:hAnsi="Calibri"/>
          <w:sz w:val="24"/>
          <w:szCs w:val="24"/>
        </w:rPr>
        <w:t xml:space="preserve">Corresponden a pólizas más antiguas que ya no están en la reserva de diciembre.</w:t>
      </w:r>
    </w:p>
    <w:p>
      <w:pPr>
        <w:pStyle w:val="ListParagraph"/>
        <w:numPr>
          <w:ilvl w:val="0"/>
          <w:numId w:val="2"/>
        </w:numPr>
        <w:spacing w:after="120" w:line="300"/>
      </w:pPr>
      <w:r>
        <w:rPr>
          <w:rFonts w:ascii="Calibri" w:cs="Calibri" w:eastAsia="Calibri" w:hAnsi="Calibri"/>
          <w:b/>
          <w:bCs/>
          <w:sz w:val="24"/>
          <w:szCs w:val="24"/>
        </w:rPr>
        <w:t xml:space="preserve">¿Qué pasa con las cancelaciones? </w:t>
      </w:r>
      <w:r>
        <w:rPr>
          <w:rFonts w:ascii="Calibri" w:cs="Calibri" w:eastAsia="Calibri" w:hAnsi="Calibri"/>
          <w:sz w:val="24"/>
          <w:szCs w:val="24"/>
        </w:rPr>
        <w:t xml:space="preserve">Son 1.512, el 0,05 % de los registros; vienen con prima negativa y se restan de la emisión.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2026-10-10T15:07:58.460Z</dcterms:created>
  <dcterms:modified xsi:type="dcterms:W3CDTF">2026-10-10T15:07:58.469Z</dcterms:modified>
</cp:coreProperties>
</file>

<file path=docProps/custom.xml><?xml version="1.0" encoding="utf-8"?>
<Properties xmlns="http://schemas.openxmlformats.org/officeDocument/2006/custom-properties" xmlns:vt="http://schemas.openxmlformats.org/officeDocument/2006/docPropsVTypes"/>
</file>