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Guía para migrar otro cliente (esquema) a PostgreSQL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Documento de trabajo con lo aprendido migrando el cliente 85 (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wmswdlegacycostarica</w:t>
      </w:r>
      <w:r>
        <w:rPr>
          <w:rFonts w:ascii="Calibri" w:cs="Calibri" w:eastAsia="Calibri" w:hAnsi="Calibri"/>
          <w:sz w:val="22"/>
          <w:szCs w:val="22"/>
        </w:rPr>
        <w:t xml:space="preserve">) y la base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general</w:t>
      </w:r>
      <w:r>
        <w:rPr>
          <w:rFonts w:ascii="Calibri" w:cs="Calibri" w:eastAsia="Calibri" w:hAnsi="Calibri"/>
          <w:sz w:val="22"/>
          <w:szCs w:val="22"/>
        </w:rPr>
        <w:t xml:space="preserve">. Sirve como lista de verificación para cada cliente que falte.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Siempre probar primero en una copia y con respaldo.</w:t>
      </w:r>
    </w:p>
    <w:p>
      <w:pPr>
        <w:pBdr>
          <w:left w:val="single" w:color="7AA7D8" w:sz="18" w:space="8"/>
        </w:pBdr>
        <w:spacing w:after="120"/>
        <w:ind w:left="36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Reemplaza </w:t>
      </w:r>
      <w:r>
        <w:rPr>
          <w:rFonts w:ascii="Consolas" w:cs="Consolas" w:eastAsia="Consolas" w:hAnsi="Consolas"/>
          <w:i/>
          <w:iCs/>
          <w:sz w:val="21"/>
          <w:szCs w:val="21"/>
          <w:shd w:fill="EEF1F5" w:val="clear"/>
        </w:rPr>
        <w:t xml:space="preserve">wmswdlegacycostarica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 por el esquema del cliente (el nombre de su base en minúsculas, ej. </w:t>
      </w:r>
      <w:r>
        <w:rPr>
          <w:rFonts w:ascii="Consolas" w:cs="Consolas" w:eastAsia="Consolas" w:hAnsi="Consolas"/>
          <w:i/>
          <w:iCs/>
          <w:sz w:val="21"/>
          <w:szCs w:val="21"/>
          <w:shd w:fill="EEF1F5" w:val="clear"/>
        </w:rPr>
        <w:t xml:space="preserve">wmswdclaro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).</w:t>
      </w:r>
    </w:p>
    <w:p>
      <w:pPr>
        <w:pBdr>
          <w:bottom w:val="single" w:color="C7CDD6" w:sz="6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1. Orden recomendado por cliente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701"/>
        <w:gridCol w:w="1745"/>
        <w:gridCol w:w="3014"/>
      </w:tblGrid>
      <w:tr>
        <w:trPr>
          <w:tblHeader/>
        </w:trPr>
        <w:tc>
          <w:tcPr>
            <w:tcW w:type="dxa" w:w="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370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Paso</w:t>
            </w:r>
          </w:p>
        </w:tc>
        <w:tc>
          <w:tcPr>
            <w:tcW w:type="dxa" w:w="174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Dónde</w:t>
            </w:r>
          </w:p>
        </w:tc>
        <w:tc>
          <w:tcPr>
            <w:tcW w:type="dxa" w:w="301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Archivo / herramienta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70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Exportar las funciones del esquema del cliente (DDL)</w:t>
            </w:r>
          </w:p>
        </w:tc>
        <w:tc>
          <w:tcPr>
            <w:tcW w:type="dxa" w:w="174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DBeaver → Funciones → Generar SQL</w:t>
            </w:r>
          </w:p>
        </w:tc>
        <w:tc>
          <w:tcPr>
            <w:tcW w:type="dxa" w:w="301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70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Aplicar correcciones automáticas al archivo exportado</w:t>
            </w:r>
          </w:p>
        </w:tc>
        <w:tc>
          <w:tcPr>
            <w:tcW w:type="dxa" w:w="174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terminal</w:t>
            </w:r>
          </w:p>
        </w:tc>
        <w:tc>
          <w:tcPr>
            <w:tcW w:type="dxa" w:w="301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db/herramientas/corregir_funciones.py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70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Crear las funciones y procedimientos que 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vienen en la exportación</w:t>
            </w:r>
          </w:p>
        </w:tc>
        <w:tc>
          <w:tcPr>
            <w:tcW w:type="dxa" w:w="174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Postgres</w:t>
            </w:r>
          </w:p>
        </w:tc>
        <w:tc>
          <w:tcPr>
            <w:tcW w:type="dxa" w:w="301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db/funciones_faltantes_cliente.sql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db/fn_getdescripcionmovimiento.sql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70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Quitar las llaves foráneas que estaban 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deshabilitadas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en SQL Server</w:t>
            </w:r>
          </w:p>
        </w:tc>
        <w:tc>
          <w:tcPr>
            <w:tcW w:type="dxa" w:w="174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SQL Server → Postgres</w:t>
            </w:r>
          </w:p>
        </w:tc>
        <w:tc>
          <w:tcPr>
            <w:tcW w:type="dxa" w:w="301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db/quitar_fks_deshabilitadas.sql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70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Ejecutar el archivo corregido del paso 2</w:t>
            </w:r>
          </w:p>
        </w:tc>
        <w:tc>
          <w:tcPr>
            <w:tcW w:type="dxa" w:w="174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Postgres</w:t>
            </w:r>
          </w:p>
        </w:tc>
        <w:tc>
          <w:tcPr>
            <w:tcW w:type="dxa" w:w="301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salida de la herramienta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70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Verificar tipos y funciones (consultas de la sección 8)</w:t>
            </w:r>
          </w:p>
        </w:tc>
        <w:tc>
          <w:tcPr>
            <w:tcW w:type="dxa" w:w="174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Postgres</w:t>
            </w:r>
          </w:p>
        </w:tc>
        <w:tc>
          <w:tcPr>
            <w:tcW w:type="dxa" w:w="301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70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Probar las pantallas principales</w:t>
            </w:r>
          </w:p>
        </w:tc>
        <w:tc>
          <w:tcPr>
            <w:tcW w:type="dxa" w:w="174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aplicación</w:t>
            </w:r>
          </w:p>
        </w:tc>
        <w:tc>
          <w:tcPr>
            <w:tcW w:type="dxa" w:w="301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sección 9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Archivos del repositorio relacionados: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48"/>
        <w:gridCol w:w="6012"/>
      </w:tblGrid>
      <w:tr>
        <w:trPr>
          <w:tblHeader/>
        </w:trPr>
        <w:tc>
          <w:tcPr>
            <w:tcW w:type="dxa" w:w="334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Archivo</w:t>
            </w:r>
          </w:p>
        </w:tc>
        <w:tc>
          <w:tcPr>
            <w:tcW w:type="dxa" w:w="601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Para qué sirve</w:t>
            </w:r>
          </w:p>
        </w:tc>
      </w:tr>
      <w:tr>
        <w:trPr>
          <w:tblHeader w:val="false"/>
        </w:trPr>
        <w:tc>
          <w:tcPr>
            <w:tcW w:type="dxa" w:w="334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db/herramientas/corregir_funciones.py</w:t>
            </w:r>
          </w:p>
        </w:tc>
        <w:tc>
          <w:tcPr>
            <w:tcW w:type="dxa" w:w="601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Corrige automáticamente un archivo de funciones exportado (booleanos, mayúsculas, fechas, SQL dinámico, candado de empaque)</w:t>
            </w:r>
          </w:p>
        </w:tc>
      </w:tr>
      <w:tr>
        <w:trPr>
          <w:tblHeader w:val="false"/>
        </w:trPr>
        <w:tc>
          <w:tcPr>
            <w:tcW w:type="dxa" w:w="334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db/funciones_faltantes_cliente.sql</w:t>
            </w:r>
          </w:p>
        </w:tc>
        <w:tc>
          <w:tcPr>
            <w:tcW w:type="dxa" w:w="601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 funciones convertidas a mano (procedimientos que la exportación no trajo)</w:t>
            </w:r>
          </w:p>
        </w:tc>
      </w:tr>
      <w:tr>
        <w:trPr>
          <w:tblHeader w:val="false"/>
        </w:trPr>
        <w:tc>
          <w:tcPr>
            <w:tcW w:type="dxa" w:w="334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db/fn_getdescripcionmovimiento.sql</w:t>
            </w:r>
          </w:p>
        </w:tc>
        <w:tc>
          <w:tcPr>
            <w:tcW w:type="dxa" w:w="601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Función usada por el trigger de movimientos (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trg_updatemovement_fn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334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db/quitar_fks_deshabilitadas.sql</w:t>
            </w:r>
          </w:p>
        </w:tc>
        <w:tc>
          <w:tcPr>
            <w:tcW w:type="dxa" w:w="601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Quita las llaves que SQL Server tenía apagadas</w:t>
            </w:r>
          </w:p>
        </w:tc>
      </w:tr>
      <w:tr>
        <w:trPr>
          <w:tblHeader w:val="false"/>
        </w:trPr>
        <w:tc>
          <w:tcPr>
            <w:tcW w:type="dxa" w:w="334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db/hotfix_*.sql</w:t>
            </w:r>
          </w:p>
        </w:tc>
        <w:tc>
          <w:tcPr>
            <w:tcW w:type="dxa" w:w="601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Atajos con una sola función (ya incluidos en el archivo grande)</w:t>
            </w:r>
          </w:p>
        </w:tc>
      </w:tr>
      <w:tr>
        <w:trPr>
          <w:tblHeader w:val="false"/>
        </w:trPr>
        <w:tc>
          <w:tcPr>
            <w:tcW w:type="dxa" w:w="334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db/FuncionesPostgress_parches.sql</w:t>
            </w:r>
          </w:p>
        </w:tc>
        <w:tc>
          <w:tcPr>
            <w:tcW w:type="dxa" w:w="601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Obsoleto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: ya está incluido en la corrección de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general</w:t>
            </w:r>
          </w:p>
        </w:tc>
      </w:tr>
    </w:tbl>
    <w:p>
      <w:pPr>
        <w:spacing w:after="160"/>
      </w:pPr>
    </w:p>
    <w:p>
      <w:pPr>
        <w:pBdr>
          <w:bottom w:val="single" w:color="C7CDD6" w:sz="6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2. Booleanos: qué convertir y qué NO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2.1 Regla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SQL Server guardaba los flags como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bit</w:t>
      </w:r>
      <w:r>
        <w:rPr>
          <w:rFonts w:ascii="Calibri" w:cs="Calibri" w:eastAsia="Calibri" w:hAnsi="Calibri"/>
          <w:sz w:val="22"/>
          <w:szCs w:val="22"/>
        </w:rPr>
        <w:t xml:space="preserve"> y el código los comparaba con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= 1</w:t>
      </w:r>
      <w:r>
        <w:rPr>
          <w:rFonts w:ascii="Calibri" w:cs="Calibri" w:eastAsia="Calibri" w:hAnsi="Calibri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= 0</w:t>
      </w:r>
      <w:r>
        <w:rPr>
          <w:rFonts w:ascii="Calibri" w:cs="Calibri" w:eastAsia="Calibri" w:hAnsi="Calibri"/>
          <w:sz w:val="22"/>
          <w:szCs w:val="22"/>
        </w:rPr>
        <w:t xml:space="preserve">. En Postgres esas columnas son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boolean</w:t>
      </w:r>
      <w:r>
        <w:rPr>
          <w:rFonts w:ascii="Calibri" w:cs="Calibri" w:eastAsia="Calibri" w:hAnsi="Calibri"/>
          <w:sz w:val="22"/>
          <w:szCs w:val="22"/>
        </w:rPr>
        <w:t xml:space="preserve">, y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boolean = integer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 existe</w:t>
      </w:r>
      <w:r>
        <w:rPr>
          <w:rFonts w:ascii="Calibri" w:cs="Calibri" w:eastAsia="Calibri" w:hAnsi="Calibri"/>
          <w:sz w:val="22"/>
          <w:szCs w:val="22"/>
        </w:rPr>
        <w:t xml:space="preserve"> (error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operator does not exist: boolean = integer</w:t>
      </w:r>
      <w:r>
        <w:rPr>
          <w:rFonts w:ascii="Calibri" w:cs="Calibri" w:eastAsia="Calibri" w:hAnsi="Calibri"/>
          <w:sz w:val="22"/>
          <w:szCs w:val="22"/>
        </w:rPr>
        <w:t xml:space="preserve">).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 hace falta cambiar tipos de columna</w:t>
      </w:r>
      <w:r>
        <w:rPr>
          <w:rFonts w:ascii="Calibri" w:cs="Calibri" w:eastAsia="Calibri" w:hAnsi="Calibri"/>
          <w:sz w:val="22"/>
          <w:szCs w:val="22"/>
        </w:rPr>
        <w:t xml:space="preserve">: ya llegan como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boolean</w:t>
      </w:r>
      <w:r>
        <w:rPr>
          <w:rFonts w:ascii="Calibri" w:cs="Calibri" w:eastAsia="Calibri" w:hAnsi="Calibri"/>
          <w:sz w:val="22"/>
          <w:szCs w:val="22"/>
        </w:rPr>
        <w:t xml:space="preserve">. Lo que hay que corregir son las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comparaciones</w:t>
      </w:r>
      <w:r>
        <w:rPr>
          <w:rFonts w:ascii="Calibri" w:cs="Calibri" w:eastAsia="Calibri" w:hAnsi="Calibri"/>
          <w:sz w:val="22"/>
          <w:szCs w:val="22"/>
        </w:rPr>
        <w:t xml:space="preserve"> en funciones y consultas.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2.2 Columnas que ya son </w:t>
      </w:r>
      <w:r>
        <w:rPr>
          <w:rFonts w:ascii="Consolas" w:cs="Consolas" w:eastAsia="Consolas" w:hAnsi="Consolas"/>
          <w:b/>
          <w:bCs/>
          <w:sz w:val="24"/>
          <w:szCs w:val="24"/>
          <w:shd w:fill="EEF1F5" w:val="clear"/>
        </w:rPr>
        <w:t xml:space="preserve">boolean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 (cliente 85 y </w:t>
      </w:r>
      <w:r>
        <w:rPr>
          <w:rFonts w:ascii="Consolas" w:cs="Consolas" w:eastAsia="Consolas" w:hAnsi="Consolas"/>
          <w:b/>
          <w:bCs/>
          <w:sz w:val="24"/>
          <w:szCs w:val="24"/>
          <w:shd w:fill="EEF1F5" w:val="clear"/>
        </w:rPr>
        <w:t xml:space="preserve">general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Esquema del cliente: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activo</w:t>
      </w:r>
      <w:r>
        <w:rPr>
          <w:rFonts w:ascii="Calibri" w:cs="Calibri" w:eastAsia="Calibri" w:hAnsi="Calibri"/>
          <w:sz w:val="22"/>
          <w:szCs w:val="22"/>
        </w:rPr>
        <w:t xml:space="preserve"> (en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cajadespacho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cajaempaque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cajaingreso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ciclicopallet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ciudad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cliente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codigosap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estado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etiqueta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forecast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hojavida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lote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maestro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manodeobra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pallet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palletlog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posicion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prealerta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tipomaestro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transportadora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usuario</w:t>
      </w:r>
      <w:r>
        <w:rPr>
          <w:rFonts w:ascii="Calibri" w:cs="Calibri" w:eastAsia="Calibri" w:hAnsi="Calibri"/>
          <w:sz w:val="22"/>
          <w:szCs w:val="22"/>
        </w:rPr>
        <w:t xml:space="preserve">),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cruce</w:t>
      </w:r>
      <w:r>
        <w:rPr>
          <w:rFonts w:ascii="Calibri" w:cs="Calibri" w:eastAsia="Calibri" w:hAnsi="Calibri"/>
          <w:sz w:val="22"/>
          <w:szCs w:val="22"/>
        </w:rPr>
        <w:t xml:space="preserve"> (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accesorio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despacho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ingreso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inventariofaltante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logdespacho</w:t>
      </w:r>
      <w:r>
        <w:rPr>
          <w:rFonts w:ascii="Calibri" w:cs="Calibri" w:eastAsia="Calibri" w:hAnsi="Calibri"/>
          <w:sz w:val="22"/>
          <w:szCs w:val="22"/>
        </w:rPr>
        <w:t xml:space="preserve">),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sobrante</w:t>
      </w:r>
      <w:r>
        <w:rPr>
          <w:rFonts w:ascii="Calibri" w:cs="Calibri" w:eastAsia="Calibri" w:hAnsi="Calibri"/>
          <w:sz w:val="22"/>
          <w:szCs w:val="22"/>
        </w:rPr>
        <w:t xml:space="preserve"> (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inventario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inventarioterminado</w:t>
      </w:r>
      <w:r>
        <w:rPr>
          <w:rFonts w:ascii="Calibri" w:cs="Calibri" w:eastAsia="Calibri" w:hAnsi="Calibri"/>
          <w:sz w:val="22"/>
          <w:szCs w:val="22"/>
        </w:rPr>
        <w:t xml:space="preserve">),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bajas</w:t>
      </w:r>
      <w:r>
        <w:rPr>
          <w:rFonts w:ascii="Calibri" w:cs="Calibri" w:eastAsia="Calibri" w:hAnsi="Calibri"/>
          <w:sz w:val="22"/>
          <w:szCs w:val="22"/>
        </w:rPr>
        <w:t xml:space="preserve"> y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usuarioactivo</w:t>
      </w:r>
      <w:r>
        <w:rPr>
          <w:rFonts w:ascii="Calibri" w:cs="Calibri" w:eastAsia="Calibri" w:hAnsi="Calibri"/>
          <w:sz w:val="22"/>
          <w:szCs w:val="22"/>
        </w:rPr>
        <w:t xml:space="preserve"> (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manodeobrausuario</w:t>
      </w:r>
      <w:r>
        <w:rPr>
          <w:rFonts w:ascii="Calibri" w:cs="Calibri" w:eastAsia="Calibri" w:hAnsi="Calibri"/>
          <w:sz w:val="22"/>
          <w:szCs w:val="22"/>
        </w:rPr>
        <w:t xml:space="preserve">),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reimpresion</w:t>
      </w:r>
      <w:r>
        <w:rPr>
          <w:rFonts w:ascii="Calibri" w:cs="Calibri" w:eastAsia="Calibri" w:hAnsi="Calibri"/>
          <w:sz w:val="22"/>
          <w:szCs w:val="22"/>
        </w:rPr>
        <w:t xml:space="preserve"> (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etiquetado</w:t>
      </w:r>
      <w:r>
        <w:rPr>
          <w:rFonts w:ascii="Calibri" w:cs="Calibri" w:eastAsia="Calibri" w:hAnsi="Calibri"/>
          <w:sz w:val="22"/>
          <w:szCs w:val="22"/>
        </w:rPr>
        <w:t xml:space="preserve">), y en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codigosap</w:t>
      </w:r>
      <w:r>
        <w:rPr>
          <w:rFonts w:ascii="Calibri" w:cs="Calibri" w:eastAsia="Calibri" w:hAnsi="Calibri"/>
          <w:sz w:val="22"/>
          <w:szCs w:val="22"/>
        </w:rPr>
        <w:t xml:space="preserve">: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asignacionacc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asignacionfalla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multimodelo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smartcard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validacion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Esquema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general</w:t>
      </w:r>
      <w:r>
        <w:rPr>
          <w:rFonts w:ascii="Calibri" w:cs="Calibri" w:eastAsia="Calibri" w:hAnsi="Calibri"/>
          <w:sz w:val="22"/>
          <w:szCs w:val="22"/>
        </w:rPr>
        <w:t xml:space="preserve">: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activo</w:t>
      </w:r>
      <w:r>
        <w:rPr>
          <w:rFonts w:ascii="Calibri" w:cs="Calibri" w:eastAsia="Calibri" w:hAnsi="Calibri"/>
          <w:sz w:val="22"/>
          <w:szCs w:val="22"/>
        </w:rPr>
        <w:t xml:space="preserve"> (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cliente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clientevalidacion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clientevalidaciontipo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estado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usuario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sede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informe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notificacion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seccion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subcliente</w:t>
      </w:r>
      <w:r>
        <w:rPr>
          <w:rFonts w:ascii="Calibri" w:cs="Calibri" w:eastAsia="Calibri" w:hAnsi="Calibri"/>
          <w:sz w:val="22"/>
          <w:szCs w:val="22"/>
        </w:rPr>
        <w:t xml:space="preserve">...) y en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cliente</w:t>
      </w:r>
      <w:r>
        <w:rPr>
          <w:rFonts w:ascii="Calibri" w:cs="Calibri" w:eastAsia="Calibri" w:hAnsi="Calibri"/>
          <w:sz w:val="22"/>
          <w:szCs w:val="22"/>
        </w:rPr>
        <w:t xml:space="preserve">: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adicionprealertaon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baseempaqueon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baseingresoon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basenodisponibleon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componenteon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etiquetaunitariaon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kitingresoon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loteempaqueon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nivelclasificacionon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odoopqrson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recogidaon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serialmastercalidadon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smartcardinfoon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tipoorigenusuarioon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2.3 Columnas que se quedan como número (NO convertir)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900"/>
        <w:gridCol w:w="3960"/>
      </w:tblGrid>
      <w:tr>
        <w:trPr>
          <w:tblHeader/>
        </w:trPr>
        <w:tc>
          <w:tcPr>
            <w:tcW w:type="dxa" w:w="2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Tabla</w:t>
            </w:r>
          </w:p>
        </w:tc>
        <w:tc>
          <w:tcPr>
            <w:tcW w:type="dxa" w:w="25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Columna</w:t>
            </w:r>
          </w:p>
        </w:tc>
        <w:tc>
          <w:tcPr>
            <w:tcW w:type="dxa" w:w="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39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Motivo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general.cliente</w:t>
            </w:r>
          </w:p>
        </w:tc>
        <w:tc>
          <w:tcPr>
            <w:tcW w:type="dxa" w:w="25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calidadon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bloqueoreimpresionon</w:t>
            </w:r>
          </w:p>
        </w:tc>
        <w:tc>
          <w:tcPr>
            <w:tcW w:type="dxa" w:w="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integer</w:t>
            </w:r>
          </w:p>
        </w:tc>
        <w:tc>
          <w:tcPr>
            <w:tcW w:type="dxa" w:w="39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 código las usa como número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codigosap</w:t>
            </w:r>
          </w:p>
        </w:tc>
        <w:tc>
          <w:tcPr>
            <w:tcW w:type="dxa" w:w="25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reingreso</w:t>
            </w:r>
          </w:p>
        </w:tc>
        <w:tc>
          <w:tcPr>
            <w:tcW w:type="dxa" w:w="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integer</w:t>
            </w:r>
          </w:p>
        </w:tc>
        <w:tc>
          <w:tcPr>
            <w:tcW w:type="dxa" w:w="39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Puede tener más de dos valores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codigosap</w:t>
            </w:r>
          </w:p>
        </w:tc>
        <w:tc>
          <w:tcPr>
            <w:tcW w:type="dxa" w:w="25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recorte</w:t>
            </w:r>
          </w:p>
        </w:tc>
        <w:tc>
          <w:tcPr>
            <w:tcW w:type="dxa" w:w="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smallint</w:t>
            </w:r>
          </w:p>
        </w:tc>
        <w:tc>
          <w:tcPr>
            <w:tcW w:type="dxa" w:w="39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 código ya la convierte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etiqueta</w:t>
            </w:r>
          </w:p>
        </w:tc>
        <w:tc>
          <w:tcPr>
            <w:tcW w:type="dxa" w:w="25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impresion</w:t>
            </w:r>
          </w:p>
        </w:tc>
        <w:tc>
          <w:tcPr>
            <w:tcW w:type="dxa" w:w="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integer</w:t>
            </w:r>
          </w:p>
        </w:tc>
        <w:tc>
          <w:tcPr>
            <w:tcW w:type="dxa" w:w="39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Número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pallet</w:t>
            </w:r>
          </w:p>
        </w:tc>
        <w:tc>
          <w:tcPr>
            <w:tcW w:type="dxa" w:w="25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estadoinventario</w:t>
            </w:r>
          </w:p>
        </w:tc>
        <w:tc>
          <w:tcPr>
            <w:tcW w:type="dxa" w:w="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integer</w:t>
            </w:r>
          </w:p>
        </w:tc>
        <w:tc>
          <w:tcPr>
            <w:tcW w:type="dxa" w:w="39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 compara con 1 y 0 en funciones: 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dejar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= 1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= 0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general.controlcierresctes</w:t>
            </w:r>
          </w:p>
        </w:tc>
        <w:tc>
          <w:tcPr>
            <w:tcW w:type="dxa" w:w="25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activo</w:t>
            </w:r>
          </w:p>
        </w:tc>
        <w:tc>
          <w:tcPr>
            <w:tcW w:type="dxa" w:w="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integer</w:t>
            </w:r>
          </w:p>
        </w:tc>
        <w:tc>
          <w:tcPr>
            <w:tcW w:type="dxa" w:w="39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participa en flujos que fallen</w:t>
            </w:r>
          </w:p>
        </w:tc>
      </w:tr>
    </w:tbl>
    <w:p>
      <w:pPr>
        <w:spacing w:after="1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2.4 Funciones donde hay que cambiar </w:t>
      </w:r>
      <w:r>
        <w:rPr>
          <w:rFonts w:ascii="Consolas" w:cs="Consolas" w:eastAsia="Consolas" w:hAnsi="Consolas"/>
          <w:b/>
          <w:bCs/>
          <w:sz w:val="24"/>
          <w:szCs w:val="24"/>
          <w:shd w:fill="EEF1F5" w:val="clear"/>
        </w:rPr>
        <w:t xml:space="preserve">= 1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 / </w:t>
      </w:r>
      <w:r>
        <w:rPr>
          <w:rFonts w:ascii="Consolas" w:cs="Consolas" w:eastAsia="Consolas" w:hAnsi="Consolas"/>
          <w:b/>
          <w:bCs/>
          <w:sz w:val="24"/>
          <w:szCs w:val="24"/>
          <w:shd w:fill="EEF1F5" w:val="clear"/>
        </w:rPr>
        <w:t xml:space="preserve">= 0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 por </w:t>
      </w:r>
      <w:r>
        <w:rPr>
          <w:rFonts w:ascii="Consolas" w:cs="Consolas" w:eastAsia="Consolas" w:hAnsi="Consolas"/>
          <w:b/>
          <w:bCs/>
          <w:sz w:val="24"/>
          <w:szCs w:val="24"/>
          <w:shd w:fill="EEF1F5" w:val="clear"/>
        </w:rPr>
        <w:t xml:space="preserve">= true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 / </w:t>
      </w:r>
      <w:r>
        <w:rPr>
          <w:rFonts w:ascii="Consolas" w:cs="Consolas" w:eastAsia="Consolas" w:hAnsi="Consolas"/>
          <w:b/>
          <w:bCs/>
          <w:sz w:val="24"/>
          <w:szCs w:val="24"/>
          <w:shd w:fill="EEF1F5" w:val="clear"/>
        </w:rPr>
        <w:t xml:space="preserve">= false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(El cambio lo hace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corregir_funciones.py</w:t>
      </w:r>
      <w:r>
        <w:rPr>
          <w:rFonts w:ascii="Calibri" w:cs="Calibri" w:eastAsia="Calibri" w:hAnsi="Calibri"/>
          <w:sz w:val="22"/>
          <w:szCs w:val="22"/>
        </w:rPr>
        <w:t xml:space="preserve">; esta lista es para verificar.)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Esquema del cliente</w:t>
      </w:r>
      <w:r>
        <w:rPr>
          <w:rFonts w:ascii="Calibri" w:cs="Calibri" w:eastAsia="Calibri" w:hAnsi="Calibri"/>
          <w:sz w:val="22"/>
          <w:szCs w:val="22"/>
        </w:rPr>
        <w:t xml:space="preserve"> (cliente 85):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8"/>
        <w:gridCol w:w="1204"/>
        <w:gridCol w:w="6488"/>
      </w:tblGrid>
      <w:tr>
        <w:trPr>
          <w:tblHeader/>
        </w:trPr>
        <w:tc>
          <w:tcPr>
            <w:tcW w:type="dxa" w:w="166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Columna / variable</w:t>
            </w:r>
          </w:p>
        </w:tc>
        <w:tc>
          <w:tcPr>
            <w:tcW w:type="dxa" w:w="120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N.º funciones</w:t>
            </w:r>
          </w:p>
        </w:tc>
        <w:tc>
          <w:tcPr>
            <w:tcW w:type="dxa" w:w="648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Funciones</w:t>
            </w:r>
          </w:p>
        </w:tc>
      </w:tr>
      <w:tr>
        <w:trPr>
          <w:tblHeader w:val="false"/>
        </w:trPr>
        <w:tc>
          <w:tcPr>
            <w:tcW w:type="dxa" w:w="166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activo</w:t>
            </w:r>
          </w:p>
        </w:tc>
        <w:tc>
          <w:tcPr>
            <w:tcW w:type="dxa" w:w="120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648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pa_boxentry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pa_getbatchlist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pa_getboxpallet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pa_getdescriptionmaster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pa_getincomebyusersoudesnumber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pa_getlevelsclasification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pa_getlistdescriptionsapcode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pa_getlistdescriptionsapcodenoserial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pa_getlistdescriptionsapcodeserial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pa_getlistfailurescodigosapnoid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pa_getlistfailuresmaster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pa_getlistlabel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pa_getlistmaster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pa_getlistprealert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pa_getmodelmaster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pa_getoriginsmaster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pa_gettipologymaster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pa_getunreadablereceiptbypallet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pa_layout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pa_searchaccesorypallet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pa_searchallcomponents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pa_searchcomponents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pa_searchcyclicpallet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pa_searchdispatch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pa_searchentrypallet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pa_searchgeneralinventorypallet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pa_searchlabeled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pa_searchpackingdeliverypallet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pa_searchpalletboxdispatchpallet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pa_searchpalletboxpallet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pa_searchpalletboxpalletweb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pa_searchprocessboxpacking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pa_searchqualitydeliverypallet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pa_searchreceivepallet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pa_searchreceivepartspallet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pa_searchstoragegrouppallet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pa_searchstoragegrouppalletaccesory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pa_searchstoragegrouppalletaccesorycreated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pa_searchstoragepallet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pa_searchtransitpallet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pa_updateforecast</w:t>
            </w:r>
          </w:p>
        </w:tc>
      </w:tr>
      <w:tr>
        <w:trPr>
          <w:tblHeader w:val="false"/>
        </w:trPr>
        <w:tc>
          <w:tcPr>
            <w:tcW w:type="dxa" w:w="166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sobrante</w:t>
            </w:r>
          </w:p>
        </w:tc>
        <w:tc>
          <w:tcPr>
            <w:tcW w:type="dxa" w:w="120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648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pa_getcountdiff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pa_getcountdiffsap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pa_getcountsurplus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pa_getpercentdiff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pa_getpercentdiffsap</w:t>
            </w:r>
          </w:p>
        </w:tc>
      </w:tr>
      <w:tr>
        <w:trPr>
          <w:tblHeader w:val="false"/>
        </w:trPr>
        <w:tc>
          <w:tcPr>
            <w:tcW w:type="dxa" w:w="166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v_esmultimodelo</w:t>
            </w:r>
          </w:p>
        </w:tc>
        <w:tc>
          <w:tcPr>
            <w:tcW w:type="dxa" w:w="120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648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pa_enviarpallet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pa_searchseparatepalletaccesory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pa_sendentry</w:t>
            </w:r>
          </w:p>
        </w:tc>
      </w:tr>
      <w:tr>
        <w:trPr>
          <w:tblHeader w:val="false"/>
        </w:trPr>
        <w:tc>
          <w:tcPr>
            <w:tcW w:type="dxa" w:w="166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usuarioactivo</w:t>
            </w:r>
          </w:p>
        </w:tc>
        <w:tc>
          <w:tcPr>
            <w:tcW w:type="dxa" w:w="120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648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pa_getcountlabour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pa_searchlabourclient</w:t>
            </w:r>
          </w:p>
        </w:tc>
      </w:tr>
      <w:tr>
        <w:trPr>
          <w:tblHeader w:val="false"/>
        </w:trPr>
        <w:tc>
          <w:tcPr>
            <w:tcW w:type="dxa" w:w="166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bajas</w:t>
            </w:r>
          </w:p>
        </w:tc>
        <w:tc>
          <w:tcPr>
            <w:tcW w:type="dxa" w:w="120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648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pa_getcountlabour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pa_searchlabourclient</w:t>
            </w:r>
          </w:p>
        </w:tc>
      </w:tr>
      <w:tr>
        <w:trPr>
          <w:tblHeader w:val="false"/>
        </w:trPr>
        <w:tc>
          <w:tcPr>
            <w:tcW w:type="dxa" w:w="166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cruce</w:t>
            </w:r>
          </w:p>
        </w:tc>
        <w:tc>
          <w:tcPr>
            <w:tcW w:type="dxa" w:w="120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648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pa_getdifferenceprealert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pa_getfirstalertcount</w:t>
            </w:r>
          </w:p>
        </w:tc>
      </w:tr>
      <w:tr>
        <w:trPr>
          <w:tblHeader w:val="false"/>
        </w:trPr>
        <w:tc>
          <w:tcPr>
            <w:tcW w:type="dxa" w:w="166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asignacionacc</w:t>
            </w:r>
          </w:p>
        </w:tc>
        <w:tc>
          <w:tcPr>
            <w:tcW w:type="dxa" w:w="120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648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pa_searchsapcode</w:t>
            </w:r>
          </w:p>
        </w:tc>
      </w:tr>
      <w:tr>
        <w:trPr>
          <w:tblHeader w:val="false"/>
        </w:trPr>
        <w:tc>
          <w:tcPr>
            <w:tcW w:type="dxa" w:w="166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asignacionfalla</w:t>
            </w:r>
          </w:p>
        </w:tc>
        <w:tc>
          <w:tcPr>
            <w:tcW w:type="dxa" w:w="120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648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pa_searchsapcode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Esquema `general`: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8"/>
        <w:gridCol w:w="1204"/>
        <w:gridCol w:w="6488"/>
      </w:tblGrid>
      <w:tr>
        <w:trPr>
          <w:tblHeader/>
        </w:trPr>
        <w:tc>
          <w:tcPr>
            <w:tcW w:type="dxa" w:w="166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Columna / variable</w:t>
            </w:r>
          </w:p>
        </w:tc>
        <w:tc>
          <w:tcPr>
            <w:tcW w:type="dxa" w:w="120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N.º funciones</w:t>
            </w:r>
          </w:p>
        </w:tc>
        <w:tc>
          <w:tcPr>
            <w:tcW w:type="dxa" w:w="648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Funciones</w:t>
            </w:r>
          </w:p>
        </w:tc>
      </w:tr>
      <w:tr>
        <w:trPr>
          <w:tblHeader w:val="false"/>
        </w:trPr>
        <w:tc>
          <w:tcPr>
            <w:tcW w:type="dxa" w:w="166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activo</w:t>
            </w:r>
          </w:p>
        </w:tc>
        <w:tc>
          <w:tcPr>
            <w:tcW w:type="dxa" w:w="120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648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informepqrsapexapi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informetruckrollventastotalapex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pa_getcountnotification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pa_getlistnotification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pa_getlistuser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pa_getmodulesbyusercustomer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pa_getvalidacionescliente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pa_getvalidaciontiposdisponibles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pa_searchactiveuser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rep_informeingresoswmswodenaccesorioswip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sp_reconstruirclienteproyecto</w:t>
            </w:r>
          </w:p>
        </w:tc>
      </w:tr>
      <w:tr>
        <w:trPr>
          <w:tblHeader w:val="false"/>
        </w:trPr>
        <w:tc>
          <w:tcPr>
            <w:tcW w:type="dxa" w:w="166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reimpresion</w:t>
            </w:r>
          </w:p>
        </w:tc>
        <w:tc>
          <w:tcPr>
            <w:tcW w:type="dxa" w:w="120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648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rep_informeclasificacioncosmeticawmswoden</w:t>
            </w:r>
          </w:p>
        </w:tc>
      </w:tr>
    </w:tbl>
    <w:p>
      <w:pPr>
        <w:spacing w:after="1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2.5 Cómo detectar los mismos casos en otro cliente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SQL Server</w:t>
      </w:r>
      <w:r>
        <w:rPr>
          <w:rFonts w:ascii="Calibri" w:cs="Calibri" w:eastAsia="Calibri" w:hAnsi="Calibri"/>
          <w:sz w:val="22"/>
          <w:szCs w:val="22"/>
        </w:rPr>
        <w:t xml:space="preserve"> (base del cliente): columnas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bit</w:t>
      </w:r>
      <w:r>
        <w:rPr>
          <w:rFonts w:ascii="Calibri" w:cs="Calibri" w:eastAsia="Calibri" w:hAnsi="Calibri"/>
          <w:sz w:val="22"/>
          <w:szCs w:val="22"/>
        </w:rPr>
        <w:t xml:space="preserve">, que son las candidatas a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boolean</w:t>
      </w:r>
      <w:r>
        <w:rPr>
          <w:rFonts w:ascii="Calibri" w:cs="Calibri" w:eastAsia="Calibri" w:hAnsi="Calibri"/>
          <w:sz w:val="22"/>
          <w:szCs w:val="22"/>
        </w:rPr>
        <w:t xml:space="preserve"> en Postgres:</w:t>
      </w:r>
    </w:p>
    <w:p>
      <w:pPr>
        <w:pBdr>
          <w:left w:val="single" w:color="9CA3AF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SELECT t.name AS tabla, c.name AS columna</w:t>
      </w:r>
    </w:p>
    <w:p>
      <w:pPr>
        <w:pBdr>
          <w:left w:val="single" w:color="9CA3AF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FROM sys.columns c</w:t>
      </w:r>
    </w:p>
    <w:p>
      <w:pPr>
        <w:pBdr>
          <w:left w:val="single" w:color="9CA3AF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JOIN sys.tables t ON t.object_id = c.object_id</w:t>
      </w:r>
    </w:p>
    <w:p>
      <w:pPr>
        <w:pBdr>
          <w:left w:val="single" w:color="9CA3AF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JOIN sys.types ty ON ty.user_type_id = c.user_type_id</w:t>
      </w:r>
    </w:p>
    <w:p>
      <w:pPr>
        <w:pBdr>
          <w:left w:val="single" w:color="9CA3AF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WHERE ty.name = 'bit'</w:t>
      </w:r>
    </w:p>
    <w:p>
      <w:pPr>
        <w:pBdr>
          <w:left w:val="single" w:color="9CA3AF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ORDER BY t.name, c.name;</w:t>
      </w:r>
    </w:p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Postgres</w:t>
      </w:r>
      <w:r>
        <w:rPr>
          <w:rFonts w:ascii="Calibri" w:cs="Calibri" w:eastAsia="Calibri" w:hAnsi="Calibri"/>
          <w:sz w:val="22"/>
          <w:szCs w:val="22"/>
        </w:rPr>
        <w:t xml:space="preserve">: columnas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boolean</w:t>
      </w:r>
      <w:r>
        <w:rPr>
          <w:rFonts w:ascii="Calibri" w:cs="Calibri" w:eastAsia="Calibri" w:hAnsi="Calibri"/>
          <w:sz w:val="22"/>
          <w:szCs w:val="22"/>
        </w:rPr>
        <w:t xml:space="preserve"> del esquema, y qué funciones las comparan con 0/1 (se genera solo):</w:t>
      </w:r>
    </w:p>
    <w:p>
      <w:pPr>
        <w:pBdr>
          <w:left w:val="single" w:color="9CA3AF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-- columnas boolean</w:t>
      </w:r>
    </w:p>
    <w:p>
      <w:pPr>
        <w:pBdr>
          <w:left w:val="single" w:color="9CA3AF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SELECT table_name, column_name FROM information_schema.columns</w:t>
      </w:r>
    </w:p>
    <w:p>
      <w:pPr>
        <w:pBdr>
          <w:left w:val="single" w:color="9CA3AF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WHERE table_schema = 'wmswdlegacycostarica' AND data_type = 'boolean' ORDER BY 1, 2;</w:t>
      </w:r>
    </w:p>
    <w:p>
      <w:pPr>
        <w:pBdr>
          <w:left w:val="single" w:color="9CA3AF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CA3AF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-- funciones que comparan una columna boolean con 0/1</w:t>
      </w:r>
    </w:p>
    <w:p>
      <w:pPr>
        <w:pBdr>
          <w:left w:val="single" w:color="9CA3AF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WITH b AS (SELECT DISTINCT column_name FROM information_schema.columns</w:t>
      </w:r>
    </w:p>
    <w:p>
      <w:pPr>
        <w:pBdr>
          <w:left w:val="single" w:color="9CA3AF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WHERE table_schema = 'wmswdlegacycostarica' AND data_type = 'boolean')</w:t>
      </w:r>
    </w:p>
    <w:p>
      <w:pPr>
        <w:pBdr>
          <w:left w:val="single" w:color="9CA3AF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SELECT p.proname AS funcion, b.column_name AS columna</w:t>
      </w:r>
    </w:p>
    <w:p>
      <w:pPr>
        <w:pBdr>
          <w:left w:val="single" w:color="9CA3AF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FROM pg_proc p</w:t>
      </w:r>
    </w:p>
    <w:p>
      <w:pPr>
        <w:pBdr>
          <w:left w:val="single" w:color="9CA3AF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JOIN pg_namespace n ON n.oid = p.pronamespace</w:t>
      </w:r>
    </w:p>
    <w:p>
      <w:pPr>
        <w:pBdr>
          <w:left w:val="single" w:color="9CA3AF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JOIN b ON p.prosrc ~* ('\m' || b.column_name || '\s*(=|&lt;&gt;|!=)\s*[01]\M')</w:t>
      </w:r>
    </w:p>
    <w:p>
      <w:pPr>
        <w:pBdr>
          <w:left w:val="single" w:color="9CA3AF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WHERE n.nspname = 'wmswdlegacycostarica'</w:t>
      </w:r>
    </w:p>
    <w:p>
      <w:pPr>
        <w:pBdr>
          <w:left w:val="single" w:color="9CA3AF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ORDER BY 2, 1;</w:t>
      </w:r>
    </w:p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Si las columnas boolean del otro cliente tienen nombres distintos, pásalas a la herramienta: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python db/herramientas/corregir_funciones.py entrada.sql salida.sql --columnas-bool activo,cruce,otra_columna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2.6 Parte del backend (ya hecha, aplica a todos los clientes)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Entidades con flags: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ClienteModel</w:t>
      </w:r>
      <w:r>
        <w:rPr>
          <w:rFonts w:ascii="Calibri" w:cs="Calibri" w:eastAsia="Calibri" w:hAnsi="Calibri"/>
          <w:sz w:val="22"/>
          <w:szCs w:val="22"/>
        </w:rPr>
        <w:t xml:space="preserve"> y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CodigoSapModel</w:t>
      </w:r>
      <w:r>
        <w:rPr>
          <w:rFonts w:ascii="Calibri" w:cs="Calibri" w:eastAsia="Calibri" w:hAnsi="Calibri"/>
          <w:sz w:val="22"/>
          <w:szCs w:val="22"/>
        </w:rPr>
        <w:t xml:space="preserve"> usan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Boolean</w:t>
      </w:r>
      <w:r>
        <w:rPr>
          <w:rFonts w:ascii="Calibri" w:cs="Calibri" w:eastAsia="Calibri" w:hAnsi="Calibri"/>
          <w:sz w:val="22"/>
          <w:szCs w:val="22"/>
        </w:rPr>
        <w:t xml:space="preserve"> en los campos que apuntan a columnas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boolean</w:t>
      </w:r>
      <w:r>
        <w:rPr>
          <w:rFonts w:ascii="Calibri" w:cs="Calibri" w:eastAsia="Calibri" w:hAnsi="Calibri"/>
          <w:sz w:val="22"/>
          <w:szCs w:val="22"/>
        </w:rPr>
        <w:t xml:space="preserve">, y se serializan como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1/0</w:t>
      </w:r>
      <w:r>
        <w:rPr>
          <w:rFonts w:ascii="Calibri" w:cs="Calibri" w:eastAsia="Calibri" w:hAnsi="Calibri"/>
          <w:sz w:val="22"/>
          <w:szCs w:val="22"/>
        </w:rPr>
        <w:t xml:space="preserve"> hacia el frontend (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BooleanAsIntSerializer</w:t>
      </w:r>
      <w:r>
        <w:rPr>
          <w:rFonts w:ascii="Calibri" w:cs="Calibri" w:eastAsia="Calibri" w:hAnsi="Calibri"/>
          <w:sz w:val="22"/>
          <w:szCs w:val="22"/>
        </w:rPr>
        <w:t xml:space="preserve">), porque el frontend compara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=== 1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TolerantIntegerJdbcType</w:t>
      </w:r>
      <w:r>
        <w:rPr>
          <w:rFonts w:ascii="Calibri" w:cs="Calibri" w:eastAsia="Calibri" w:hAnsi="Calibri"/>
          <w:sz w:val="22"/>
          <w:szCs w:val="22"/>
        </w:rPr>
        <w:t xml:space="preserve"> hace que cualquier campo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Integer</w:t>
      </w:r>
      <w:r>
        <w:rPr>
          <w:rFonts w:ascii="Calibri" w:cs="Calibri" w:eastAsia="Calibri" w:hAnsi="Calibri"/>
          <w:sz w:val="22"/>
          <w:szCs w:val="22"/>
        </w:rPr>
        <w:t xml:space="preserve"> lea bien una columna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boolean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 consultas Java: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CAST(col AS boolean)</w:t>
      </w:r>
      <w:r>
        <w:rPr>
          <w:rFonts w:ascii="Calibri" w:cs="Calibri" w:eastAsia="Calibri" w:hAnsi="Calibri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CAST(col AS integer)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= true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SET activo = (CAST(:x AS integer) &lt;&gt; 0)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Conexión: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stringtype=unspecified</w:t>
      </w:r>
      <w:r>
        <w:rPr>
          <w:rFonts w:ascii="Calibri" w:cs="Calibri" w:eastAsia="Calibri" w:hAnsi="Calibri"/>
          <w:sz w:val="22"/>
          <w:szCs w:val="22"/>
        </w:rPr>
        <w:t xml:space="preserve"> (los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String</w:t>
      </w:r>
      <w:r>
        <w:rPr>
          <w:rFonts w:ascii="Calibri" w:cs="Calibri" w:eastAsia="Calibri" w:hAnsi="Calibri"/>
          <w:sz w:val="22"/>
          <w:szCs w:val="22"/>
        </w:rPr>
        <w:t xml:space="preserve"> se convierten al tipo de la columna: fechas, booleanos).</w:t>
      </w:r>
    </w:p>
    <w:p>
      <w:pPr>
        <w:pBdr>
          <w:bottom w:val="single" w:color="C7CDD6" w:sz="6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3. Funciones y procedimientos que NO vienen en la exportación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La herramienta de migración no convirtió estos procedimientos. Hay que crearlos (ya están hechos para el cliente 85).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3.1 Convertidos en </w:t>
      </w:r>
      <w:r>
        <w:rPr>
          <w:rFonts w:ascii="Consolas" w:cs="Consolas" w:eastAsia="Consolas" w:hAnsi="Consolas"/>
          <w:b/>
          <w:bCs/>
          <w:sz w:val="24"/>
          <w:szCs w:val="24"/>
          <w:shd w:fill="EEF1F5" w:val="clear"/>
        </w:rPr>
        <w:t xml:space="preserve">db/funciones_faltantes_cliente.sql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 (21)</w:t>
      </w:r>
    </w:p>
    <w:p>
      <w:pPr>
        <w:spacing w:after="120"/>
      </w:pP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pa_countavailableaccesory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pa_getdiasultimoingreso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pa_getetiquetadouser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pa_getsmartcardasinguserweb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pa_insertsmartcardweb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pa_searchaccesorynovedadpallet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pa_searchboxentryquality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pa_searchinventory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pa_searchnoveltyaccesory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pa_searchnoveltyaccesorypallet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pa_searchserialesbycajamaster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pa_searchsettings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pa_sendnoveltyentry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pa_updateaccesorynovedad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pa_updateaccesorynovedadcantidad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pa_updateentrydispatchweb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pa_updateestadosmartcardasign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pa_updatenoveltyallaccesory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pa_updatesapcodepallet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pa_validarreingresoscrap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pa_validatequalitybypallet</w:t>
      </w:r>
      <w:r>
        <w:rPr>
          <w:rFonts w:ascii="Calibri" w:cs="Calibri" w:eastAsia="Calibri" w:hAnsi="Calibri"/>
          <w:sz w:val="22"/>
          <w:szCs w:val="22"/>
        </w:rPr>
        <w:t xml:space="preserve">. (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pa_searchsapcodefailurecomponent</w:t>
      </w:r>
      <w:r>
        <w:rPr>
          <w:rFonts w:ascii="Calibri" w:cs="Calibri" w:eastAsia="Calibri" w:hAnsi="Calibri"/>
          <w:sz w:val="22"/>
          <w:szCs w:val="22"/>
        </w:rPr>
        <w:t xml:space="preserve"> ya existe como conversión automática: no se incluye.)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3.2 Función escalar de SQL Server</w:t>
      </w:r>
    </w:p>
    <w:p>
      <w:pPr>
        <w:spacing w:after="120"/>
      </w:pP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fn_getdescripcionmovimiento</w:t>
      </w:r>
      <w:r>
        <w:rPr>
          <w:rFonts w:ascii="Calibri" w:cs="Calibri" w:eastAsia="Calibri" w:hAnsi="Calibri"/>
          <w:sz w:val="22"/>
          <w:szCs w:val="22"/>
        </w:rPr>
        <w:t xml:space="preserve">, en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db/fn_getdescripcionmovimiento.sql</w:t>
      </w:r>
      <w:r>
        <w:rPr>
          <w:rFonts w:ascii="Calibri" w:cs="Calibri" w:eastAsia="Calibri" w:hAnsi="Calibri"/>
          <w:sz w:val="22"/>
          <w:szCs w:val="22"/>
        </w:rPr>
        <w:t xml:space="preserve">. La usa el trigger de movimientos; sin ella falla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enviarPallet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3.3 Reemplazados por SQL directo en el backend (no necesitan función)</w:t>
      </w:r>
    </w:p>
    <w:p>
      <w:pPr>
        <w:spacing w:after="120"/>
      </w:pP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pa_GetListCodigoSapPermitido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pa_InsertCodigoSapPermitido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pa_DeleteCodigoSapPermitido</w:t>
      </w:r>
      <w:r>
        <w:rPr>
          <w:rFonts w:ascii="Calibri" w:cs="Calibri" w:eastAsia="Calibri" w:hAnsi="Calibri"/>
          <w:sz w:val="22"/>
          <w:szCs w:val="22"/>
        </w:rPr>
        <w:t xml:space="preserve"> (multimodelo restringido; la tabla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CodigoSapPermitido</w:t>
      </w:r>
      <w:r>
        <w:rPr>
          <w:rFonts w:ascii="Calibri" w:cs="Calibri" w:eastAsia="Calibri" w:hAnsi="Calibri"/>
          <w:sz w:val="22"/>
          <w:szCs w:val="22"/>
        </w:rPr>
        <w:t xml:space="preserve"> solo existe en algunos clientes).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3.4 Cómo encontrar procedimientos que falten en otro cliente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Lista 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SQL Server</w:t>
      </w:r>
      <w:r>
        <w:rPr>
          <w:rFonts w:ascii="Calibri" w:cs="Calibri" w:eastAsia="Calibri" w:hAnsi="Calibri"/>
          <w:sz w:val="22"/>
          <w:szCs w:val="22"/>
        </w:rPr>
        <w:t xml:space="preserve">:</w:t>
      </w:r>
    </w:p>
    <w:p>
      <w:pPr>
        <w:pBdr>
          <w:left w:val="single" w:color="9CA3AF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SELECT name FROM sys.procedures WHERE name LIKE 'pa[_]%' OR name LIKE 'sp[_]%' ORDER BY name;</w:t>
      </w:r>
    </w:p>
    <w:p>
      <w:pPr>
        <w:pBdr>
          <w:left w:val="single" w:color="9CA3AF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SELECT name, type_desc FROM sys.objects WHERE type IN ('FN','IF','TF') ORDER BY name;   -- funciones escalares</w:t>
      </w:r>
    </w:p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Lista 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Postgres</w:t>
      </w:r>
      <w:r>
        <w:rPr>
          <w:rFonts w:ascii="Calibri" w:cs="Calibri" w:eastAsia="Calibri" w:hAnsi="Calibri"/>
          <w:sz w:val="22"/>
          <w:szCs w:val="22"/>
        </w:rPr>
        <w:t xml:space="preserve">:</w:t>
      </w:r>
    </w:p>
    <w:p>
      <w:pPr>
        <w:pBdr>
          <w:left w:val="single" w:color="9CA3AF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SELECT p.proname FROM pg_proc p JOIN pg_namespace n ON n.oid = p.pronamespace</w:t>
      </w:r>
    </w:p>
    <w:p>
      <w:pPr>
        <w:pBdr>
          <w:left w:val="single" w:color="9CA3AF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WHERE n.nspname = 'wmswdlegacycostarica'</w:t>
      </w:r>
    </w:p>
    <w:p>
      <w:pPr>
        <w:pBdr>
          <w:left w:val="single" w:color="9CA3AF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AND (p.proname LIKE 'pa\_%' OR p.proname LIKE 'sp\_%' OR p.proname LIKE 'fn\_%')</w:t>
      </w:r>
    </w:p>
    <w:p>
      <w:pPr>
        <w:pBdr>
          <w:left w:val="single" w:color="9CA3AF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ORDER BY 1;</w:t>
      </w:r>
    </w:p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Los que estén en SQL Server y no en Postgres (comparando en minúsculas) son los que hay que convertir. Definición de cada uno:</w:t>
      </w:r>
    </w:p>
    <w:p>
      <w:pPr>
        <w:pBdr>
          <w:left w:val="single" w:color="9CA3AF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SELECT o.name, OBJECT_DEFINITION(o.object_id) AS definicion</w:t>
      </w:r>
    </w:p>
    <w:p>
      <w:pPr>
        <w:pBdr>
          <w:left w:val="single" w:color="9CA3AF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FROM sys.objects o WHERE o.type = 'P' AND o.name IN ('nombre1', 'nombre2');</w:t>
      </w:r>
    </w:p>
    <w:p>
      <w:pPr>
        <w:spacing w:after="120"/>
      </w:pPr>
    </w:p>
    <w:p>
      <w:pPr>
        <w:pBdr>
          <w:bottom w:val="single" w:color="C7CDD6" w:sz="6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4. Llaves foráneas deshabilitadas en SQL Server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En SQL Server había llaves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deshabilitadas</w:t>
      </w:r>
      <w:r>
        <w:rPr>
          <w:rFonts w:ascii="Calibri" w:cs="Calibri" w:eastAsia="Calibri" w:hAnsi="Calibri"/>
          <w:sz w:val="22"/>
          <w:szCs w:val="22"/>
        </w:rPr>
        <w:t xml:space="preserve"> (no validaban nada); el sistema guarda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0</w:t>
      </w:r>
      <w:r>
        <w:rPr>
          <w:rFonts w:ascii="Calibri" w:cs="Calibri" w:eastAsia="Calibri" w:hAnsi="Calibri"/>
          <w:sz w:val="22"/>
          <w:szCs w:val="22"/>
        </w:rPr>
        <w:t xml:space="preserve"> como "sin valor". En Postgres la herramienta las creó activas y rechazan esos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0</w:t>
      </w:r>
      <w:r>
        <w:rPr>
          <w:rFonts w:ascii="Calibri" w:cs="Calibri" w:eastAsia="Calibri" w:hAnsi="Calibri"/>
          <w:sz w:val="22"/>
          <w:szCs w:val="22"/>
        </w:rPr>
        <w:t xml:space="preserve"> (errores como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fk_pallet_posicion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fk_ingreso_cajadespacho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SQL Server</w:t>
      </w:r>
      <w:r>
        <w:rPr>
          <w:rFonts w:ascii="Calibri" w:cs="Calibri" w:eastAsia="Calibri" w:hAnsi="Calibri"/>
          <w:sz w:val="22"/>
          <w:szCs w:val="22"/>
        </w:rPr>
        <w:t xml:space="preserve"> (base del cliente), obtén las llaves a quitar:</w:t>
      </w:r>
    </w:p>
    <w:p>
      <w:pPr>
        <w:pBdr>
          <w:left w:val="single" w:color="9CA3AF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SELECT 'ARRAY[' + STRING_AGG('''' + LOWER(name) + '''', ', ') + '];' AS llaves</w:t>
      </w:r>
    </w:p>
    <w:p>
      <w:pPr>
        <w:pBdr>
          <w:left w:val="single" w:color="9CA3AF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FROM sys.foreign_keys WHERE is_disabled = 1;</w:t>
      </w:r>
    </w:p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Pega el resultado en la variable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llaves</w:t>
      </w:r>
      <w:r>
        <w:rPr>
          <w:rFonts w:ascii="Calibri" w:cs="Calibri" w:eastAsia="Calibri" w:hAnsi="Calibri"/>
          <w:sz w:val="22"/>
          <w:szCs w:val="22"/>
        </w:rPr>
        <w:t xml:space="preserve"> de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db/quitar_fks_deshabilitadas.sql</w:t>
      </w:r>
      <w:r>
        <w:rPr>
          <w:rFonts w:ascii="Calibri" w:cs="Calibri" w:eastAsia="Calibri" w:hAnsi="Calibri"/>
          <w:sz w:val="22"/>
          <w:szCs w:val="22"/>
        </w:rPr>
        <w:t xml:space="preserve">, cambia el esquema en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esquemas</w:t>
      </w:r>
      <w:r>
        <w:rPr>
          <w:rFonts w:ascii="Calibri" w:cs="Calibri" w:eastAsia="Calibri" w:hAnsi="Calibri"/>
          <w:sz w:val="22"/>
          <w:szCs w:val="22"/>
        </w:rPr>
        <w:t xml:space="preserve"> y ejecútalo 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Postgres</w:t>
      </w:r>
      <w:r>
        <w:rPr>
          <w:rFonts w:ascii="Calibri" w:cs="Calibri" w:eastAsia="Calibri" w:hAnsi="Calibri"/>
          <w:sz w:val="22"/>
          <w:szCs w:val="22"/>
        </w:rPr>
        <w:t xml:space="preserve">. Las llaves que estaban activas (aunque "sin confianza") se dejan.</w:t>
      </w:r>
    </w:p>
    <w:p>
      <w:pPr>
        <w:pBdr>
          <w:bottom w:val="single" w:color="C7CDD6" w:sz="6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5. Mayúsculas y minúsculas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SQL Server no distingue mayúsculas al comparar texto; Postgres sí. Ejemplos reales: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'Empaque'</w:t>
      </w:r>
      <w:r>
        <w:rPr>
          <w:rFonts w:ascii="Calibri" w:cs="Calibri" w:eastAsia="Calibri" w:hAnsi="Calibri"/>
          <w:sz w:val="22"/>
          <w:szCs w:val="22"/>
        </w:rPr>
        <w:t xml:space="preserve"> frente a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'EMPAQUE'</w:t>
      </w:r>
      <w:r>
        <w:rPr>
          <w:rFonts w:ascii="Calibri" w:cs="Calibri" w:eastAsia="Calibri" w:hAnsi="Calibri"/>
          <w:sz w:val="22"/>
          <w:szCs w:val="22"/>
        </w:rPr>
        <w:t xml:space="preserve"> (caja sin seriales) y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'tipologias'</w:t>
      </w:r>
      <w:r>
        <w:rPr>
          <w:rFonts w:ascii="Calibri" w:cs="Calibri" w:eastAsia="Calibri" w:hAnsi="Calibri"/>
          <w:sz w:val="22"/>
          <w:szCs w:val="22"/>
        </w:rPr>
        <w:t xml:space="preserve"> frente a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Tipologias</w:t>
      </w:r>
      <w:r>
        <w:rPr>
          <w:rFonts w:ascii="Calibri" w:cs="Calibri" w:eastAsia="Calibri" w:hAnsi="Calibri"/>
          <w:sz w:val="22"/>
          <w:szCs w:val="22"/>
        </w:rPr>
        <w:t xml:space="preserve"> (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tipologiaId = 0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La herramienta aplica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LOWER()</w:t>
      </w:r>
      <w:r>
        <w:rPr>
          <w:rFonts w:ascii="Calibri" w:cs="Calibri" w:eastAsia="Calibri" w:hAnsi="Calibri"/>
          <w:sz w:val="22"/>
          <w:szCs w:val="22"/>
        </w:rPr>
        <w:t xml:space="preserve"> en: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comparaciones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columna = p_parametro</w:t>
      </w:r>
      <w:r>
        <w:rPr>
          <w:rFonts w:ascii="Calibri" w:cs="Calibri" w:eastAsia="Calibri" w:hAnsi="Calibri"/>
          <w:sz w:val="22"/>
          <w:szCs w:val="22"/>
        </w:rPr>
        <w:t xml:space="preserve"> de catálogos (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nombre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codigo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descripcion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tipo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tipoaccesorio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detalle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name</w:t>
      </w:r>
      <w:r>
        <w:rPr>
          <w:rFonts w:ascii="Calibri" w:cs="Calibri" w:eastAsia="Calibri" w:hAnsi="Calibri"/>
          <w:sz w:val="22"/>
          <w:szCs w:val="22"/>
        </w:rPr>
        <w:t xml:space="preserve">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comparaciones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p_parametro = 'texto'</w:t>
      </w:r>
      <w:r>
        <w:rPr>
          <w:rFonts w:ascii="Calibri" w:cs="Calibri" w:eastAsia="Calibri" w:hAnsi="Calibri"/>
          <w:sz w:val="22"/>
          <w:szCs w:val="22"/>
        </w:rPr>
        <w:t xml:space="preserve"> y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p_parametro IN ('a','b')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Funciones afectadas: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109</w:t>
      </w:r>
      <w:r>
        <w:rPr>
          <w:rFonts w:ascii="Calibri" w:cs="Calibri" w:eastAsia="Calibri" w:hAnsi="Calibri"/>
          <w:sz w:val="22"/>
          <w:szCs w:val="22"/>
        </w:rPr>
        <w:t xml:space="preserve"> (cliente 85) 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119</w:t>
      </w:r>
      <w:r>
        <w:rPr>
          <w:rFonts w:ascii="Calibri" w:cs="Calibri" w:eastAsia="Calibri" w:hAnsi="Calibri"/>
          <w:sz w:val="22"/>
          <w:szCs w:val="22"/>
        </w:rPr>
        <w:t xml:space="preserve"> (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general</w:t>
      </w:r>
      <w:r>
        <w:rPr>
          <w:rFonts w:ascii="Calibri" w:cs="Calibri" w:eastAsia="Calibri" w:hAnsi="Calibri"/>
          <w:sz w:val="22"/>
          <w:szCs w:val="22"/>
        </w:rPr>
        <w:t xml:space="preserve">). En el backend y el frontend, los nombres de tipo de maestro deben escribirse como en la tabla (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Tipologias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Origenes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Tipo Origenes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Niveles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Modelos</w:t>
      </w:r>
      <w:r>
        <w:rPr>
          <w:rFonts w:ascii="Calibri" w:cs="Calibri" w:eastAsia="Calibri" w:hAnsi="Calibri"/>
          <w:sz w:val="22"/>
          <w:szCs w:val="22"/>
        </w:rPr>
        <w:t xml:space="preserve">...).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Si aparece lentitud en una búsqueda por código o nombre en una tabla grande, crear un índice funcional: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CREATE INDEX ON codigosap (LOWER(codigo));</w:t>
      </w:r>
    </w:p>
    <w:p>
      <w:pPr>
        <w:pBdr>
          <w:bottom w:val="single" w:color="C7CDD6" w:sz="6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6. Otras correcciones que hace la herramienta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49"/>
        <w:gridCol w:w="2549"/>
        <w:gridCol w:w="1711"/>
        <w:gridCol w:w="2551"/>
      </w:tblGrid>
      <w:tr>
        <w:trPr>
          <w:tblHeader/>
        </w:trPr>
        <w:tc>
          <w:tcPr>
            <w:tcW w:type="dxa" w:w="254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Corrección</w:t>
            </w:r>
          </w:p>
        </w:tc>
        <w:tc>
          <w:tcPr>
            <w:tcW w:type="dxa" w:w="254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Dónde se vio</w:t>
            </w:r>
          </w:p>
        </w:tc>
        <w:tc>
          <w:tcPr>
            <w:tcW w:type="dxa" w:w="171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Funciones del cliente 85</w:t>
            </w:r>
          </w:p>
        </w:tc>
        <w:tc>
          <w:tcPr>
            <w:tcW w:type="dxa" w:w="255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Funciones de </w:t>
            </w: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  <w:shd w:fill="EEF1F5" w:val="clear"/>
              </w:rPr>
              <w:t xml:space="preserve">general</w:t>
            </w:r>
          </w:p>
        </w:tc>
      </w:tr>
      <w:tr>
        <w:trPr>
          <w:tblHeader w:val="false"/>
        </w:trPr>
        <w:tc>
          <w:tcPr>
            <w:tcW w:type="dxa" w:w="254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(0)::timestamp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en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dateadd/datediff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date_trunc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(error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cannot cast type integer to timestamp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W w:type="dxa" w:w="254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pa_incrementarconsecutivopallet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sp_logisticaregional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sp_produccionregional</w:t>
            </w:r>
          </w:p>
        </w:tc>
        <w:tc>
          <w:tcPr>
            <w:tcW w:type="dxa" w:w="171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55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pa_incrementarconsecutivopallet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sp_logisticaregional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sp_produccionregional</w:t>
            </w:r>
          </w:p>
        </w:tc>
      </w:tr>
      <w:tr>
        <w:trPr>
          <w:tblHeader w:val="false"/>
        </w:trPr>
        <w:tc>
          <w:tcPr>
            <w:tcW w:type="dxa" w:w="254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'FROM' || v_db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sin espacio en SQL dinámico</w:t>
            </w:r>
          </w:p>
        </w:tc>
        <w:tc>
          <w:tcPr>
            <w:tcW w:type="dxa" w:w="254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menús por perfil, tipo de origen,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spinformelabreverse</w:t>
            </w:r>
          </w:p>
        </w:tc>
        <w:tc>
          <w:tcPr>
            <w:tcW w:type="dxa" w:w="171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55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pa_getassignedgruposforprofile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pa_getassigneditemsforprofile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pa_getavailablegruposforprofile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pa_getavailableitemsforprofile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pa_getlistusuariotipoorigen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pa_searchaggregatesusuariotipoorigen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pa_searchavailableusuariotipoorigen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spinformelabreverse</w:t>
            </w:r>
          </w:p>
        </w:tc>
      </w:tr>
      <w:tr>
        <w:trPr>
          <w:tblHeader w:val="false"/>
        </w:trPr>
        <w:tc>
          <w:tcPr>
            <w:tcW w:type="dxa" w:w="254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Candado por serial (evita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duplicate key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en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empaque_unique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W w:type="dxa" w:w="254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empaque rápido</w:t>
            </w:r>
          </w:p>
        </w:tc>
        <w:tc>
          <w:tcPr>
            <w:tcW w:type="dxa" w:w="171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pa_insertpackingwebd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pa_insertpackingwebd2</w:t>
            </w:r>
          </w:p>
        </w:tc>
        <w:tc>
          <w:tcPr>
            <w:tcW w:type="dxa" w:w="255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 automáticas</w:t>
      </w:r>
      <w:r>
        <w:rPr>
          <w:rFonts w:ascii="Calibri" w:cs="Calibri" w:eastAsia="Calibri" w:hAnsi="Calibri"/>
          <w:sz w:val="22"/>
          <w:szCs w:val="22"/>
        </w:rPr>
        <w:t xml:space="preserve"> (revisar a mano en cada cliente): placeholders de SQL Server (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@m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@p</w:t>
      </w:r>
      <w:r>
        <w:rPr>
          <w:rFonts w:ascii="Calibri" w:cs="Calibri" w:eastAsia="Calibri" w:hAnsi="Calibri"/>
          <w:sz w:val="22"/>
          <w:szCs w:val="22"/>
        </w:rPr>
        <w:t xml:space="preserve">) dentro de SQL dinámico (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pa_insertmenuperfil</w:t>
      </w:r>
      <w:r>
        <w:rPr>
          <w:rFonts w:ascii="Calibri" w:cs="Calibri" w:eastAsia="Calibri" w:hAnsi="Calibri"/>
          <w:sz w:val="22"/>
          <w:szCs w:val="22"/>
        </w:rPr>
        <w:t xml:space="preserve"> y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pa_syncmenuperfil</w:t>
      </w:r>
      <w:r>
        <w:rPr>
          <w:rFonts w:ascii="Calibri" w:cs="Calibri" w:eastAsia="Calibri" w:hAnsi="Calibri"/>
          <w:sz w:val="22"/>
          <w:szCs w:val="22"/>
        </w:rPr>
        <w:t xml:space="preserve"> de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general</w:t>
      </w:r>
      <w:r>
        <w:rPr>
          <w:rFonts w:ascii="Calibri" w:cs="Calibri" w:eastAsia="Calibri" w:hAnsi="Calibri"/>
          <w:sz w:val="22"/>
          <w:szCs w:val="22"/>
        </w:rPr>
        <w:t xml:space="preserve">, ya reescritas en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General_corregido.sql</w:t>
      </w:r>
      <w:r>
        <w:rPr>
          <w:rFonts w:ascii="Calibri" w:cs="Calibri" w:eastAsia="Calibri" w:hAnsi="Calibri"/>
          <w:sz w:val="22"/>
          <w:szCs w:val="22"/>
        </w:rPr>
        <w:t xml:space="preserve">), y comparaciones tipo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smartcard = 0</w:t>
      </w:r>
      <w:r>
        <w:rPr>
          <w:rFonts w:ascii="Calibri" w:cs="Calibri" w:eastAsia="Calibri" w:hAnsi="Calibri"/>
          <w:sz w:val="22"/>
          <w:szCs w:val="22"/>
        </w:rPr>
        <w:t xml:space="preserve"> sobre columnas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varchar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Bdr>
          <w:bottom w:val="single" w:color="C7CDD6" w:sz="6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7. Pendientes conocidos: funciones cuyo resultado no coincide con lo que lee el backend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No se tocaron para no adivinar cuál lado tiene la razón. Decidir por función si se corrige la función o el servicio.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77"/>
        <w:gridCol w:w="4783"/>
      </w:tblGrid>
      <w:tr>
        <w:trPr>
          <w:tblHeader/>
        </w:trPr>
        <w:tc>
          <w:tcPr>
            <w:tcW w:type="dxa" w:w="457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Función</w:t>
            </w:r>
          </w:p>
        </w:tc>
        <w:tc>
          <w:tcPr>
            <w:tcW w:type="dxa" w:w="478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Problema</w:t>
            </w:r>
          </w:p>
        </w:tc>
      </w:tr>
      <w:tr>
        <w:trPr>
          <w:tblHeader w:val="false"/>
        </w:trPr>
        <w:tc>
          <w:tcPr>
            <w:tcW w:type="dxa" w:w="457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pa_getmodelbase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(despacho, separación)</w:t>
            </w:r>
          </w:p>
        </w:tc>
        <w:tc>
          <w:tcPr>
            <w:tcW w:type="dxa" w:w="478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Devuelve 5 columnas sin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id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; el servicio lee desde el índice 1</w:t>
            </w:r>
          </w:p>
        </w:tc>
      </w:tr>
      <w:tr>
        <w:trPr>
          <w:tblHeader w:val="false"/>
        </w:trPr>
        <w:tc>
          <w:tcPr>
            <w:tcW w:type="dxa" w:w="457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pa_getscrapuser</w:t>
            </w:r>
          </w:p>
        </w:tc>
        <w:tc>
          <w:tcPr>
            <w:tcW w:type="dxa" w:w="478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Falta la columna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usuarioAsignado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(índice 8)</w:t>
            </w:r>
          </w:p>
        </w:tc>
      </w:tr>
      <w:tr>
        <w:trPr>
          <w:tblHeader w:val="false"/>
        </w:trPr>
        <w:tc>
          <w:tcPr>
            <w:tcW w:type="dxa" w:w="457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pa_searchreceivepartspallet</w:t>
            </w:r>
          </w:p>
        </w:tc>
        <w:tc>
          <w:tcPr>
            <w:tcW w:type="dxa" w:w="478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Devuelve 5 columnas; el servicio lee 7</w:t>
            </w:r>
          </w:p>
        </w:tc>
      </w:tr>
      <w:tr>
        <w:trPr>
          <w:tblHeader w:val="false"/>
        </w:trPr>
        <w:tc>
          <w:tcPr>
            <w:tcW w:type="dxa" w:w="457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pa_searchgeneralinventorypallet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pa_searchgeneralsettingspallet</w:t>
            </w:r>
          </w:p>
        </w:tc>
        <w:tc>
          <w:tcPr>
            <w:tcW w:type="dxa" w:w="478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Devuelven 4 columnas; el servicio lee 7</w:t>
            </w:r>
          </w:p>
        </w:tc>
      </w:tr>
      <w:tr>
        <w:trPr>
          <w:tblHeader w:val="false"/>
        </w:trPr>
        <w:tc>
          <w:tcPr>
            <w:tcW w:type="dxa" w:w="457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pa_searchallpackedaccesory</w:t>
            </w:r>
          </w:p>
        </w:tc>
        <w:tc>
          <w:tcPr>
            <w:tcW w:type="dxa" w:w="478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Trae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familia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en la posición 2; el servicio espera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Nuevos</w:t>
            </w:r>
          </w:p>
        </w:tc>
      </w:tr>
      <w:tr>
        <w:trPr>
          <w:tblHeader w:val="false"/>
        </w:trPr>
        <w:tc>
          <w:tcPr>
            <w:tcW w:type="dxa" w:w="457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pa_updateuser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general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W w:type="dxa" w:w="478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p_identificacion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es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integer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y la columna es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bigint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(cédulas grandes)</w:t>
            </w:r>
          </w:p>
        </w:tc>
      </w:tr>
      <w:tr>
        <w:trPr>
          <w:tblHeader w:val="false"/>
        </w:trPr>
        <w:tc>
          <w:tcPr>
            <w:tcW w:type="dxa" w:w="457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pa_getlistprofiletype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general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W w:type="dxa" w:w="478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Devuelve solo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nombre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; el servicio necesita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id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(hoy consulta la tabla directo)</w:t>
            </w:r>
          </w:p>
        </w:tc>
      </w:tr>
      <w:tr>
        <w:trPr>
          <w:tblHeader w:val="false"/>
        </w:trPr>
        <w:tc>
          <w:tcPr>
            <w:tcW w:type="dxa" w:w="457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pa_validatequalitybypallet</w:t>
            </w:r>
          </w:p>
        </w:tc>
        <w:tc>
          <w:tcPr>
            <w:tcW w:type="dxa" w:w="478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Usa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F1F5" w:val="clear"/>
              </w:rPr>
              <w:t xml:space="preserve">calidad.estadoproceso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: confirmar que la columna existe</w:t>
            </w:r>
          </w:p>
        </w:tc>
      </w:tr>
    </w:tbl>
    <w:p>
      <w:pPr>
        <w:spacing w:after="160"/>
      </w:pPr>
    </w:p>
    <w:p>
      <w:pPr>
        <w:pBdr>
          <w:bottom w:val="single" w:color="C7CDD6" w:sz="6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8. Consultas de verificación (Postgres)</w:t>
      </w:r>
    </w:p>
    <w:p>
      <w:pPr>
        <w:pBdr>
          <w:left w:val="single" w:color="9CA3AF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-- 8.1 Las funciones clave quedaron actualizadas (deben dar true)</w:t>
      </w:r>
    </w:p>
    <w:p>
      <w:pPr>
        <w:pBdr>
          <w:left w:val="single" w:color="9CA3AF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SELECT</w:t>
      </w:r>
    </w:p>
    <w:p>
      <w:pPr>
        <w:pBdr>
          <w:left w:val="single" w:color="9CA3AF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(SELECT prosrc LIKE '%pg_advisory_xact_lock%' FROM pg_proc p JOIN pg_namespace n ON n.oid=p.pronamespace</w:t>
      </w:r>
    </w:p>
    <w:p>
      <w:pPr>
        <w:pBdr>
          <w:left w:val="single" w:color="9CA3AF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WHERE n.nspname='wmswdlegacycostarica' AND p.proname='pa_insertpackingwebd2')   AS candado_empaque,</w:t>
      </w:r>
    </w:p>
    <w:p>
      <w:pPr>
        <w:pBdr>
          <w:left w:val="single" w:color="9CA3AF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(SELECT prosrc ILIKE '%lower(p_estado)%' FROM pg_proc p JOIN pg_namespace n ON n.oid=p.pronamespace</w:t>
      </w:r>
    </w:p>
    <w:p>
      <w:pPr>
        <w:pBdr>
          <w:left w:val="single" w:color="9CA3AF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WHERE n.nspname='wmswdlegacycostarica' AND p.proname='pa_searchpalletboxentry') AS mayusculas_ok,</w:t>
      </w:r>
    </w:p>
    <w:p>
      <w:pPr>
        <w:pBdr>
          <w:left w:val="single" w:color="9CA3AF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EXISTS (SELECT 1 FROM pg_proc p JOIN pg_namespace n ON n.oid=p.pronamespace</w:t>
      </w:r>
    </w:p>
    <w:p>
      <w:pPr>
        <w:pBdr>
          <w:left w:val="single" w:color="9CA3AF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WHERE n.nspname='wmswdlegacycostarica' AND p.proname='fn_getdescripcionmovimiento') AS funcion_movimientos;</w:t>
      </w:r>
    </w:p>
    <w:p>
      <w:pPr>
        <w:pBdr>
          <w:left w:val="single" w:color="9CA3AF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CA3AF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-- 8.2 Llaves foráneas que quedan (deben ser solo las que estaban activas en SQL Server)</w:t>
      </w:r>
    </w:p>
    <w:p>
      <w:pPr>
        <w:pBdr>
          <w:left w:val="single" w:color="9CA3AF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SELECT conname, conrelid::regclass AS tabla, convalidated</w:t>
      </w:r>
    </w:p>
    <w:p>
      <w:pPr>
        <w:pBdr>
          <w:left w:val="single" w:color="9CA3AF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FROM pg_constraint</w:t>
      </w:r>
    </w:p>
    <w:p>
      <w:pPr>
        <w:pBdr>
          <w:left w:val="single" w:color="9CA3AF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WHERE contype = 'f' AND connamespace = 'wmswdlegacycostarica'::regnamespace</w:t>
      </w:r>
    </w:p>
    <w:p>
      <w:pPr>
        <w:pBdr>
          <w:left w:val="single" w:color="9CA3AF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ORDER BY conrelid::regclass::text, conname;</w:t>
      </w:r>
    </w:p>
    <w:p>
      <w:pPr>
        <w:pBdr>
          <w:left w:val="single" w:color="9CA3AF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CA3AF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-- 8.3 Columnas citext (en este cliente solo login: usuario.nombreusuario / correo)</w:t>
      </w:r>
    </w:p>
    <w:p>
      <w:pPr>
        <w:pBdr>
          <w:left w:val="single" w:color="9CA3AF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SELECT table_name, column_name FROM information_schema.columns</w:t>
      </w:r>
    </w:p>
    <w:p>
      <w:pPr>
        <w:pBdr>
          <w:left w:val="single" w:color="9CA3AF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WHERE table_schema = 'wmswdlegacycostarica' AND udt_name = 'citext';</w:t>
      </w:r>
    </w:p>
    <w:p>
      <w:pPr>
        <w:spacing w:after="120"/>
      </w:pPr>
    </w:p>
    <w:p>
      <w:pPr>
        <w:pBdr>
          <w:bottom w:val="single" w:color="C7CDD6" w:sz="6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9. Pantallas para probar después de migrar un cliente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Ingreso:</w:t>
      </w:r>
      <w:r>
        <w:rPr>
          <w:rFonts w:ascii="Calibri" w:cs="Calibri" w:eastAsia="Calibri" w:hAnsi="Calibri"/>
          <w:sz w:val="22"/>
          <w:szCs w:val="22"/>
        </w:rPr>
        <w:t xml:space="preserve"> crear pallet, ingresar seriales, enviar pallet (usa el trigger de movimientos).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Diagnóstico:</w:t>
      </w:r>
      <w:r>
        <w:rPr>
          <w:rFonts w:ascii="Calibri" w:cs="Calibri" w:eastAsia="Calibri" w:hAnsi="Calibri"/>
          <w:sz w:val="22"/>
          <w:szCs w:val="22"/>
        </w:rPr>
        <w:t xml:space="preserve"> procesar un serial; ver la descripción del movimiento.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Empaque:</w:t>
      </w:r>
      <w:r>
        <w:rPr>
          <w:rFonts w:ascii="Calibri" w:cs="Calibri" w:eastAsia="Calibri" w:hAnsi="Calibri"/>
          <w:sz w:val="22"/>
          <w:szCs w:val="22"/>
        </w:rPr>
        <w:t xml:space="preserve"> serializar rápido, ver seriales de una caja, caja master, cerrar pallet.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Calidad y despacho:</w:t>
      </w:r>
      <w:r>
        <w:rPr>
          <w:rFonts w:ascii="Calibri" w:cs="Calibri" w:eastAsia="Calibri" w:hAnsi="Calibri"/>
          <w:sz w:val="22"/>
          <w:szCs w:val="22"/>
        </w:rPr>
        <w:t xml:space="preserve"> pantalla de proceso y despacho (columnas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Cantidad Equip.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Cantidad Acc.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Cantidad SmartC.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Accesorios y novedades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inventario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smartcard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Administración:</w:t>
      </w:r>
      <w:r>
        <w:rPr>
          <w:rFonts w:ascii="Calibri" w:cs="Calibri" w:eastAsia="Calibri" w:hAnsi="Calibri"/>
          <w:sz w:val="22"/>
          <w:szCs w:val="22"/>
        </w:rPr>
        <w:t xml:space="preserve"> usuarios, perfiles, menús por perfil, clientes (flags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*ON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10. Advertencias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La conexión de prueba apunta a un servidor de producción: guardar un respaldo del DDL de las funciones antes de ejecutar archivos completos (clic derecho en el esquema → Generar SQL → DDL).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Cada cliente nuevo necesita su propio esquema con sus funciones, sus llaves y su copia de las funciones faltantes.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Si el otro repositorio cambia un procedimiento ya convertido, hay que volver a exportar y convertir esa función.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Guía de migración a PostgreSQL · Página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  <w:outlineLvl w:val="0"/>
    </w:pPr>
    <w:rPr>
      <w:rFonts w:ascii="Calibri" w:cs="Calibri" w:eastAsia="Calibri" w:hAnsi="Calibri"/>
      <w:b/>
      <w:bCs/>
      <w:color w:val="1F3A5F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F3A5F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2E4E7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para migrar otro cliente a PostgreSQL</dc:title>
  <dc:creator>Equipo de migracion</dc:creator>
  <cp:lastModifiedBy>Un-named</cp:lastModifiedBy>
  <cp:revision>1</cp:revision>
  <dcterms:created xsi:type="dcterms:W3CDTF">2026-10-13T16:14:02.048Z</dcterms:created>
  <dcterms:modified xsi:type="dcterms:W3CDTF">2026-10-13T16:14:02.049Z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